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4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 w:lineRule="exact"/>
        <w:rPr>
          <w:sz w:val="24"/>
          <w:szCs w:val="24"/>
          <w:color w:val="auto"/>
        </w:rPr>
      </w:pPr>
    </w:p>
    <w:p>
      <w:pPr>
        <w:ind w:left="640"/>
        <w:spacing w:after="0"/>
        <w:tabs>
          <w:tab w:leader="none" w:pos="59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72"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62"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66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fiscal year, if changed</w:t>
            </w:r>
          </w:p>
        </w:tc>
      </w:tr>
      <w:tr>
        <w:trPr>
          <w:trHeight w:val="237"/>
        </w:trPr>
        <w:tc>
          <w:tcPr>
            <w:tcW w:w="20" w:type="dxa"/>
            <w:vAlign w:val="bottom"/>
          </w:tcPr>
          <w:p>
            <w:pPr>
              <w:spacing w:after="0"/>
              <w:rPr>
                <w:sz w:val="20"/>
                <w:szCs w:val="20"/>
                <w:color w:val="auto"/>
              </w:rPr>
            </w:pPr>
          </w:p>
        </w:tc>
        <w:tc>
          <w:tcPr>
            <w:tcW w:w="1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Commission File No.</w:t>
            </w:r>
          </w:p>
        </w:tc>
        <w:tc>
          <w:tcPr>
            <w:tcW w:w="4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Identification Nos.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since last report</w:t>
            </w:r>
          </w:p>
        </w:tc>
      </w:tr>
      <w:tr>
        <w:trPr>
          <w:trHeight w:val="257"/>
        </w:trPr>
        <w:tc>
          <w:tcPr>
            <w:tcW w:w="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1-14201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SEMPRA ENERGY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33-0732627</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spacing w:after="0"/>
              <w:rPr>
                <w:sz w:val="20"/>
                <w:szCs w:val="20"/>
                <w:color w:val="auto"/>
              </w:rPr>
            </w:pPr>
            <w:r>
              <w:rPr>
                <w:rFonts w:ascii="Arial" w:cs="Arial" w:eastAsia="Arial" w:hAnsi="Arial"/>
                <w:sz w:val="18"/>
                <w:szCs w:val="18"/>
                <w:color w:val="auto"/>
              </w:rPr>
              <w:t>1-3779</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GAS &amp; ELECTRIC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95-1184800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8326 Century Park Court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92123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2000" w:type="dxa"/>
            <w:vAlign w:val="bottom"/>
            <w:gridSpan w:val="2"/>
          </w:tcPr>
          <w:p>
            <w:pPr>
              <w:spacing w:after="0"/>
              <w:rPr>
                <w:sz w:val="20"/>
                <w:szCs w:val="20"/>
                <w:color w:val="auto"/>
              </w:rPr>
            </w:pPr>
            <w:r>
              <w:rPr>
                <w:rFonts w:ascii="Arial" w:cs="Arial" w:eastAsia="Arial" w:hAnsi="Arial"/>
                <w:sz w:val="18"/>
                <w:szCs w:val="18"/>
                <w:color w:val="auto"/>
              </w:rPr>
              <w:t>1-1402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SOUTHERN CALIFORNIA GAS COMPANY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95-1240705</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555 West Fifth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Los Angeles, California 90013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(213)244-1200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300"/>
        <w:spacing w:after="0" w:line="279"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10" w:lineRule="exact"/>
        <w:rPr>
          <w:sz w:val="24"/>
          <w:szCs w:val="24"/>
          <w:color w:val="auto"/>
        </w:rPr>
      </w:pPr>
    </w:p>
    <w:p>
      <w:pPr>
        <w:ind w:left="7080"/>
        <w:spacing w:after="0"/>
        <w:tabs>
          <w:tab w:leader="none" w:pos="7940" w:val="left"/>
          <w:tab w:leader="none" w:pos="97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814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31750</wp:posOffset>
            </wp:positionV>
            <wp:extent cx="831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right="240"/>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registrants were required to submit and post such files).</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6419850</wp:posOffset>
            </wp:positionH>
            <wp:positionV relativeFrom="paragraph">
              <wp:posOffset>-410845</wp:posOffset>
            </wp:positionV>
            <wp:extent cx="831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-213995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-16510</wp:posOffset>
            </wp:positionV>
            <wp:extent cx="831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9" w:lineRule="exact"/>
        <w:rPr>
          <w:sz w:val="24"/>
          <w:szCs w:val="24"/>
          <w:color w:val="auto"/>
        </w:rPr>
      </w:pPr>
    </w:p>
    <w:p>
      <w:pPr>
        <w:ind w:right="180"/>
        <w:spacing w:after="0" w:line="32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2240" w:type="dxa"/>
            <w:vAlign w:val="bottom"/>
            <w:gridSpan w:val="2"/>
          </w:tcPr>
          <w:p>
            <w:pPr>
              <w:ind w:left="780"/>
              <w:spacing w:after="0"/>
              <w:rPr>
                <w:sz w:val="20"/>
                <w:szCs w:val="20"/>
                <w:color w:val="auto"/>
              </w:rPr>
            </w:pPr>
            <w:r>
              <w:rPr>
                <w:rFonts w:ascii="Arial" w:cs="Arial" w:eastAsia="Arial" w:hAnsi="Arial"/>
                <w:sz w:val="18"/>
                <w:szCs w:val="18"/>
                <w:color w:val="auto"/>
              </w:rPr>
              <w:t>Large</w:t>
            </w: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gridSpan w:val="2"/>
          </w:tcPr>
          <w:p>
            <w:pPr>
              <w:jc w:val="right"/>
              <w:ind w:right="23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4"/>
        </w:trPr>
        <w:tc>
          <w:tcPr>
            <w:tcW w:w="2460" w:type="dxa"/>
            <w:vAlign w:val="bottom"/>
          </w:tcPr>
          <w:p>
            <w:pPr>
              <w:spacing w:after="0"/>
              <w:rPr>
                <w:sz w:val="24"/>
                <w:szCs w:val="24"/>
                <w:color w:val="auto"/>
              </w:rPr>
            </w:pPr>
          </w:p>
        </w:tc>
        <w:tc>
          <w:tcPr>
            <w:tcW w:w="2240" w:type="dxa"/>
            <w:vAlign w:val="bottom"/>
            <w:gridSpan w:val="2"/>
          </w:tcPr>
          <w:p>
            <w:pPr>
              <w:ind w:left="400"/>
              <w:spacing w:after="0"/>
              <w:rPr>
                <w:sz w:val="20"/>
                <w:szCs w:val="20"/>
                <w:color w:val="auto"/>
              </w:rPr>
            </w:pPr>
            <w:r>
              <w:rPr>
                <w:rFonts w:ascii="Arial" w:cs="Arial" w:eastAsia="Arial" w:hAnsi="Arial"/>
                <w:sz w:val="18"/>
                <w:szCs w:val="18"/>
                <w:color w:val="auto"/>
              </w:rPr>
              <w:t>accelerated filer</w:t>
            </w:r>
          </w:p>
        </w:tc>
        <w:tc>
          <w:tcPr>
            <w:tcW w:w="2500" w:type="dxa"/>
            <w:vAlign w:val="bottom"/>
            <w:gridSpan w:val="2"/>
          </w:tcPr>
          <w:p>
            <w:pPr>
              <w:jc w:val="right"/>
              <w:ind w:right="510"/>
              <w:spacing w:after="0"/>
              <w:rPr>
                <w:sz w:val="20"/>
                <w:szCs w:val="20"/>
                <w:color w:val="auto"/>
              </w:rPr>
            </w:pPr>
            <w:r>
              <w:rPr>
                <w:rFonts w:ascii="Arial" w:cs="Arial" w:eastAsia="Arial" w:hAnsi="Arial"/>
                <w:sz w:val="18"/>
                <w:szCs w:val="18"/>
                <w:color w:val="auto"/>
              </w:rPr>
              <w:t>Accelerated filer</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Non-accelerated filer</w:t>
            </w:r>
          </w:p>
        </w:tc>
        <w:tc>
          <w:tcPr>
            <w:tcW w:w="1840" w:type="dxa"/>
            <w:vAlign w:val="bottom"/>
            <w:gridSpan w:val="2"/>
          </w:tcPr>
          <w:p>
            <w:pPr>
              <w:jc w:val="right"/>
              <w:ind w:right="53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Sempra Energy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rPr>
                <w:sz w:val="20"/>
                <w:szCs w:val="20"/>
                <w:color w:val="auto"/>
              </w:rPr>
            </w:pPr>
            <w:r>
              <w:rPr>
                <w:rFonts w:ascii="Arial" w:cs="Arial" w:eastAsia="Arial" w:hAnsi="Arial"/>
                <w:sz w:val="18"/>
                <w:szCs w:val="18"/>
                <w:color w:val="auto"/>
              </w:rPr>
              <w:t>X ]</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86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2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 X ]</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Company</w:t>
            </w:r>
          </w:p>
        </w:tc>
        <w:tc>
          <w:tcPr>
            <w:tcW w:w="8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86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2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 X ]</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Company</w:t>
            </w:r>
          </w:p>
        </w:tc>
        <w:tc>
          <w:tcPr>
            <w:tcW w:w="86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Sempra Energy</w:t>
            </w: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vMerge w:val="continue"/>
          </w:tcPr>
          <w:p>
            <w:pPr>
              <w:spacing w:after="0"/>
              <w:rPr>
                <w:sz w:val="22"/>
                <w:szCs w:val="22"/>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vMerge w:val="continue"/>
          </w:tcPr>
          <w:p>
            <w:pPr>
              <w:spacing w:after="0"/>
              <w:rPr>
                <w:sz w:val="22"/>
                <w:szCs w:val="22"/>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Yes</w:t>
            </w:r>
          </w:p>
        </w:tc>
        <w:tc>
          <w:tcPr>
            <w:tcW w:w="114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No</w:t>
            </w:r>
          </w:p>
        </w:tc>
        <w:tc>
          <w:tcPr>
            <w:tcW w:w="1320" w:type="dxa"/>
            <w:vAlign w:val="bottom"/>
          </w:tcPr>
          <w:p>
            <w:pPr>
              <w:ind w:left="5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April 30,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Sempra Energy</w:t>
            </w:r>
          </w:p>
        </w:tc>
        <w:tc>
          <w:tcPr>
            <w:tcW w:w="8360" w:type="dxa"/>
            <w:vAlign w:val="bottom"/>
          </w:tcPr>
          <w:p>
            <w:pPr>
              <w:ind w:left="420"/>
              <w:spacing w:after="0"/>
              <w:rPr>
                <w:sz w:val="20"/>
                <w:szCs w:val="20"/>
                <w:color w:val="auto"/>
              </w:rPr>
            </w:pPr>
            <w:r>
              <w:rPr>
                <w:rFonts w:ascii="Arial" w:cs="Arial" w:eastAsia="Arial" w:hAnsi="Arial"/>
                <w:sz w:val="18"/>
                <w:szCs w:val="18"/>
                <w:color w:val="auto"/>
              </w:rPr>
              <w:t>240,991,088 shares</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66"/>
        </w:trPr>
        <w:tc>
          <w:tcPr>
            <w:tcW w:w="30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25"/>
          <w:szCs w:val="25"/>
          <w:color w:val="auto"/>
        </w:rPr>
        <w:t>SEMPRA ENERGY FORM 10-Q</w:t>
      </w:r>
    </w:p>
    <w:p>
      <w:pPr>
        <w:spacing w:after="0" w:line="236" w:lineRule="auto"/>
        <w:rPr>
          <w:sz w:val="20"/>
          <w:szCs w:val="20"/>
          <w:color w:val="auto"/>
        </w:rPr>
      </w:pPr>
      <w:r>
        <w:rPr>
          <w:rFonts w:ascii="Arial" w:cs="Arial" w:eastAsia="Arial" w:hAnsi="Arial"/>
          <w:sz w:val="25"/>
          <w:szCs w:val="25"/>
          <w:color w:val="auto"/>
        </w:rPr>
        <w:t>SAN DIEGO GAS &amp; ELECTRIC COMPANY FORM 10-Q</w:t>
      </w:r>
    </w:p>
    <w:p>
      <w:pPr>
        <w:spacing w:after="0" w:line="237" w:lineRule="auto"/>
        <w:rPr>
          <w:sz w:val="20"/>
          <w:szCs w:val="20"/>
          <w:color w:val="auto"/>
        </w:rPr>
      </w:pPr>
      <w:r>
        <w:rPr>
          <w:rFonts w:ascii="Arial" w:cs="Arial" w:eastAsia="Arial" w:hAnsi="Arial"/>
          <w:sz w:val="25"/>
          <w:szCs w:val="25"/>
          <w:color w:val="auto"/>
        </w:rPr>
        <w:t>SOUTHERN CALIFORNIA GAS COMPANY FORM 10-Q</w:t>
      </w:r>
    </w:p>
    <w:p>
      <w:pPr>
        <w:spacing w:after="0" w:line="237" w:lineRule="auto"/>
        <w:rPr>
          <w:sz w:val="20"/>
          <w:szCs w:val="20"/>
          <w:color w:val="auto"/>
        </w:rPr>
      </w:pPr>
      <w:r>
        <w:rPr>
          <w:rFonts w:ascii="Arial" w:cs="Arial" w:eastAsia="Arial" w:hAnsi="Arial"/>
          <w:sz w:val="25"/>
          <w:szCs w:val="25"/>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195"/>
        </w:trPr>
        <w:tc>
          <w:tcPr>
            <w:tcW w:w="9660" w:type="dxa"/>
            <w:vAlign w:val="bottom"/>
            <w:gridSpan w:val="3"/>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640" w:type="dxa"/>
            <w:vAlign w:val="bottom"/>
            <w:tcBorders>
              <w:bottom w:val="single" w:sz="8" w:color="auto"/>
            </w:tcBorders>
            <w:gridSpan w:val="2"/>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640" w:type="dxa"/>
            <w:vAlign w:val="bottom"/>
            <w:gridSpan w:val="2"/>
          </w:tcPr>
          <w:p>
            <w:pPr>
              <w:spacing w:after="0"/>
              <w:rPr>
                <w:sz w:val="20"/>
                <w:szCs w:val="20"/>
                <w:color w:val="auto"/>
              </w:rPr>
            </w:pPr>
            <w:r>
              <w:rPr>
                <w:rFonts w:ascii="Arial" w:cs="Arial" w:eastAsia="Arial" w:hAnsi="Arial"/>
                <w:sz w:val="16"/>
                <w:szCs w:val="16"/>
                <w:b w:val="1"/>
                <w:bCs w:val="1"/>
                <w:color w:val="auto"/>
              </w:rPr>
              <w:t>PART I – FINANCIAL INFORMATION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Financial Statements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2.</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3.</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Quantitative and Qualitative Disclosures About Market Risk</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240" w:type="dxa"/>
            <w:vAlign w:val="bottom"/>
          </w:tcPr>
          <w:p>
            <w:pPr>
              <w:ind w:left="620"/>
              <w:spacing w:after="0"/>
              <w:rPr>
                <w:sz w:val="20"/>
                <w:szCs w:val="20"/>
                <w:color w:val="auto"/>
              </w:rPr>
            </w:pPr>
            <w:r>
              <w:rPr>
                <w:rFonts w:ascii="Arial" w:cs="Arial" w:eastAsia="Arial" w:hAnsi="Arial"/>
                <w:sz w:val="16"/>
                <w:szCs w:val="16"/>
                <w:color w:val="auto"/>
              </w:rPr>
              <w:t>Controls and Procedures</w:t>
            </w:r>
          </w:p>
        </w:tc>
        <w:tc>
          <w:tcPr>
            <w:tcW w:w="1760" w:type="dxa"/>
            <w:vAlign w:val="bottom"/>
          </w:tcPr>
          <w:p>
            <w:pPr>
              <w:jc w:val="center"/>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9660" w:type="dxa"/>
            <w:vAlign w:val="bottom"/>
            <w:tcBorders>
              <w:bottom w:val="single" w:sz="8" w:color="auto"/>
            </w:tcBorders>
            <w:gridSpan w:val="3"/>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660" w:type="dxa"/>
            <w:vAlign w:val="bottom"/>
            <w:gridSpan w:val="3"/>
          </w:tcPr>
          <w:p>
            <w:pPr>
              <w:spacing w:after="0"/>
              <w:rPr>
                <w:sz w:val="20"/>
                <w:szCs w:val="20"/>
                <w:color w:val="auto"/>
              </w:rPr>
            </w:pPr>
            <w:r>
              <w:rPr>
                <w:rFonts w:ascii="Arial" w:cs="Arial" w:eastAsia="Arial" w:hAnsi="Arial"/>
                <w:sz w:val="16"/>
                <w:szCs w:val="16"/>
                <w:b w:val="1"/>
                <w:bCs w:val="1"/>
                <w:color w:val="auto"/>
              </w:rPr>
              <w:t>PART II – OTHER INFORMATION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Legal Proceedings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1A.</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Risk Factors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240" w:type="dxa"/>
            <w:vAlign w:val="bottom"/>
          </w:tcPr>
          <w:p>
            <w:pPr>
              <w:ind w:left="620"/>
              <w:spacing w:after="0"/>
              <w:rPr>
                <w:sz w:val="20"/>
                <w:szCs w:val="20"/>
                <w:color w:val="auto"/>
              </w:rPr>
            </w:pPr>
            <w:r>
              <w:rPr>
                <w:rFonts w:ascii="Arial" w:cs="Arial" w:eastAsia="Arial" w:hAnsi="Arial"/>
                <w:sz w:val="16"/>
                <w:szCs w:val="16"/>
                <w:color w:val="auto"/>
              </w:rPr>
              <w:t>Exhibits</w:t>
            </w:r>
          </w:p>
        </w:tc>
        <w:tc>
          <w:tcPr>
            <w:tcW w:w="1760" w:type="dxa"/>
            <w:vAlign w:val="bottom"/>
          </w:tcPr>
          <w:p>
            <w:pPr>
              <w:jc w:val="center"/>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91"/>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Signatures</w:t>
            </w:r>
          </w:p>
        </w:tc>
        <w:tc>
          <w:tcPr>
            <w:tcW w:w="8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00" w:right="420"/>
        <w:spacing w:after="0" w:line="260"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5" w:lineRule="exact"/>
        <w:rPr>
          <w:sz w:val="20"/>
          <w:szCs w:val="20"/>
          <w:color w:val="auto"/>
        </w:rPr>
      </w:pPr>
    </w:p>
    <w:p>
      <w:pPr>
        <w:jc w:val="both"/>
        <w:ind w:left="500" w:right="240"/>
        <w:spacing w:after="0" w:line="289"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11420"/>
          </w:cols>
          <w:pgMar w:left="240" w:top="529"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INFORMATION REGARDING FORWARD-LOOKING STATEMENTS</w:t>
      </w:r>
    </w:p>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“pursue,” “goals,” or similar expressions, or when we discuss our guidance, strategy, plans, goals, initiatives, objectives or intentions, we are making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8" w:lineRule="exact"/>
        <w:rPr>
          <w:sz w:val="20"/>
          <w:szCs w:val="20"/>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by the California Public Utilities Commission, California State Legislature, Federal Energy Regulatory Commission, U.S. Department of Energy,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benchmark interest rates, generally U.S. Treasury bond and Moody’s A-rated utility bond yields, on our California Utilities’ cost of capital;</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nuclear power generation and radioactive materials storage, including the catastrophic release of such materials;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in our Annual Report on Form 10-K and other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607187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1148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ectPr>
          <w:pgSz w:w="11900" w:h="16838" w:orient="portrait"/>
          <w:cols w:equalWidth="0" w:num="1">
            <w:col w:w="11420"/>
          </w:cols>
          <w:pgMar w:left="240" w:top="973"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8"/>
        </w:trPr>
        <w:tc>
          <w:tcPr>
            <w:tcW w:w="6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color w:val="auto"/>
              </w:rPr>
              <w:t>Three months ended March 31,</w:t>
            </w:r>
          </w:p>
        </w:tc>
      </w:tr>
      <w:tr>
        <w:trPr>
          <w:trHeight w:val="196"/>
        </w:trPr>
        <w:tc>
          <w:tcPr>
            <w:tcW w:w="6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2011(1)</w:t>
            </w:r>
          </w:p>
        </w:tc>
      </w:tr>
      <w:tr>
        <w:trPr>
          <w:trHeight w:val="231"/>
        </w:trPr>
        <w:tc>
          <w:tcPr>
            <w:tcW w:w="6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center"/>
              <w:ind w:left="640"/>
              <w:spacing w:after="0"/>
              <w:rPr>
                <w:sz w:val="20"/>
                <w:szCs w:val="20"/>
                <w:color w:val="auto"/>
              </w:rPr>
            </w:pPr>
            <w:r>
              <w:rPr>
                <w:rFonts w:ascii="Arial" w:cs="Arial" w:eastAsia="Arial" w:hAnsi="Arial"/>
                <w:sz w:val="14"/>
                <w:szCs w:val="14"/>
                <w:color w:val="auto"/>
              </w:rPr>
              <w:t>(unaudited)</w:t>
            </w:r>
          </w:p>
        </w:tc>
        <w:tc>
          <w:tcPr>
            <w:tcW w:w="1000" w:type="dxa"/>
            <w:vAlign w:val="bottom"/>
          </w:tcPr>
          <w:p>
            <w:pPr>
              <w:spacing w:after="0"/>
              <w:rPr>
                <w:sz w:val="20"/>
                <w:szCs w:val="20"/>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Utilities</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2,091</w:t>
            </w:r>
          </w:p>
        </w:tc>
        <w:tc>
          <w:tcPr>
            <w:tcW w:w="44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1,946</w:t>
            </w:r>
          </w:p>
        </w:tc>
      </w:tr>
      <w:tr>
        <w:trPr>
          <w:trHeight w:val="194"/>
        </w:trPr>
        <w:tc>
          <w:tcPr>
            <w:tcW w:w="68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r>
      <w:tr>
        <w:trPr>
          <w:trHeight w:val="224"/>
        </w:trPr>
        <w:tc>
          <w:tcPr>
            <w:tcW w:w="680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2,383</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2,434</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Utilities: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16"/>
        </w:trPr>
        <w:tc>
          <w:tcPr>
            <w:tcW w:w="680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680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(671)</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Equity earnings, before income tax</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Other income,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4"/>
        </w:trPr>
        <w:tc>
          <w:tcPr>
            <w:tcW w:w="6800" w:type="dxa"/>
            <w:vAlign w:val="bottom"/>
          </w:tcPr>
          <w:p>
            <w:pPr>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24"/>
        </w:trPr>
        <w:tc>
          <w:tcPr>
            <w:tcW w:w="6800" w:type="dxa"/>
            <w:vAlign w:val="bottom"/>
          </w:tcPr>
          <w:p>
            <w:pPr>
              <w:spacing w:after="0"/>
              <w:rPr>
                <w:sz w:val="20"/>
                <w:szCs w:val="20"/>
                <w:color w:val="auto"/>
              </w:rPr>
            </w:pPr>
            <w:r>
              <w:rPr>
                <w:rFonts w:ascii="Arial" w:cs="Arial" w:eastAsia="Arial" w:hAnsi="Arial"/>
                <w:sz w:val="16"/>
                <w:szCs w:val="16"/>
                <w:color w:val="auto"/>
              </w:rPr>
              <w:t>Income before income taxes and equity earnings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194"/>
        </w:trPr>
        <w:tc>
          <w:tcPr>
            <w:tcW w:w="680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24"/>
        </w:trPr>
        <w:tc>
          <w:tcPr>
            <w:tcW w:w="680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Earnings attributable to noncontrolling interests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4"/>
        </w:trPr>
        <w:tc>
          <w:tcPr>
            <w:tcW w:w="680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6800" w:type="dxa"/>
            <w:vAlign w:val="bottom"/>
          </w:tcPr>
          <w:p>
            <w:pPr>
              <w:spacing w:after="0"/>
              <w:rPr>
                <w:sz w:val="20"/>
                <w:szCs w:val="20"/>
                <w:color w:val="auto"/>
              </w:rPr>
            </w:pPr>
            <w:r>
              <w:rPr>
                <w:rFonts w:ascii="Arial" w:cs="Arial" w:eastAsia="Arial" w:hAnsi="Arial"/>
                <w:sz w:val="16"/>
                <w:szCs w:val="16"/>
                <w:color w:val="auto"/>
              </w:rPr>
              <w:t>Earnings</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4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412"/>
        </w:trPr>
        <w:tc>
          <w:tcPr>
            <w:tcW w:w="68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w:t>
            </w:r>
          </w:p>
        </w:tc>
        <w:tc>
          <w:tcPr>
            <w:tcW w:w="4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196"/>
        </w:trPr>
        <w:tc>
          <w:tcPr>
            <w:tcW w:w="6800" w:type="dxa"/>
            <w:vAlign w:val="bottom"/>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240,566</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240,128</w:t>
            </w:r>
          </w:p>
        </w:tc>
      </w:tr>
      <w:tr>
        <w:trPr>
          <w:trHeight w:val="412"/>
        </w:trPr>
        <w:tc>
          <w:tcPr>
            <w:tcW w:w="68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0.97</w:t>
            </w:r>
          </w:p>
        </w:tc>
        <w:tc>
          <w:tcPr>
            <w:tcW w:w="4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196"/>
        </w:trPr>
        <w:tc>
          <w:tcPr>
            <w:tcW w:w="680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243,761</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241,903</w:t>
            </w:r>
          </w:p>
        </w:tc>
      </w:tr>
      <w:tr>
        <w:trPr>
          <w:trHeight w:val="196"/>
        </w:trPr>
        <w:tc>
          <w:tcPr>
            <w:tcW w:w="6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Dividends declared per share of common stock</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4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r>
    </w:tbl>
    <w:p>
      <w:pPr>
        <w:spacing w:after="0" w:line="45" w:lineRule="exact"/>
        <w:rPr>
          <w:sz w:val="20"/>
          <w:szCs w:val="20"/>
          <w:color w:val="auto"/>
        </w:rPr>
      </w:pPr>
    </w:p>
    <w:p>
      <w:pPr>
        <w:ind w:right="3399" w:firstLine="8"/>
        <w:spacing w:after="0" w:line="339" w:lineRule="auto"/>
        <w:tabs>
          <w:tab w:leader="none" w:pos="513"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 See Notes to Condensed Consolidated Financial Statements.</w:t>
      </w:r>
    </w:p>
    <w:p>
      <w:pPr>
        <w:sectPr>
          <w:pgSz w:w="11900" w:h="16838" w:orient="portrait"/>
          <w:cols w:equalWidth="0" w:num="1">
            <w:col w:w="10219"/>
          </w:cols>
          <w:pgMar w:left="240" w:top="384" w:right="1440"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5500"/>
        <w:spacing w:after="0" w:line="230"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6"/>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141"/>
              <w:spacing w:after="0" w:line="159" w:lineRule="exact"/>
              <w:rPr>
                <w:sz w:val="20"/>
                <w:szCs w:val="20"/>
                <w:color w:val="auto"/>
              </w:rPr>
            </w:pPr>
            <w:r>
              <w:rPr>
                <w:rFonts w:ascii="Arial" w:cs="Arial" w:eastAsia="Arial" w:hAnsi="Arial"/>
                <w:sz w:val="14"/>
                <w:szCs w:val="14"/>
                <w:color w:val="auto"/>
              </w:rPr>
              <w:t>Three months ended March 31,</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2011(1)</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color w:val="auto"/>
              </w:rPr>
              <w:t>Non-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w w:val="98"/>
              </w:rPr>
              <w:t>Non-</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5"/>
                <w:szCs w:val="15"/>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color w:val="auto"/>
              </w:rPr>
              <w:t>controlling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color w:val="auto"/>
              </w:rPr>
              <w:t>Sempra</w:t>
            </w:r>
          </w:p>
        </w:tc>
        <w:tc>
          <w:tcPr>
            <w:tcW w:w="160" w:type="dxa"/>
            <w:vAlign w:val="bottom"/>
          </w:tcPr>
          <w:p>
            <w:pPr>
              <w:spacing w:after="0"/>
              <w:rPr>
                <w:sz w:val="15"/>
                <w:szCs w:val="15"/>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controlling</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4"/>
                <w:szCs w:val="14"/>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1060" w:type="dxa"/>
            <w:vAlign w:val="bottom"/>
          </w:tcPr>
          <w:p>
            <w:pPr>
              <w:jc w:val="right"/>
              <w:ind w:right="481"/>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4"/>
                <w:szCs w:val="14"/>
                <w:color w:val="auto"/>
              </w:rPr>
            </w:pPr>
          </w:p>
        </w:tc>
        <w:tc>
          <w:tcPr>
            <w:tcW w:w="860" w:type="dxa"/>
            <w:vAlign w:val="bottom"/>
          </w:tcPr>
          <w:p>
            <w:pPr>
              <w:jc w:val="right"/>
              <w:ind w:right="281"/>
              <w:spacing w:after="0"/>
              <w:rPr>
                <w:sz w:val="20"/>
                <w:szCs w:val="20"/>
                <w:color w:val="auto"/>
              </w:rPr>
            </w:pPr>
            <w:r>
              <w:rPr>
                <w:rFonts w:ascii="Arial" w:cs="Arial" w:eastAsia="Arial" w:hAnsi="Arial"/>
                <w:sz w:val="14"/>
                <w:szCs w:val="14"/>
                <w:color w:val="auto"/>
              </w:rPr>
              <w:t>Energy</w:t>
            </w:r>
          </w:p>
        </w:tc>
        <w:tc>
          <w:tcPr>
            <w:tcW w:w="160" w:type="dxa"/>
            <w:vAlign w:val="bottom"/>
          </w:tcPr>
          <w:p>
            <w:pPr>
              <w:spacing w:after="0"/>
              <w:rPr>
                <w:sz w:val="14"/>
                <w:szCs w:val="14"/>
                <w:color w:val="auto"/>
              </w:rPr>
            </w:pPr>
          </w:p>
        </w:tc>
        <w:tc>
          <w:tcPr>
            <w:tcW w:w="920" w:type="dxa"/>
            <w:vAlign w:val="bottom"/>
          </w:tcPr>
          <w:p>
            <w:pPr>
              <w:jc w:val="center"/>
              <w:ind w:right="142"/>
              <w:spacing w:after="0"/>
              <w:rPr>
                <w:sz w:val="20"/>
                <w:szCs w:val="20"/>
                <w:color w:val="auto"/>
              </w:rPr>
            </w:pPr>
            <w:r>
              <w:rPr>
                <w:rFonts w:ascii="Arial" w:cs="Arial" w:eastAsia="Arial" w:hAnsi="Arial"/>
                <w:sz w:val="14"/>
                <w:szCs w:val="14"/>
                <w:color w:val="auto"/>
              </w:rPr>
              <w:t>Interests</w:t>
            </w:r>
          </w:p>
        </w:tc>
        <w:tc>
          <w:tcPr>
            <w:tcW w:w="2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Total</w:t>
            </w:r>
          </w:p>
        </w:tc>
      </w:tr>
      <w:tr>
        <w:trPr>
          <w:trHeight w:val="183"/>
        </w:trPr>
        <w:tc>
          <w:tcPr>
            <w:tcW w:w="456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238</w:t>
            </w:r>
          </w:p>
        </w:tc>
        <w:tc>
          <w:tcPr>
            <w:tcW w:w="1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w:t>
            </w:r>
          </w:p>
        </w:tc>
        <w:tc>
          <w:tcPr>
            <w:tcW w:w="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21"/>
              <w:spacing w:after="0" w:line="176" w:lineRule="exact"/>
              <w:rPr>
                <w:sz w:val="20"/>
                <w:szCs w:val="20"/>
                <w:color w:val="auto"/>
              </w:rPr>
            </w:pPr>
            <w:r>
              <w:rPr>
                <w:rFonts w:ascii="Arial" w:cs="Arial" w:eastAsia="Arial" w:hAnsi="Arial"/>
                <w:sz w:val="16"/>
                <w:szCs w:val="16"/>
                <w:color w:val="auto"/>
              </w:rPr>
              <w:t>251</w:t>
            </w:r>
          </w:p>
        </w:tc>
        <w:tc>
          <w:tcPr>
            <w:tcW w:w="36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256</w:t>
            </w:r>
          </w:p>
        </w:tc>
        <w:tc>
          <w:tcPr>
            <w:tcW w:w="1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280" w:type="dxa"/>
            <w:vAlign w:val="bottom"/>
            <w:tcBorders>
              <w:top w:val="single" w:sz="8" w:color="auto"/>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260</w:t>
            </w:r>
          </w:p>
        </w:tc>
        <w:tc>
          <w:tcPr>
            <w:tcW w:w="20" w:type="dxa"/>
            <w:vAlign w:val="bottom"/>
          </w:tcPr>
          <w:p>
            <w:pPr>
              <w:spacing w:after="0"/>
              <w:rPr>
                <w:sz w:val="15"/>
                <w:szCs w:val="15"/>
                <w:color w:val="auto"/>
              </w:rPr>
            </w:pP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Other comprehensive income (loss), net of tax: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560" w:type="dxa"/>
            <w:vAlign w:val="bottom"/>
          </w:tcPr>
          <w:p>
            <w:pPr>
              <w:ind w:left="180"/>
              <w:spacing w:after="0" w:line="176" w:lineRule="exact"/>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5"/>
                <w:szCs w:val="15"/>
                <w:color w:val="auto"/>
              </w:rPr>
            </w:pPr>
          </w:p>
        </w:tc>
        <w:tc>
          <w:tcPr>
            <w:tcW w:w="900" w:type="dxa"/>
            <w:vAlign w:val="bottom"/>
          </w:tcPr>
          <w:p>
            <w:pPr>
              <w:jc w:val="right"/>
              <w:ind w:right="1"/>
              <w:spacing w:after="0" w:line="176" w:lineRule="exact"/>
              <w:rPr>
                <w:sz w:val="20"/>
                <w:szCs w:val="20"/>
                <w:color w:val="auto"/>
              </w:rPr>
            </w:pPr>
            <w:r>
              <w:rPr>
                <w:rFonts w:ascii="Arial" w:cs="Arial" w:eastAsia="Arial" w:hAnsi="Arial"/>
                <w:sz w:val="16"/>
                <w:szCs w:val="16"/>
                <w:color w:val="auto"/>
              </w:rPr>
              <w:t>67</w:t>
            </w: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5"/>
                <w:szCs w:val="15"/>
                <w:color w:val="auto"/>
              </w:rPr>
            </w:pPr>
          </w:p>
        </w:tc>
        <w:tc>
          <w:tcPr>
            <w:tcW w:w="1060" w:type="dxa"/>
            <w:vAlign w:val="bottom"/>
          </w:tcPr>
          <w:p>
            <w:pPr>
              <w:jc w:val="right"/>
              <w:ind w:right="121"/>
              <w:spacing w:after="0" w:line="176" w:lineRule="exact"/>
              <w:rPr>
                <w:sz w:val="20"/>
                <w:szCs w:val="20"/>
                <w:color w:val="auto"/>
              </w:rPr>
            </w:pPr>
            <w:r>
              <w:rPr>
                <w:rFonts w:ascii="Arial" w:cs="Arial" w:eastAsia="Arial" w:hAnsi="Arial"/>
                <w:sz w:val="16"/>
                <w:szCs w:val="16"/>
                <w:color w:val="auto"/>
              </w:rPr>
              <w:t>71</w:t>
            </w:r>
          </w:p>
        </w:tc>
        <w:tc>
          <w:tcPr>
            <w:tcW w:w="3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8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(6)</w:t>
            </w:r>
          </w:p>
        </w:tc>
      </w:tr>
      <w:tr>
        <w:trPr>
          <w:trHeight w:val="176"/>
        </w:trPr>
        <w:tc>
          <w:tcPr>
            <w:tcW w:w="4560" w:type="dxa"/>
            <w:vAlign w:val="bottom"/>
          </w:tcPr>
          <w:p>
            <w:pPr>
              <w:ind w:left="180"/>
              <w:spacing w:after="0" w:line="176" w:lineRule="exact"/>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5"/>
                <w:szCs w:val="15"/>
                <w:color w:val="auto"/>
              </w:rPr>
            </w:pPr>
          </w:p>
        </w:tc>
        <w:tc>
          <w:tcPr>
            <w:tcW w:w="900" w:type="dxa"/>
            <w:vAlign w:val="bottom"/>
          </w:tcPr>
          <w:p>
            <w:pPr>
              <w:jc w:val="right"/>
              <w:ind w:right="1"/>
              <w:spacing w:after="0" w:line="176"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60" w:type="dxa"/>
            <w:vAlign w:val="bottom"/>
          </w:tcPr>
          <w:p>
            <w:pPr>
              <w:jc w:val="right"/>
              <w:ind w:right="121"/>
              <w:spacing w:after="0" w:line="176"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860" w:type="dxa"/>
            <w:vAlign w:val="bottom"/>
          </w:tcPr>
          <w:p>
            <w:pPr>
              <w:jc w:val="right"/>
              <w:ind w:right="1"/>
              <w:spacing w:after="0" w:line="176"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r>
      <w:tr>
        <w:trPr>
          <w:trHeight w:val="194"/>
        </w:trPr>
        <w:tc>
          <w:tcPr>
            <w:tcW w:w="4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r>
      <w:tr>
        <w:trPr>
          <w:trHeight w:val="183"/>
        </w:trPr>
        <w:tc>
          <w:tcPr>
            <w:tcW w:w="4560" w:type="dxa"/>
            <w:vAlign w:val="bottom"/>
          </w:tcPr>
          <w:p>
            <w:pPr>
              <w:spacing w:after="0" w:line="176" w:lineRule="exact"/>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71</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1"/>
              <w:spacing w:after="0" w:line="176" w:lineRule="exact"/>
              <w:rPr>
                <w:sz w:val="20"/>
                <w:szCs w:val="20"/>
                <w:color w:val="auto"/>
              </w:rPr>
            </w:pPr>
            <w:r>
              <w:rPr>
                <w:rFonts w:ascii="Arial" w:cs="Arial" w:eastAsia="Arial" w:hAnsi="Arial"/>
                <w:sz w:val="16"/>
                <w:szCs w:val="16"/>
                <w:color w:val="auto"/>
              </w:rPr>
              <w:t>75</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Total comprehensive income</w:t>
            </w:r>
          </w:p>
        </w:tc>
        <w:tc>
          <w:tcPr>
            <w:tcW w:w="220" w:type="dxa"/>
            <w:vAlign w:val="bottom"/>
          </w:tcPr>
          <w:p>
            <w:pPr>
              <w:spacing w:after="0"/>
              <w:rPr>
                <w:sz w:val="14"/>
                <w:szCs w:val="14"/>
                <w:color w:val="auto"/>
              </w:rPr>
            </w:pPr>
          </w:p>
        </w:tc>
        <w:tc>
          <w:tcPr>
            <w:tcW w:w="900" w:type="dxa"/>
            <w:vAlign w:val="bottom"/>
          </w:tcPr>
          <w:p>
            <w:pPr>
              <w:jc w:val="right"/>
              <w:ind w:right="1"/>
              <w:spacing w:after="0" w:line="164" w:lineRule="exact"/>
              <w:rPr>
                <w:sz w:val="20"/>
                <w:szCs w:val="20"/>
                <w:color w:val="auto"/>
              </w:rPr>
            </w:pPr>
            <w:r>
              <w:rPr>
                <w:rFonts w:ascii="Arial" w:cs="Arial" w:eastAsia="Arial" w:hAnsi="Arial"/>
                <w:sz w:val="16"/>
                <w:szCs w:val="16"/>
                <w:color w:val="auto"/>
              </w:rPr>
              <w:t>309</w:t>
            </w:r>
          </w:p>
        </w:tc>
        <w:tc>
          <w:tcPr>
            <w:tcW w:w="16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17</w:t>
            </w:r>
          </w:p>
        </w:tc>
        <w:tc>
          <w:tcPr>
            <w:tcW w:w="180" w:type="dxa"/>
            <w:vAlign w:val="bottom"/>
          </w:tcPr>
          <w:p>
            <w:pPr>
              <w:spacing w:after="0"/>
              <w:rPr>
                <w:sz w:val="14"/>
                <w:szCs w:val="14"/>
                <w:color w:val="auto"/>
              </w:rPr>
            </w:pPr>
          </w:p>
        </w:tc>
        <w:tc>
          <w:tcPr>
            <w:tcW w:w="1060" w:type="dxa"/>
            <w:vAlign w:val="bottom"/>
          </w:tcPr>
          <w:p>
            <w:pPr>
              <w:jc w:val="right"/>
              <w:ind w:right="121"/>
              <w:spacing w:after="0" w:line="164" w:lineRule="exact"/>
              <w:rPr>
                <w:sz w:val="20"/>
                <w:szCs w:val="20"/>
                <w:color w:val="auto"/>
              </w:rPr>
            </w:pPr>
            <w:r>
              <w:rPr>
                <w:rFonts w:ascii="Arial" w:cs="Arial" w:eastAsia="Arial" w:hAnsi="Arial"/>
                <w:sz w:val="16"/>
                <w:szCs w:val="16"/>
                <w:color w:val="auto"/>
              </w:rPr>
              <w:t>326</w:t>
            </w:r>
          </w:p>
        </w:tc>
        <w:tc>
          <w:tcPr>
            <w:tcW w:w="360" w:type="dxa"/>
            <w:vAlign w:val="bottom"/>
          </w:tcPr>
          <w:p>
            <w:pPr>
              <w:spacing w:after="0"/>
              <w:rPr>
                <w:sz w:val="14"/>
                <w:szCs w:val="14"/>
                <w:color w:val="auto"/>
              </w:rPr>
            </w:pPr>
          </w:p>
        </w:tc>
        <w:tc>
          <w:tcPr>
            <w:tcW w:w="860" w:type="dxa"/>
            <w:vAlign w:val="bottom"/>
          </w:tcPr>
          <w:p>
            <w:pPr>
              <w:jc w:val="right"/>
              <w:ind w:right="1"/>
              <w:spacing w:after="0" w:line="164" w:lineRule="exact"/>
              <w:rPr>
                <w:sz w:val="20"/>
                <w:szCs w:val="20"/>
                <w:color w:val="auto"/>
              </w:rPr>
            </w:pPr>
            <w:r>
              <w:rPr>
                <w:rFonts w:ascii="Arial" w:cs="Arial" w:eastAsia="Arial" w:hAnsi="Arial"/>
                <w:sz w:val="16"/>
                <w:szCs w:val="16"/>
                <w:color w:val="auto"/>
              </w:rPr>
              <w:t>254</w:t>
            </w:r>
          </w:p>
        </w:tc>
        <w:tc>
          <w:tcPr>
            <w:tcW w:w="16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c>
          <w:tcPr>
            <w:tcW w:w="28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259</w:t>
            </w:r>
          </w:p>
        </w:tc>
        <w:tc>
          <w:tcPr>
            <w:tcW w:w="20" w:type="dxa"/>
            <w:vAlign w:val="bottom"/>
          </w:tcPr>
          <w:p>
            <w:pPr>
              <w:spacing w:after="0"/>
              <w:rPr>
                <w:sz w:val="14"/>
                <w:szCs w:val="14"/>
                <w:color w:val="auto"/>
              </w:rPr>
            </w:pP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164"/>
        </w:trPr>
        <w:tc>
          <w:tcPr>
            <w:tcW w:w="4560" w:type="dxa"/>
            <w:vAlign w:val="bottom"/>
          </w:tcPr>
          <w:p>
            <w:pPr>
              <w:spacing w:after="0" w:line="164" w:lineRule="exact"/>
              <w:rPr>
                <w:sz w:val="20"/>
                <w:szCs w:val="20"/>
                <w:color w:val="auto"/>
              </w:rPr>
            </w:pPr>
            <w:r>
              <w:rPr>
                <w:rFonts w:ascii="Arial" w:cs="Arial" w:eastAsia="Arial" w:hAnsi="Arial"/>
                <w:sz w:val="16"/>
                <w:szCs w:val="16"/>
                <w:color w:val="auto"/>
              </w:rPr>
              <w:t>Total comprehensive income, after preferred</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4560" w:type="dxa"/>
            <w:vAlign w:val="bottom"/>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307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324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257</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4640" w:firstLine="156"/>
        <w:spacing w:after="0" w:line="279" w:lineRule="auto"/>
        <w:tabs>
          <w:tab w:leader="none" w:pos="473"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 See Notes to Condensed Consolidated Financial Statements.</w:t>
      </w:r>
    </w:p>
    <w:p>
      <w:pPr>
        <w:sectPr>
          <w:pgSz w:w="11900" w:h="16838" w:orient="portrait"/>
          <w:cols w:equalWidth="0" w:num="1">
            <w:col w:w="11420"/>
          </w:cols>
          <w:pgMar w:left="240" w:top="756"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2011(1)(2)</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404</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Trade accounts receivable,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1,062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accounts and notes receivable,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177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balancing accounts — undercollected</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Settlement receivable related to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2,298</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1,074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603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1,070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865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1,722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1,071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intangible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443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investments and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7,671</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7,452</w:t>
            </w: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31,995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31,192</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Property, plant and equipment, net ($488 and $494 at March 31, 2012 and</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24,076</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23,465</w:t>
            </w:r>
          </w:p>
        </w:tc>
        <w:tc>
          <w:tcPr>
            <w:tcW w:w="0" w:type="dxa"/>
            <w:vAlign w:val="bottom"/>
          </w:tcPr>
          <w:p>
            <w:pPr>
              <w:spacing w:after="0"/>
              <w:rPr>
                <w:sz w:val="1"/>
                <w:szCs w:val="1"/>
                <w:color w:val="auto"/>
              </w:rPr>
            </w:pPr>
          </w:p>
        </w:tc>
      </w:tr>
      <w:tr>
        <w:trPr>
          <w:trHeight w:val="167"/>
        </w:trPr>
        <w:tc>
          <w:tcPr>
            <w:tcW w:w="8580" w:type="dxa"/>
            <w:vAlign w:val="bottom"/>
          </w:tcPr>
          <w:p>
            <w:pPr>
              <w:ind w:left="540"/>
              <w:spacing w:after="0" w:line="160" w:lineRule="exact"/>
              <w:rPr>
                <w:sz w:val="20"/>
                <w:szCs w:val="20"/>
                <w:color w:val="auto"/>
              </w:rPr>
            </w:pPr>
            <w:r>
              <w:rPr>
                <w:rFonts w:ascii="Arial" w:cs="Arial" w:eastAsia="Arial" w:hAnsi="Arial"/>
                <w:sz w:val="16"/>
                <w:szCs w:val="16"/>
                <w:color w:val="auto"/>
              </w:rPr>
              <w:t>December 31, 2011, 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34,045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March 31,</w:t>
            </w:r>
          </w:p>
        </w:tc>
        <w:tc>
          <w:tcPr>
            <w:tcW w:w="1300" w:type="dxa"/>
            <w:vAlign w:val="bottom"/>
            <w:gridSpan w:val="2"/>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2011(1)(2)</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Pr>
          <w:p>
            <w:pPr>
              <w:spacing w:after="0"/>
              <w:rPr>
                <w:sz w:val="16"/>
                <w:szCs w:val="16"/>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(unaudited)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426</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901</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112</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53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172</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Dividends and interest payable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297</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203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balancing accounts — overcollected</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240</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713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92</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148</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Reserve for wildfire litigation</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441</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682</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4,480</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Long-term debt ($342 and $345 at March 31, 2012 and December 31, 2011, respectively,</w:t>
            </w:r>
          </w:p>
        </w:tc>
        <w:tc>
          <w:tcPr>
            <w:tcW w:w="280" w:type="dxa"/>
            <w:vAlign w:val="bottom"/>
          </w:tcPr>
          <w:p>
            <w:pPr>
              <w:spacing w:after="0"/>
              <w:rPr>
                <w:sz w:val="14"/>
                <w:szCs w:val="14"/>
                <w:color w:val="auto"/>
              </w:rPr>
            </w:pPr>
          </w:p>
        </w:tc>
        <w:tc>
          <w:tcPr>
            <w:tcW w:w="1260" w:type="dxa"/>
            <w:vAlign w:val="bottom"/>
            <w:vMerge w:val="restart"/>
          </w:tcPr>
          <w:p>
            <w:pPr>
              <w:jc w:val="right"/>
              <w:ind w:right="100"/>
              <w:spacing w:after="0"/>
              <w:rPr>
                <w:sz w:val="20"/>
                <w:szCs w:val="20"/>
                <w:color w:val="auto"/>
              </w:rPr>
            </w:pPr>
            <w:r>
              <w:rPr>
                <w:rFonts w:ascii="Arial" w:cs="Arial" w:eastAsia="Arial" w:hAnsi="Arial"/>
                <w:sz w:val="16"/>
                <w:szCs w:val="16"/>
                <w:color w:val="auto"/>
              </w:rPr>
              <w:t>10,180</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r>
        <w:trPr>
          <w:trHeight w:val="167"/>
        </w:trPr>
        <w:tc>
          <w:tcPr>
            <w:tcW w:w="8580" w:type="dxa"/>
            <w:vAlign w:val="bottom"/>
          </w:tcPr>
          <w:p>
            <w:pPr>
              <w:ind w:left="360"/>
              <w:spacing w:after="0" w:line="160" w:lineRule="exact"/>
              <w:rPr>
                <w:sz w:val="20"/>
                <w:szCs w:val="20"/>
                <w:color w:val="auto"/>
              </w:rPr>
            </w:pPr>
            <w:r>
              <w:rPr>
                <w:rFonts w:ascii="Arial" w:cs="Arial" w:eastAsia="Arial" w:hAnsi="Arial"/>
                <w:sz w:val="16"/>
                <w:szCs w:val="16"/>
                <w:color w:val="auto"/>
              </w:rPr>
              <w:t>related to VIE)</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143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1,373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1,601</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48</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2,621</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1,927</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regulatory liabilities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80</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281</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862</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8,936</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8,762</w:t>
            </w:r>
          </w:p>
        </w:tc>
        <w:tc>
          <w:tcPr>
            <w:tcW w:w="0" w:type="dxa"/>
            <w:vAlign w:val="bottom"/>
          </w:tcPr>
          <w:p>
            <w:pPr>
              <w:spacing w:after="0"/>
              <w:rPr>
                <w:sz w:val="1"/>
                <w:szCs w:val="1"/>
                <w:color w:val="auto"/>
              </w:rPr>
            </w:pPr>
          </w:p>
        </w:tc>
      </w:tr>
      <w:tr>
        <w:trPr>
          <w:trHeight w:val="183"/>
        </w:trPr>
        <w:tc>
          <w:tcPr>
            <w:tcW w:w="8580" w:type="dxa"/>
            <w:vAlign w:val="bottom"/>
          </w:tcPr>
          <w:p>
            <w:pPr>
              <w:spacing w:after="0" w:line="176" w:lineRule="exact"/>
              <w:rPr>
                <w:sz w:val="20"/>
                <w:szCs w:val="20"/>
                <w:color w:val="auto"/>
              </w:rPr>
            </w:pPr>
            <w:r>
              <w:rPr>
                <w:rFonts w:ascii="Arial" w:cs="Arial" w:eastAsia="Arial" w:hAnsi="Arial"/>
                <w:sz w:val="16"/>
                <w:szCs w:val="16"/>
                <w:color w:val="auto"/>
              </w:rPr>
              <w:t>Contingently redeemable preferred stock of subsidiary</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79</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Preferred stock (50 million shares authorized; none issued)</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Common stock (750 million shares authorized; 241 million and 240 million shares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outstanding at March 31, 2012 and December 31, 2011, respectively; no par value)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2,117</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8,254</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8,162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compensation</w:t>
            </w:r>
          </w:p>
        </w:tc>
        <w:tc>
          <w:tcPr>
            <w:tcW w:w="280" w:type="dxa"/>
            <w:vAlign w:val="bottom"/>
          </w:tcPr>
          <w:p>
            <w:pPr>
              <w:spacing w:after="0"/>
              <w:rPr>
                <w:sz w:val="15"/>
                <w:szCs w:val="15"/>
                <w:color w:val="auto"/>
              </w:rPr>
            </w:pPr>
          </w:p>
        </w:tc>
        <w:tc>
          <w:tcPr>
            <w:tcW w:w="1260" w:type="dxa"/>
            <w:vAlign w:val="bottom"/>
          </w:tcPr>
          <w:p>
            <w:pPr>
              <w:jc w:val="right"/>
              <w:ind w:right="60"/>
              <w:spacing w:after="0" w:line="176"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(418)</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Total Sempra Energy shareholders’ equity</w:t>
            </w:r>
          </w:p>
        </w:tc>
        <w:tc>
          <w:tcPr>
            <w:tcW w:w="280" w:type="dxa"/>
            <w:vAlign w:val="bottom"/>
          </w:tcPr>
          <w:p>
            <w:pPr>
              <w:spacing w:after="0"/>
              <w:rPr>
                <w:sz w:val="14"/>
                <w:szCs w:val="14"/>
                <w:color w:val="auto"/>
              </w:rPr>
            </w:pPr>
          </w:p>
        </w:tc>
        <w:tc>
          <w:tcPr>
            <w:tcW w:w="126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9,952</w:t>
            </w:r>
          </w:p>
        </w:tc>
        <w:tc>
          <w:tcPr>
            <w:tcW w:w="24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Arial" w:cs="Arial" w:eastAsia="Arial" w:hAnsi="Arial"/>
                <w:sz w:val="16"/>
                <w:szCs w:val="16"/>
                <w:color w:val="auto"/>
              </w:rPr>
              <w:t>9,775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Preferred stock of subsidiaries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20</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398</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10,370</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10,178</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34,045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23" w:lineRule="exact"/>
        <w:rPr>
          <w:rFonts w:ascii="Arial" w:cs="Arial" w:eastAsia="Arial" w:hAnsi="Arial"/>
          <w:sz w:val="14"/>
          <w:szCs w:val="14"/>
          <w:i w:val="1"/>
          <w:iCs w:val="1"/>
          <w:color w:val="auto"/>
        </w:rPr>
      </w:pP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74052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0525" cy="411480"/>
                    </a:xfrm>
                    <a:prstGeom prst="rect">
                      <a:avLst/>
                    </a:prstGeom>
                    <a:noFill/>
                  </pic:spPr>
                </pic:pic>
              </a:graphicData>
            </a:graphic>
          </wp:anchor>
        </w:drawing>
        <w:t>SEMPRA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1"/>
        </w:trPr>
        <w:tc>
          <w:tcPr>
            <w:tcW w:w="6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rPr>
              <w:t>Three months ended March 31,</w:t>
            </w:r>
          </w:p>
        </w:tc>
      </w:tr>
      <w:tr>
        <w:trPr>
          <w:trHeight w:val="196"/>
        </w:trPr>
        <w:tc>
          <w:tcPr>
            <w:tcW w:w="66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2011(1)</w:t>
            </w:r>
          </w:p>
        </w:tc>
      </w:tr>
      <w:tr>
        <w:trPr>
          <w:trHeight w:val="231"/>
        </w:trPr>
        <w:tc>
          <w:tcPr>
            <w:tcW w:w="6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679"/>
              <w:spacing w:after="0"/>
              <w:rPr>
                <w:sz w:val="20"/>
                <w:szCs w:val="20"/>
                <w:color w:val="auto"/>
              </w:rPr>
            </w:pPr>
            <w:r>
              <w:rPr>
                <w:rFonts w:ascii="Arial" w:cs="Arial" w:eastAsia="Arial" w:hAnsi="Arial"/>
                <w:sz w:val="14"/>
                <w:szCs w:val="14"/>
                <w:color w:val="auto"/>
              </w:rPr>
              <w:t>(unaudited)</w:t>
            </w:r>
          </w:p>
        </w:tc>
      </w:tr>
      <w:tr>
        <w:trPr>
          <w:trHeight w:val="209"/>
        </w:trPr>
        <w:tc>
          <w:tcPr>
            <w:tcW w:w="66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6"/>
                <w:szCs w:val="16"/>
                <w:color w:val="auto"/>
              </w:rPr>
              <w:t>by operating activities: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6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666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6660" w:type="dxa"/>
            <w:vAlign w:val="bottom"/>
          </w:tcPr>
          <w:p>
            <w:pPr>
              <w:ind w:left="540"/>
              <w:spacing w:after="0"/>
              <w:rPr>
                <w:sz w:val="20"/>
                <w:szCs w:val="20"/>
                <w:color w:val="auto"/>
              </w:rPr>
            </w:pPr>
            <w:r>
              <w:rPr>
                <w:rFonts w:ascii="Arial" w:cs="Arial" w:eastAsia="Arial" w:hAnsi="Arial"/>
                <w:sz w:val="16"/>
                <w:szCs w:val="16"/>
                <w:color w:val="auto"/>
              </w:rPr>
              <w:t>Equity earnings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6660" w:type="dxa"/>
            <w:vAlign w:val="bottom"/>
          </w:tcPr>
          <w:p>
            <w:pPr>
              <w:ind w:left="540"/>
              <w:spacing w:after="0"/>
              <w:rPr>
                <w:sz w:val="20"/>
                <w:szCs w:val="20"/>
                <w:color w:val="auto"/>
              </w:rPr>
            </w:pPr>
            <w:r>
              <w:rPr>
                <w:rFonts w:ascii="Arial" w:cs="Arial" w:eastAsia="Arial" w:hAnsi="Arial"/>
                <w:sz w:val="16"/>
                <w:szCs w:val="16"/>
                <w:color w:val="auto"/>
              </w:rPr>
              <w:t>Fixed-price contracts and other derivatives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6660" w:type="dxa"/>
            <w:vAlign w:val="bottom"/>
          </w:tcPr>
          <w:p>
            <w:pPr>
              <w:ind w:left="540"/>
              <w:spacing w:after="0"/>
              <w:rPr>
                <w:sz w:val="20"/>
                <w:szCs w:val="20"/>
                <w:color w:val="auto"/>
              </w:rPr>
            </w:pPr>
            <w:r>
              <w:rPr>
                <w:rFonts w:ascii="Arial" w:cs="Arial" w:eastAsia="Arial" w:hAnsi="Arial"/>
                <w:sz w:val="16"/>
                <w:szCs w:val="16"/>
                <w:color w:val="auto"/>
              </w:rPr>
              <w:t>Other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2"/>
        </w:trPr>
        <w:tc>
          <w:tcPr>
            <w:tcW w:w="666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666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r>
      <w:tr>
        <w:trPr>
          <w:trHeight w:val="440"/>
        </w:trPr>
        <w:tc>
          <w:tcPr>
            <w:tcW w:w="66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Expenditures for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Distributions from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0"/>
        </w:trPr>
        <w:tc>
          <w:tcPr>
            <w:tcW w:w="666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194"/>
        </w:trPr>
        <w:tc>
          <w:tcPr>
            <w:tcW w:w="6660" w:type="dxa"/>
            <w:vAlign w:val="bottom"/>
          </w:tcPr>
          <w:p>
            <w:pPr>
              <w:ind w:left="180"/>
              <w:spacing w:after="0"/>
              <w:rPr>
                <w:sz w:val="20"/>
                <w:szCs w:val="20"/>
                <w:color w:val="auto"/>
              </w:rPr>
            </w:pPr>
            <w:r>
              <w:rPr>
                <w:rFonts w:ascii="Arial" w:cs="Arial" w:eastAsia="Arial" w:hAnsi="Arial"/>
                <w:sz w:val="16"/>
                <w:szCs w:val="16"/>
                <w:color w:val="auto"/>
              </w:rPr>
              <w:t>Other</w:t>
            </w:r>
          </w:p>
        </w:tc>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666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r>
      <w:tr>
        <w:trPr>
          <w:trHeight w:val="440"/>
        </w:trPr>
        <w:tc>
          <w:tcPr>
            <w:tcW w:w="66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Preferred dividends paid by subsidiaries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Issuances of debt (maturities greater than 90 days)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16"/>
        </w:trPr>
        <w:tc>
          <w:tcPr>
            <w:tcW w:w="6660" w:type="dxa"/>
            <w:vAlign w:val="bottom"/>
          </w:tcPr>
          <w:p>
            <w:pPr>
              <w:ind w:left="180"/>
              <w:spacing w:after="0"/>
              <w:rPr>
                <w:sz w:val="20"/>
                <w:szCs w:val="20"/>
                <w:color w:val="auto"/>
              </w:rPr>
            </w:pPr>
            <w:r>
              <w:rPr>
                <w:rFonts w:ascii="Arial" w:cs="Arial" w:eastAsia="Arial" w:hAnsi="Arial"/>
                <w:sz w:val="16"/>
                <w:szCs w:val="16"/>
                <w:color w:val="auto"/>
              </w:rPr>
              <w:t>Payments on debt (maturities greater than 90 days)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10"/>
        </w:trPr>
        <w:tc>
          <w:tcPr>
            <w:tcW w:w="6660" w:type="dxa"/>
            <w:vAlign w:val="bottom"/>
          </w:tcPr>
          <w:p>
            <w:pPr>
              <w:ind w:left="180"/>
              <w:spacing w:after="0"/>
              <w:rPr>
                <w:sz w:val="20"/>
                <w:szCs w:val="20"/>
                <w:color w:val="auto"/>
              </w:rPr>
            </w:pPr>
            <w:r>
              <w:rPr>
                <w:rFonts w:ascii="Arial" w:cs="Arial" w:eastAsia="Arial" w:hAnsi="Arial"/>
                <w:sz w:val="16"/>
                <w:szCs w:val="16"/>
                <w:color w:val="auto"/>
              </w:rPr>
              <w:t>Decrease in short-term debt,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194"/>
        </w:trPr>
        <w:tc>
          <w:tcPr>
            <w:tcW w:w="6660" w:type="dxa"/>
            <w:vAlign w:val="bottom"/>
          </w:tcPr>
          <w:p>
            <w:pPr>
              <w:ind w:left="180"/>
              <w:spacing w:after="0"/>
              <w:rPr>
                <w:sz w:val="20"/>
                <w:szCs w:val="20"/>
                <w:color w:val="auto"/>
              </w:rPr>
            </w:pPr>
            <w:r>
              <w:rPr>
                <w:rFonts w:ascii="Arial" w:cs="Arial" w:eastAsia="Arial" w:hAnsi="Arial"/>
                <w:sz w:val="16"/>
                <w:szCs w:val="16"/>
                <w:color w:val="auto"/>
              </w:rPr>
              <w:t>Other</w:t>
            </w:r>
          </w:p>
        </w:tc>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6660" w:type="dxa"/>
            <w:vAlign w:val="bottom"/>
          </w:tcPr>
          <w:p>
            <w:pPr>
              <w:ind w:left="360"/>
              <w:spacing w:after="0"/>
              <w:rPr>
                <w:sz w:val="20"/>
                <w:szCs w:val="20"/>
                <w:color w:val="auto"/>
              </w:rPr>
            </w:pPr>
            <w:r>
              <w:rPr>
                <w:rFonts w:ascii="Arial" w:cs="Arial" w:eastAsia="Arial" w:hAnsi="Arial"/>
                <w:sz w:val="16"/>
                <w:szCs w:val="16"/>
                <w:color w:val="auto"/>
              </w:rPr>
              <w:t>Net cash provided by financing activities</w:t>
            </w:r>
          </w:p>
        </w:tc>
        <w:tc>
          <w:tcPr>
            <w:tcW w:w="1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412"/>
        </w:trPr>
        <w:tc>
          <w:tcPr>
            <w:tcW w:w="66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34"/>
        </w:trPr>
        <w:tc>
          <w:tcPr>
            <w:tcW w:w="666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194"/>
        </w:trPr>
        <w:tc>
          <w:tcPr>
            <w:tcW w:w="666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196"/>
        </w:trPr>
        <w:tc>
          <w:tcPr>
            <w:tcW w:w="6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March 31</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r>
    </w:tbl>
    <w:p>
      <w:pPr>
        <w:spacing w:after="0" w:line="45" w:lineRule="exact"/>
        <w:rPr>
          <w:sz w:val="20"/>
          <w:szCs w:val="20"/>
          <w:color w:val="auto"/>
        </w:rPr>
      </w:pPr>
    </w:p>
    <w:p>
      <w:pPr>
        <w:ind w:left="120" w:right="3800" w:firstLine="50"/>
        <w:spacing w:after="0" w:line="359" w:lineRule="auto"/>
        <w:tabs>
          <w:tab w:leader="none" w:pos="498"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 See Notes to Condensed Consolidated Financial Statements.</w:t>
      </w:r>
    </w:p>
    <w:p>
      <w:pPr>
        <w:sectPr>
          <w:pgSz w:w="11900" w:h="16838" w:orient="portrait"/>
          <w:cols w:equalWidth="0" w:num="1">
            <w:col w:w="10620"/>
          </w:cols>
          <w:pgMar w:left="240" w:top="540" w:right="10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912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81"/>
              <w:spacing w:after="0" w:line="159"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83"/>
        </w:trPr>
        <w:tc>
          <w:tcPr>
            <w:tcW w:w="9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1"/>
        </w:trPr>
        <w:tc>
          <w:tcPr>
            <w:tcW w:w="912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7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91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12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400" w:type="dxa"/>
            <w:vAlign w:val="bottom"/>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5"/>
        </w:trPr>
        <w:tc>
          <w:tcPr>
            <w:tcW w:w="912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2"/>
        </w:trPr>
        <w:tc>
          <w:tcPr>
            <w:tcW w:w="912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120" w:type="dxa"/>
            <w:vAlign w:val="bottom"/>
          </w:tcPr>
          <w:p>
            <w:pPr>
              <w:ind w:left="180"/>
              <w:spacing w:after="0" w:line="176" w:lineRule="exact"/>
              <w:rPr>
                <w:sz w:val="20"/>
                <w:szCs w:val="20"/>
                <w:color w:val="auto"/>
              </w:rPr>
            </w:pPr>
            <w:r>
              <w:rPr>
                <w:rFonts w:ascii="Arial" w:cs="Arial" w:eastAsia="Arial" w:hAnsi="Arial"/>
                <w:sz w:val="16"/>
                <w:szCs w:val="16"/>
                <w:color w:val="auto"/>
              </w:rPr>
              <w:t>Accrued capital expenditures</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336</w:t>
            </w:r>
          </w:p>
        </w:tc>
        <w:tc>
          <w:tcPr>
            <w:tcW w:w="400" w:type="dxa"/>
            <w:vAlign w:val="bottom"/>
          </w:tcPr>
          <w:p>
            <w:pPr>
              <w:jc w:val="right"/>
              <w:ind w:right="219"/>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95"/>
        </w:trPr>
        <w:tc>
          <w:tcPr>
            <w:tcW w:w="912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151</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0" w:type="dxa"/>
            <w:vAlign w:val="bottom"/>
          </w:tcPr>
          <w:p>
            <w:pPr>
              <w:spacing w:after="0"/>
              <w:rPr>
                <w:sz w:val="14"/>
                <w:szCs w:val="14"/>
                <w:color w:val="auto"/>
              </w:rPr>
            </w:pPr>
          </w:p>
        </w:tc>
        <w:tc>
          <w:tcPr>
            <w:tcW w:w="342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0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400" w:type="dxa"/>
            <w:vAlign w:val="bottom"/>
          </w:tcPr>
          <w:p>
            <w:pPr>
              <w:spacing w:after="0"/>
              <w:rPr>
                <w:sz w:val="16"/>
                <w:szCs w:val="16"/>
                <w:color w:val="auto"/>
              </w:rPr>
            </w:pPr>
          </w:p>
        </w:tc>
        <w:tc>
          <w:tcPr>
            <w:tcW w:w="2020" w:type="dxa"/>
            <w:vAlign w:val="bottom"/>
            <w:gridSpan w:val="2"/>
          </w:tcPr>
          <w:p>
            <w:pPr>
              <w:jc w:val="right"/>
              <w:ind w:right="962"/>
              <w:spacing w:after="0"/>
              <w:rPr>
                <w:sz w:val="20"/>
                <w:szCs w:val="20"/>
                <w:color w:val="auto"/>
              </w:rPr>
            </w:pPr>
            <w:r>
              <w:rPr>
                <w:rFonts w:ascii="Arial" w:cs="Arial" w:eastAsia="Arial" w:hAnsi="Arial"/>
                <w:sz w:val="14"/>
                <w:szCs w:val="14"/>
                <w:color w:val="auto"/>
              </w:rPr>
              <w:t>(unaudited)</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line="176" w:lineRule="exact"/>
              <w:rPr>
                <w:sz w:val="20"/>
                <w:szCs w:val="20"/>
                <w:color w:val="auto"/>
              </w:rPr>
            </w:pPr>
            <w:r>
              <w:rPr>
                <w:rFonts w:ascii="Arial" w:cs="Arial" w:eastAsia="Arial" w:hAnsi="Arial"/>
                <w:sz w:val="16"/>
                <w:szCs w:val="16"/>
                <w:color w:val="auto"/>
              </w:rPr>
              <w:t>Electric</w:t>
            </w:r>
          </w:p>
        </w:tc>
        <w:tc>
          <w:tcPr>
            <w:tcW w:w="1400" w:type="dxa"/>
            <w:vAlign w:val="bottom"/>
          </w:tcPr>
          <w:p>
            <w:pPr>
              <w:jc w:val="right"/>
              <w:ind w:right="1223"/>
              <w:spacing w:after="0" w:line="176"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671</w:t>
            </w:r>
          </w:p>
        </w:tc>
        <w:tc>
          <w:tcPr>
            <w:tcW w:w="1420" w:type="dxa"/>
            <w:vAlign w:val="bottom"/>
          </w:tcPr>
          <w:p>
            <w:pPr>
              <w:jc w:val="right"/>
              <w:ind w:right="1242"/>
              <w:spacing w:after="0" w:line="176"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194"/>
        </w:trPr>
        <w:tc>
          <w:tcPr>
            <w:tcW w:w="740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3"/>
        </w:trPr>
        <w:tc>
          <w:tcPr>
            <w:tcW w:w="740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revenues</w:t>
            </w:r>
          </w:p>
        </w:tc>
        <w:tc>
          <w:tcPr>
            <w:tcW w:w="1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834</w:t>
            </w:r>
          </w:p>
        </w:tc>
        <w:tc>
          <w:tcPr>
            <w:tcW w:w="1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64"/>
        </w:trPr>
        <w:tc>
          <w:tcPr>
            <w:tcW w:w="740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14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c>
          <w:tcPr>
            <w:tcW w:w="14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14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14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line="176" w:lineRule="exact"/>
              <w:rPr>
                <w:sz w:val="20"/>
                <w:szCs w:val="20"/>
                <w:color w:val="auto"/>
              </w:rPr>
            </w:pPr>
            <w:r>
              <w:rPr>
                <w:rFonts w:ascii="Arial" w:cs="Arial" w:eastAsia="Arial" w:hAnsi="Arial"/>
                <w:sz w:val="16"/>
                <w:szCs w:val="16"/>
                <w:color w:val="auto"/>
              </w:rPr>
              <w:t>Operation and maintenance</w:t>
            </w:r>
          </w:p>
        </w:tc>
        <w:tc>
          <w:tcPr>
            <w:tcW w:w="14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268</w:t>
            </w:r>
          </w:p>
        </w:tc>
        <w:tc>
          <w:tcPr>
            <w:tcW w:w="14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line="176" w:lineRule="exact"/>
              <w:rPr>
                <w:sz w:val="20"/>
                <w:szCs w:val="20"/>
                <w:color w:val="auto"/>
              </w:rPr>
            </w:pPr>
            <w:r>
              <w:rPr>
                <w:rFonts w:ascii="Arial" w:cs="Arial" w:eastAsia="Arial" w:hAnsi="Arial"/>
                <w:sz w:val="16"/>
                <w:szCs w:val="16"/>
                <w:color w:val="auto"/>
              </w:rPr>
              <w:t>Depreciation and amortization</w:t>
            </w:r>
          </w:p>
        </w:tc>
        <w:tc>
          <w:tcPr>
            <w:tcW w:w="14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14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4"/>
        </w:trPr>
        <w:tc>
          <w:tcPr>
            <w:tcW w:w="740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3"/>
        </w:trPr>
        <w:tc>
          <w:tcPr>
            <w:tcW w:w="740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expenses</w:t>
            </w:r>
          </w:p>
        </w:tc>
        <w:tc>
          <w:tcPr>
            <w:tcW w:w="1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656</w:t>
            </w:r>
          </w:p>
        </w:tc>
        <w:tc>
          <w:tcPr>
            <w:tcW w:w="1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164"/>
        </w:trPr>
        <w:tc>
          <w:tcPr>
            <w:tcW w:w="7400" w:type="dxa"/>
            <w:vAlign w:val="bottom"/>
          </w:tcPr>
          <w:p>
            <w:pPr>
              <w:spacing w:after="0" w:line="164" w:lineRule="exact"/>
              <w:rPr>
                <w:sz w:val="20"/>
                <w:szCs w:val="20"/>
                <w:color w:val="auto"/>
              </w:rPr>
            </w:pPr>
            <w:r>
              <w:rPr>
                <w:rFonts w:ascii="Arial" w:cs="Arial" w:eastAsia="Arial" w:hAnsi="Arial"/>
                <w:sz w:val="16"/>
                <w:szCs w:val="16"/>
                <w:color w:val="auto"/>
              </w:rPr>
              <w:t>Operating income</w:t>
            </w:r>
          </w:p>
        </w:tc>
        <w:tc>
          <w:tcPr>
            <w:tcW w:w="140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178</w:t>
            </w:r>
          </w:p>
        </w:tc>
        <w:tc>
          <w:tcPr>
            <w:tcW w:w="14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76"/>
        </w:trPr>
        <w:tc>
          <w:tcPr>
            <w:tcW w:w="7400" w:type="dxa"/>
            <w:vAlign w:val="bottom"/>
          </w:tcPr>
          <w:p>
            <w:pPr>
              <w:spacing w:after="0" w:line="176" w:lineRule="exact"/>
              <w:rPr>
                <w:sz w:val="20"/>
                <w:szCs w:val="20"/>
                <w:color w:val="auto"/>
              </w:rPr>
            </w:pPr>
            <w:r>
              <w:rPr>
                <w:rFonts w:ascii="Arial" w:cs="Arial" w:eastAsia="Arial" w:hAnsi="Arial"/>
                <w:sz w:val="16"/>
                <w:szCs w:val="16"/>
                <w:color w:val="auto"/>
              </w:rPr>
              <w:t>Other income, net</w:t>
            </w:r>
          </w:p>
        </w:tc>
        <w:tc>
          <w:tcPr>
            <w:tcW w:w="14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c>
          <w:tcPr>
            <w:tcW w:w="14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4"/>
        </w:trPr>
        <w:tc>
          <w:tcPr>
            <w:tcW w:w="7400" w:type="dxa"/>
            <w:vAlign w:val="bottom"/>
          </w:tcPr>
          <w:p>
            <w:pPr>
              <w:spacing w:after="0"/>
              <w:rPr>
                <w:sz w:val="20"/>
                <w:szCs w:val="20"/>
                <w:color w:val="auto"/>
              </w:rPr>
            </w:pPr>
            <w:r>
              <w:rPr>
                <w:rFonts w:ascii="Arial" w:cs="Arial" w:eastAsia="Arial" w:hAnsi="Arial"/>
                <w:sz w:val="16"/>
                <w:szCs w:val="16"/>
                <w:color w:val="auto"/>
              </w:rPr>
              <w:t>Interest expense</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4"/>
        </w:trPr>
        <w:tc>
          <w:tcPr>
            <w:tcW w:w="7400" w:type="dxa"/>
            <w:vAlign w:val="bottom"/>
          </w:tcPr>
          <w:p>
            <w:pPr>
              <w:spacing w:after="0" w:line="164" w:lineRule="exact"/>
              <w:rPr>
                <w:sz w:val="20"/>
                <w:szCs w:val="20"/>
                <w:color w:val="auto"/>
              </w:rPr>
            </w:pPr>
            <w:r>
              <w:rPr>
                <w:rFonts w:ascii="Arial" w:cs="Arial" w:eastAsia="Arial" w:hAnsi="Arial"/>
                <w:sz w:val="16"/>
                <w:szCs w:val="16"/>
                <w:color w:val="auto"/>
              </w:rPr>
              <w:t>Income before income taxes</w:t>
            </w:r>
          </w:p>
        </w:tc>
        <w:tc>
          <w:tcPr>
            <w:tcW w:w="140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172</w:t>
            </w:r>
          </w:p>
        </w:tc>
        <w:tc>
          <w:tcPr>
            <w:tcW w:w="14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4"/>
        </w:trPr>
        <w:tc>
          <w:tcPr>
            <w:tcW w:w="7400" w:type="dxa"/>
            <w:vAlign w:val="bottom"/>
          </w:tcPr>
          <w:p>
            <w:pPr>
              <w:spacing w:after="0"/>
              <w:rPr>
                <w:sz w:val="20"/>
                <w:szCs w:val="20"/>
                <w:color w:val="auto"/>
              </w:rPr>
            </w:pPr>
            <w:r>
              <w:rPr>
                <w:rFonts w:ascii="Arial" w:cs="Arial" w:eastAsia="Arial" w:hAnsi="Arial"/>
                <w:sz w:val="16"/>
                <w:szCs w:val="16"/>
                <w:color w:val="auto"/>
              </w:rPr>
              <w:t>Income tax expense</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4"/>
        </w:trPr>
        <w:tc>
          <w:tcPr>
            <w:tcW w:w="740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140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112</w:t>
            </w:r>
          </w:p>
        </w:tc>
        <w:tc>
          <w:tcPr>
            <w:tcW w:w="14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4"/>
        </w:trPr>
        <w:tc>
          <w:tcPr>
            <w:tcW w:w="740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4"/>
        </w:trPr>
        <w:tc>
          <w:tcPr>
            <w:tcW w:w="7400" w:type="dxa"/>
            <w:vAlign w:val="bottom"/>
          </w:tcPr>
          <w:p>
            <w:pPr>
              <w:spacing w:after="0" w:line="164" w:lineRule="exact"/>
              <w:rPr>
                <w:sz w:val="20"/>
                <w:szCs w:val="20"/>
                <w:color w:val="auto"/>
              </w:rPr>
            </w:pPr>
            <w:r>
              <w:rPr>
                <w:rFonts w:ascii="Arial" w:cs="Arial" w:eastAsia="Arial" w:hAnsi="Arial"/>
                <w:sz w:val="16"/>
                <w:szCs w:val="16"/>
                <w:color w:val="auto"/>
              </w:rPr>
              <w:t>Earnings</w:t>
            </w:r>
          </w:p>
        </w:tc>
        <w:tc>
          <w:tcPr>
            <w:tcW w:w="140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106</w:t>
            </w:r>
          </w:p>
        </w:tc>
        <w:tc>
          <w:tcPr>
            <w:tcW w:w="142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4"/>
        </w:trPr>
        <w:tc>
          <w:tcPr>
            <w:tcW w:w="740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7400" w:type="dxa"/>
            <w:vAlign w:val="bottom"/>
          </w:tcPr>
          <w:p>
            <w:pPr>
              <w:spacing w:after="0"/>
              <w:rPr>
                <w:sz w:val="20"/>
                <w:szCs w:val="20"/>
                <w:color w:val="auto"/>
              </w:rPr>
            </w:pPr>
            <w:r>
              <w:rPr>
                <w:rFonts w:ascii="Arial" w:cs="Arial" w:eastAsia="Arial" w:hAnsi="Arial"/>
                <w:sz w:val="16"/>
                <w:szCs w:val="16"/>
                <w:color w:val="auto"/>
              </w:rPr>
              <w:t>Earnings attributable to common shares</w:t>
            </w:r>
          </w:p>
        </w:tc>
        <w:tc>
          <w:tcPr>
            <w:tcW w:w="1400" w:type="dxa"/>
            <w:vAlign w:val="bottom"/>
          </w:tcPr>
          <w:p>
            <w:pPr>
              <w:jc w:val="right"/>
              <w:ind w:right="122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5500"/>
        <w:spacing w:after="0" w:line="230"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121"/>
              <w:spacing w:after="0" w:line="159" w:lineRule="exact"/>
              <w:rPr>
                <w:sz w:val="20"/>
                <w:szCs w:val="20"/>
                <w:color w:val="auto"/>
              </w:rPr>
            </w:pPr>
            <w:r>
              <w:rPr>
                <w:rFonts w:ascii="Arial" w:cs="Arial" w:eastAsia="Arial" w:hAnsi="Arial"/>
                <w:sz w:val="14"/>
                <w:szCs w:val="14"/>
                <w:color w:val="auto"/>
              </w:rPr>
              <w:t>Three months ended March 31,</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color w:val="auto"/>
              </w:rPr>
              <w:t>Non-</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23"/>
              <w:spacing w:after="0"/>
              <w:rPr>
                <w:sz w:val="20"/>
                <w:szCs w:val="20"/>
                <w:color w:val="auto"/>
              </w:rPr>
            </w:pPr>
            <w:r>
              <w:rPr>
                <w:rFonts w:ascii="Arial" w:cs="Arial" w:eastAsia="Arial" w:hAnsi="Arial"/>
                <w:sz w:val="14"/>
                <w:szCs w:val="14"/>
                <w:color w:val="auto"/>
              </w:rPr>
              <w:t>Non-</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color w:val="auto"/>
              </w:rPr>
              <w:t>controlling</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103"/>
              <w:spacing w:after="0"/>
              <w:rPr>
                <w:sz w:val="20"/>
                <w:szCs w:val="20"/>
                <w:color w:val="auto"/>
              </w:rPr>
            </w:pPr>
            <w:r>
              <w:rPr>
                <w:rFonts w:ascii="Arial" w:cs="Arial" w:eastAsia="Arial" w:hAnsi="Arial"/>
                <w:sz w:val="14"/>
                <w:szCs w:val="14"/>
                <w:color w:val="auto"/>
              </w:rPr>
              <w:t>controlling</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Interest</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w w:val="97"/>
              </w:rPr>
              <w:t>SDG&amp;E</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Interest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4660" w:type="dxa"/>
            <w:vAlign w:val="bottom"/>
          </w:tcPr>
          <w:p>
            <w:pPr>
              <w:spacing w:after="0" w:line="176" w:lineRule="exact"/>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3"/>
              <w:spacing w:after="0" w:line="176" w:lineRule="exact"/>
              <w:rPr>
                <w:sz w:val="20"/>
                <w:szCs w:val="20"/>
                <w:color w:val="auto"/>
              </w:rPr>
            </w:pPr>
            <w:r>
              <w:rPr>
                <w:rFonts w:ascii="Arial" w:cs="Arial" w:eastAsia="Arial" w:hAnsi="Arial"/>
                <w:sz w:val="16"/>
                <w:szCs w:val="16"/>
                <w:color w:val="auto"/>
              </w:rPr>
              <w:t>112</w:t>
            </w:r>
          </w:p>
        </w:tc>
        <w:tc>
          <w:tcPr>
            <w:tcW w:w="40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90</w:t>
            </w: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vMerge w:val="restart"/>
          </w:tcPr>
          <w:p>
            <w:pPr>
              <w:jc w:val="right"/>
              <w:ind w:right="83"/>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4660" w:type="dxa"/>
            <w:vAlign w:val="bottom"/>
          </w:tcPr>
          <w:p>
            <w:pPr>
              <w:ind w:left="180"/>
              <w:spacing w:after="0" w:line="168" w:lineRule="exact"/>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line="176" w:lineRule="exact"/>
              <w:rPr>
                <w:sz w:val="20"/>
                <w:szCs w:val="20"/>
                <w:color w:val="auto"/>
              </w:rPr>
            </w:pPr>
            <w:r>
              <w:rPr>
                <w:rFonts w:ascii="Arial" w:cs="Arial" w:eastAsia="Arial" w:hAnsi="Arial"/>
                <w:sz w:val="16"/>
                <w:szCs w:val="16"/>
                <w:color w:val="auto"/>
              </w:rPr>
              <w:t>Total other comprehensive income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3"/>
              <w:spacing w:after="0" w:line="176"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112</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18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858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139</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receivable – trade,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receivable – other,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Settlement receivable related to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828</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taxes recoverable in rates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585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183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314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603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162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865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2,913</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13,352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13,003</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(3,045)</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8400" w:type="dxa"/>
            <w:vAlign w:val="bottom"/>
          </w:tcPr>
          <w:p>
            <w:pPr>
              <w:ind w:left="180"/>
              <w:spacing w:after="0" w:line="164" w:lineRule="exact"/>
              <w:rPr>
                <w:sz w:val="20"/>
                <w:szCs w:val="20"/>
                <w:color w:val="auto"/>
              </w:rPr>
            </w:pPr>
            <w:r>
              <w:rPr>
                <w:rFonts w:ascii="Arial" w:cs="Arial" w:eastAsia="Arial" w:hAnsi="Arial"/>
                <w:sz w:val="16"/>
                <w:szCs w:val="16"/>
                <w:color w:val="auto"/>
              </w:rPr>
              <w:t>Property, plant and equipment, net ($488 and $494 at March 31, 2012 and</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10,307</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10,040</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400" w:type="dxa"/>
            <w:vAlign w:val="bottom"/>
          </w:tcPr>
          <w:p>
            <w:pPr>
              <w:ind w:left="360"/>
              <w:spacing w:after="0" w:line="160" w:lineRule="exact"/>
              <w:rPr>
                <w:sz w:val="20"/>
                <w:szCs w:val="20"/>
                <w:color w:val="auto"/>
              </w:rPr>
            </w:pPr>
            <w:r>
              <w:rPr>
                <w:rFonts w:ascii="Arial" w:cs="Arial" w:eastAsia="Arial" w:hAnsi="Arial"/>
                <w:sz w:val="16"/>
                <w:szCs w:val="16"/>
                <w:color w:val="auto"/>
              </w:rPr>
              <w:t>December 31, 2011, 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14,048</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13,555</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Due to unconsolidated affiliates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Reserve for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441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1,253</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Long-term debt ($342 and $345 at March 31, 2012 and December 31, 2011,</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4,303</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4,058</w:t>
            </w:r>
          </w:p>
        </w:tc>
        <w:tc>
          <w:tcPr>
            <w:tcW w:w="0" w:type="dxa"/>
            <w:vAlign w:val="bottom"/>
          </w:tcPr>
          <w:p>
            <w:pPr>
              <w:spacing w:after="0"/>
              <w:rPr>
                <w:sz w:val="1"/>
                <w:szCs w:val="1"/>
                <w:color w:val="auto"/>
              </w:rPr>
            </w:pPr>
          </w:p>
        </w:tc>
      </w:tr>
      <w:tr>
        <w:trPr>
          <w:trHeight w:val="167"/>
        </w:trPr>
        <w:tc>
          <w:tcPr>
            <w:tcW w:w="8580" w:type="dxa"/>
            <w:vAlign w:val="bottom"/>
          </w:tcPr>
          <w:p>
            <w:pPr>
              <w:ind w:left="180"/>
              <w:spacing w:after="0" w:line="160" w:lineRule="exact"/>
              <w:rPr>
                <w:sz w:val="20"/>
                <w:szCs w:val="20"/>
                <w:color w:val="auto"/>
              </w:rPr>
            </w:pPr>
            <w:r>
              <w:rPr>
                <w:rFonts w:ascii="Arial" w:cs="Arial" w:eastAsia="Arial" w:hAnsi="Arial"/>
                <w:sz w:val="16"/>
                <w:szCs w:val="16"/>
                <w:color w:val="auto"/>
              </w:rPr>
              <w:t>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347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1,337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1,527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704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232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4,461</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183"/>
        </w:trPr>
        <w:tc>
          <w:tcPr>
            <w:tcW w:w="8580" w:type="dxa"/>
            <w:vAlign w:val="bottom"/>
          </w:tcPr>
          <w:p>
            <w:pPr>
              <w:spacing w:after="0" w:line="176" w:lineRule="exact"/>
              <w:rPr>
                <w:sz w:val="20"/>
                <w:szCs w:val="20"/>
                <w:color w:val="auto"/>
              </w:rPr>
            </w:pPr>
            <w:r>
              <w:rPr>
                <w:rFonts w:ascii="Arial" w:cs="Arial" w:eastAsia="Arial" w:hAnsi="Arial"/>
                <w:sz w:val="16"/>
                <w:szCs w:val="16"/>
                <w:color w:val="auto"/>
              </w:rPr>
              <w:t>Contingently redeemable preferred stock</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86"/>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Common stock (255 million shares authorized; 117 million shares outstanding;</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1,338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2,516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4"/>
        </w:trPr>
        <w:tc>
          <w:tcPr>
            <w:tcW w:w="8580" w:type="dxa"/>
            <w:vAlign w:val="bottom"/>
          </w:tcPr>
          <w:p>
            <w:pPr>
              <w:ind w:left="360"/>
              <w:spacing w:after="0" w:line="164" w:lineRule="exact"/>
              <w:rPr>
                <w:sz w:val="20"/>
                <w:szCs w:val="20"/>
                <w:color w:val="auto"/>
              </w:rPr>
            </w:pPr>
            <w:r>
              <w:rPr>
                <w:rFonts w:ascii="Arial" w:cs="Arial" w:eastAsia="Arial" w:hAnsi="Arial"/>
                <w:sz w:val="16"/>
                <w:szCs w:val="16"/>
                <w:color w:val="auto"/>
              </w:rPr>
              <w:t>Total SDG&amp;E shareholder's equity</w:t>
            </w:r>
          </w:p>
        </w:tc>
        <w:tc>
          <w:tcPr>
            <w:tcW w:w="20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3,844</w:t>
            </w:r>
          </w:p>
        </w:tc>
        <w:tc>
          <w:tcPr>
            <w:tcW w:w="18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3,739</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3,952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3,841</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14,048</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13,555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
        <w:spacing w:after="0"/>
        <w:tabs>
          <w:tab w:leader="none" w:pos="480" w:val="left"/>
        </w:tabs>
        <w:rPr>
          <w:sz w:val="20"/>
          <w:szCs w:val="20"/>
          <w:color w:val="auto"/>
        </w:rPr>
      </w:pPr>
      <w:r>
        <w:rPr>
          <w:rFonts w:ascii="Arial" w:cs="Arial" w:eastAsia="Arial" w:hAnsi="Arial"/>
          <w:sz w:val="14"/>
          <w:szCs w:val="14"/>
          <w:i w:val="1"/>
          <w:iCs w:val="1"/>
          <w:color w:val="auto"/>
        </w:rPr>
        <w:t>(1)</w:t>
        <w:tab/>
        <w:t>Derived from audited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2420" w:type="dxa"/>
            <w:vAlign w:val="bottom"/>
            <w:gridSpan w:val="3"/>
          </w:tcPr>
          <w:p>
            <w:pPr>
              <w:jc w:val="center"/>
              <w:ind w:left="382"/>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5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41"/>
              <w:spacing w:after="0" w:line="157" w:lineRule="exact"/>
              <w:rPr>
                <w:sz w:val="20"/>
                <w:szCs w:val="20"/>
                <w:color w:val="auto"/>
              </w:rPr>
            </w:pPr>
            <w:r>
              <w:rPr>
                <w:rFonts w:ascii="Arial" w:cs="Arial" w:eastAsia="Arial" w:hAnsi="Arial"/>
                <w:sz w:val="14"/>
                <w:szCs w:val="14"/>
                <w:color w:val="auto"/>
              </w:rPr>
              <w:t>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4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Pr>
          <w:p>
            <w:pPr>
              <w:spacing w:after="0"/>
              <w:rPr>
                <w:sz w:val="16"/>
                <w:szCs w:val="16"/>
                <w:color w:val="auto"/>
              </w:rPr>
            </w:pPr>
          </w:p>
        </w:tc>
        <w:tc>
          <w:tcPr>
            <w:tcW w:w="1440" w:type="dxa"/>
            <w:vAlign w:val="bottom"/>
            <w:gridSpan w:val="2"/>
          </w:tcPr>
          <w:p>
            <w:pPr>
              <w:jc w:val="center"/>
              <w:ind w:right="441"/>
              <w:spacing w:after="0"/>
              <w:rPr>
                <w:sz w:val="20"/>
                <w:szCs w:val="20"/>
                <w:color w:val="auto"/>
              </w:rPr>
            </w:pPr>
            <w:r>
              <w:rPr>
                <w:rFonts w:ascii="Arial" w:cs="Arial" w:eastAsia="Arial" w:hAnsi="Arial"/>
                <w:sz w:val="14"/>
                <w:szCs w:val="14"/>
                <w:color w:val="auto"/>
              </w:rPr>
              <w:t>(unaudited)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112</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85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operating activities: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152</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Fixed price contracts and other derivatives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Changes in other assets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266</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67"/>
        </w:trPr>
        <w:tc>
          <w:tcPr>
            <w:tcW w:w="85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(398)</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Purchases of nuclear decommissioning trust assets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Proceeds from sales by nuclear decommissioning trusts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131</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Decrease in restricted cash</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(399)</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367"/>
        </w:trPr>
        <w:tc>
          <w:tcPr>
            <w:tcW w:w="85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Capital contribution</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Preferred dividends paid</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Issuance of long-term debt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249</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Payments on long-term debt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243</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40"/>
        </w:trPr>
        <w:tc>
          <w:tcPr>
            <w:tcW w:w="854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110</w:t>
            </w:r>
          </w:p>
        </w:tc>
        <w:tc>
          <w:tcPr>
            <w:tcW w:w="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4"/>
        </w:trPr>
        <w:tc>
          <w:tcPr>
            <w:tcW w:w="85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83"/>
        </w:trPr>
        <w:tc>
          <w:tcPr>
            <w:tcW w:w="8540" w:type="dxa"/>
            <w:vAlign w:val="bottom"/>
          </w:tcPr>
          <w:p>
            <w:pPr>
              <w:spacing w:after="0" w:line="176" w:lineRule="exact"/>
              <w:rPr>
                <w:sz w:val="20"/>
                <w:szCs w:val="20"/>
                <w:color w:val="auto"/>
              </w:rPr>
            </w:pPr>
            <w:r>
              <w:rPr>
                <w:rFonts w:ascii="Arial" w:cs="Arial" w:eastAsia="Arial" w:hAnsi="Arial"/>
                <w:sz w:val="16"/>
                <w:szCs w:val="16"/>
                <w:color w:val="auto"/>
              </w:rPr>
              <w:t>Cash and cash equivalents, March 31</w:t>
            </w:r>
          </w:p>
        </w:tc>
        <w:tc>
          <w:tcPr>
            <w:tcW w:w="980" w:type="dxa"/>
            <w:vAlign w:val="bottom"/>
            <w:tcBorders>
              <w:bottom w:val="single" w:sz="8" w:color="auto"/>
            </w:tcBorders>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139</w:t>
            </w:r>
          </w:p>
        </w:tc>
        <w:tc>
          <w:tcPr>
            <w:tcW w:w="920" w:type="dxa"/>
            <w:vAlign w:val="bottom"/>
            <w:tcBorders>
              <w:bottom w:val="single" w:sz="8" w:color="auto"/>
            </w:tcBorders>
          </w:tcPr>
          <w:p>
            <w:pPr>
              <w:jc w:val="right"/>
              <w:ind w:right="741"/>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40"/>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980" w:type="dxa"/>
            <w:vAlign w:val="bottom"/>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920" w:type="dxa"/>
            <w:vAlign w:val="bottom"/>
          </w:tcPr>
          <w:p>
            <w:pPr>
              <w:jc w:val="right"/>
              <w:ind w:right="741"/>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Income tax (refunds) payments, net</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2"/>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Accrued capital expenditures</w:t>
            </w:r>
          </w:p>
        </w:tc>
        <w:tc>
          <w:tcPr>
            <w:tcW w:w="980" w:type="dxa"/>
            <w:vAlign w:val="bottom"/>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134</w:t>
            </w:r>
          </w:p>
        </w:tc>
        <w:tc>
          <w:tcPr>
            <w:tcW w:w="920" w:type="dxa"/>
            <w:vAlign w:val="bottom"/>
          </w:tcPr>
          <w:p>
            <w:pPr>
              <w:jc w:val="right"/>
              <w:ind w:right="741"/>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2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4"/>
                <w:szCs w:val="14"/>
                <w:color w:val="auto"/>
              </w:rPr>
              <w:t>Three months ended March 31,</w:t>
            </w:r>
          </w:p>
        </w:tc>
        <w:tc>
          <w:tcPr>
            <w:tcW w:w="640" w:type="dxa"/>
            <w:vAlign w:val="bottom"/>
            <w:tcBorders>
              <w:bottom w:val="single" w:sz="8" w:color="auto"/>
            </w:tcBorders>
          </w:tcPr>
          <w:p>
            <w:pPr>
              <w:spacing w:after="0"/>
              <w:rPr>
                <w:sz w:val="14"/>
                <w:szCs w:val="14"/>
                <w:color w:val="auto"/>
              </w:rPr>
            </w:pPr>
          </w:p>
        </w:tc>
      </w:tr>
      <w:tr>
        <w:trPr>
          <w:trHeight w:val="183"/>
        </w:trPr>
        <w:tc>
          <w:tcPr>
            <w:tcW w:w="7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2011</w:t>
            </w:r>
          </w:p>
        </w:tc>
        <w:tc>
          <w:tcPr>
            <w:tcW w:w="640" w:type="dxa"/>
            <w:vAlign w:val="bottom"/>
            <w:tcBorders>
              <w:bottom w:val="single" w:sz="8" w:color="auto"/>
            </w:tcBorders>
          </w:tcPr>
          <w:p>
            <w:pPr>
              <w:spacing w:after="0"/>
              <w:rPr>
                <w:sz w:val="15"/>
                <w:szCs w:val="15"/>
                <w:color w:val="auto"/>
              </w:rPr>
            </w:pPr>
          </w:p>
        </w:tc>
      </w:tr>
      <w:tr>
        <w:trPr>
          <w:trHeight w:val="191"/>
        </w:trPr>
        <w:tc>
          <w:tcPr>
            <w:tcW w:w="7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40" w:type="dxa"/>
            <w:vAlign w:val="bottom"/>
            <w:gridSpan w:val="2"/>
          </w:tcPr>
          <w:p>
            <w:pPr>
              <w:jc w:val="right"/>
              <w:ind w:right="825"/>
              <w:spacing w:after="0"/>
              <w:rPr>
                <w:sz w:val="20"/>
                <w:szCs w:val="20"/>
                <w:color w:val="auto"/>
              </w:rPr>
            </w:pPr>
            <w:r>
              <w:rPr>
                <w:rFonts w:ascii="Arial" w:cs="Arial" w:eastAsia="Arial" w:hAnsi="Arial"/>
                <w:sz w:val="14"/>
                <w:szCs w:val="14"/>
                <w:color w:val="auto"/>
              </w:rPr>
              <w:t>(unaudited)</w:t>
            </w:r>
          </w:p>
        </w:tc>
        <w:tc>
          <w:tcPr>
            <w:tcW w:w="640" w:type="dxa"/>
            <w:vAlign w:val="bottom"/>
          </w:tcPr>
          <w:p>
            <w:pPr>
              <w:spacing w:after="0"/>
              <w:rPr>
                <w:sz w:val="16"/>
                <w:szCs w:val="16"/>
                <w:color w:val="auto"/>
              </w:rPr>
            </w:pPr>
          </w:p>
        </w:tc>
      </w:tr>
      <w:tr>
        <w:trPr>
          <w:trHeight w:val="343"/>
        </w:trPr>
        <w:tc>
          <w:tcPr>
            <w:tcW w:w="7620" w:type="dxa"/>
            <w:vAlign w:val="bottom"/>
          </w:tcPr>
          <w:p>
            <w:pPr>
              <w:spacing w:after="0"/>
              <w:rPr>
                <w:sz w:val="20"/>
                <w:szCs w:val="20"/>
                <w:color w:val="auto"/>
              </w:rPr>
            </w:pPr>
            <w:r>
              <w:rPr>
                <w:rFonts w:ascii="Arial" w:cs="Arial" w:eastAsia="Arial" w:hAnsi="Arial"/>
                <w:sz w:val="16"/>
                <w:szCs w:val="16"/>
                <w:color w:val="auto"/>
              </w:rPr>
              <w:t>Operating revenues</w:t>
            </w:r>
          </w:p>
        </w:tc>
        <w:tc>
          <w:tcPr>
            <w:tcW w:w="1320" w:type="dxa"/>
            <w:vAlign w:val="bottom"/>
            <w:tcBorders>
              <w:bottom w:val="single" w:sz="8" w:color="auto"/>
            </w:tcBorders>
          </w:tcPr>
          <w:p>
            <w:pPr>
              <w:jc w:val="right"/>
              <w:ind w:right="11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1260" w:type="dxa"/>
            <w:vAlign w:val="bottom"/>
            <w:tcBorders>
              <w:bottom w:val="single" w:sz="8" w:color="auto"/>
            </w:tcBorders>
          </w:tcPr>
          <w:p>
            <w:pPr>
              <w:jc w:val="right"/>
              <w:ind w:right="11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r>
      <w:tr>
        <w:trPr>
          <w:trHeight w:val="164"/>
        </w:trPr>
        <w:tc>
          <w:tcPr>
            <w:tcW w:w="762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762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13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349</w:t>
            </w:r>
          </w:p>
        </w:tc>
        <w:tc>
          <w:tcPr>
            <w:tcW w:w="12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531</w:t>
            </w:r>
          </w:p>
        </w:tc>
      </w:tr>
      <w:tr>
        <w:trPr>
          <w:trHeight w:val="176"/>
        </w:trPr>
        <w:tc>
          <w:tcPr>
            <w:tcW w:w="7620" w:type="dxa"/>
            <w:vAlign w:val="bottom"/>
          </w:tcPr>
          <w:p>
            <w:pPr>
              <w:ind w:left="180"/>
              <w:spacing w:after="0" w:line="176" w:lineRule="exact"/>
              <w:rPr>
                <w:sz w:val="20"/>
                <w:szCs w:val="20"/>
                <w:color w:val="auto"/>
              </w:rPr>
            </w:pPr>
            <w:r>
              <w:rPr>
                <w:rFonts w:ascii="Arial" w:cs="Arial" w:eastAsia="Arial" w:hAnsi="Arial"/>
                <w:sz w:val="16"/>
                <w:szCs w:val="16"/>
                <w:color w:val="auto"/>
              </w:rPr>
              <w:t>Operation and maintenance</w:t>
            </w:r>
          </w:p>
        </w:tc>
        <w:tc>
          <w:tcPr>
            <w:tcW w:w="13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289</w:t>
            </w:r>
          </w:p>
        </w:tc>
        <w:tc>
          <w:tcPr>
            <w:tcW w:w="12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288</w:t>
            </w:r>
          </w:p>
        </w:tc>
      </w:tr>
      <w:tr>
        <w:trPr>
          <w:trHeight w:val="176"/>
        </w:trPr>
        <w:tc>
          <w:tcPr>
            <w:tcW w:w="7620" w:type="dxa"/>
            <w:vAlign w:val="bottom"/>
          </w:tcPr>
          <w:p>
            <w:pPr>
              <w:ind w:left="180"/>
              <w:spacing w:after="0" w:line="176" w:lineRule="exact"/>
              <w:rPr>
                <w:sz w:val="20"/>
                <w:szCs w:val="20"/>
                <w:color w:val="auto"/>
              </w:rPr>
            </w:pPr>
            <w:r>
              <w:rPr>
                <w:rFonts w:ascii="Arial" w:cs="Arial" w:eastAsia="Arial" w:hAnsi="Arial"/>
                <w:sz w:val="16"/>
                <w:szCs w:val="16"/>
                <w:color w:val="auto"/>
              </w:rPr>
              <w:t>Depreciation and amortization</w:t>
            </w:r>
          </w:p>
        </w:tc>
        <w:tc>
          <w:tcPr>
            <w:tcW w:w="13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12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r>
      <w:tr>
        <w:trPr>
          <w:trHeight w:val="194"/>
        </w:trPr>
        <w:tc>
          <w:tcPr>
            <w:tcW w:w="762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83"/>
        </w:trPr>
        <w:tc>
          <w:tcPr>
            <w:tcW w:w="762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expenses</w:t>
            </w:r>
          </w:p>
        </w:tc>
        <w:tc>
          <w:tcPr>
            <w:tcW w:w="1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761</w:t>
            </w: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937</w:t>
            </w:r>
          </w:p>
        </w:tc>
      </w:tr>
      <w:tr>
        <w:trPr>
          <w:trHeight w:val="164"/>
        </w:trPr>
        <w:tc>
          <w:tcPr>
            <w:tcW w:w="7620" w:type="dxa"/>
            <w:vAlign w:val="bottom"/>
          </w:tcPr>
          <w:p>
            <w:pPr>
              <w:spacing w:after="0" w:line="164" w:lineRule="exact"/>
              <w:rPr>
                <w:sz w:val="20"/>
                <w:szCs w:val="20"/>
                <w:color w:val="auto"/>
              </w:rPr>
            </w:pPr>
            <w:r>
              <w:rPr>
                <w:rFonts w:ascii="Arial" w:cs="Arial" w:eastAsia="Arial" w:hAnsi="Arial"/>
                <w:sz w:val="16"/>
                <w:szCs w:val="16"/>
                <w:color w:val="auto"/>
              </w:rPr>
              <w:t>Operating income</w:t>
            </w:r>
          </w:p>
        </w:tc>
        <w:tc>
          <w:tcPr>
            <w:tcW w:w="132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Arial" w:cs="Arial" w:eastAsia="Arial" w:hAnsi="Arial"/>
                <w:sz w:val="16"/>
                <w:szCs w:val="16"/>
                <w:color w:val="auto"/>
              </w:rPr>
              <w:t>119</w:t>
            </w:r>
          </w:p>
        </w:tc>
        <w:tc>
          <w:tcPr>
            <w:tcW w:w="126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Arial" w:cs="Arial" w:eastAsia="Arial" w:hAnsi="Arial"/>
                <w:sz w:val="16"/>
                <w:szCs w:val="16"/>
                <w:color w:val="auto"/>
              </w:rPr>
              <w:t>119</w:t>
            </w:r>
          </w:p>
        </w:tc>
      </w:tr>
      <w:tr>
        <w:trPr>
          <w:trHeight w:val="176"/>
        </w:trPr>
        <w:tc>
          <w:tcPr>
            <w:tcW w:w="7620" w:type="dxa"/>
            <w:vAlign w:val="bottom"/>
          </w:tcPr>
          <w:p>
            <w:pPr>
              <w:spacing w:after="0" w:line="176" w:lineRule="exact"/>
              <w:rPr>
                <w:sz w:val="20"/>
                <w:szCs w:val="20"/>
                <w:color w:val="auto"/>
              </w:rPr>
            </w:pPr>
            <w:r>
              <w:rPr>
                <w:rFonts w:ascii="Arial" w:cs="Arial" w:eastAsia="Arial" w:hAnsi="Arial"/>
                <w:sz w:val="16"/>
                <w:szCs w:val="16"/>
                <w:color w:val="auto"/>
              </w:rPr>
              <w:t>Other income, net</w:t>
            </w:r>
          </w:p>
        </w:tc>
        <w:tc>
          <w:tcPr>
            <w:tcW w:w="13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2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94"/>
        </w:trPr>
        <w:tc>
          <w:tcPr>
            <w:tcW w:w="7620" w:type="dxa"/>
            <w:vAlign w:val="bottom"/>
          </w:tcPr>
          <w:p>
            <w:pPr>
              <w:spacing w:after="0"/>
              <w:rPr>
                <w:sz w:val="20"/>
                <w:szCs w:val="20"/>
                <w:color w:val="auto"/>
              </w:rPr>
            </w:pPr>
            <w:r>
              <w:rPr>
                <w:rFonts w:ascii="Arial" w:cs="Arial" w:eastAsia="Arial" w:hAnsi="Arial"/>
                <w:sz w:val="16"/>
                <w:szCs w:val="16"/>
                <w:color w:val="auto"/>
              </w:rPr>
              <w:t>Interest expense</w:t>
            </w:r>
          </w:p>
        </w:tc>
        <w:tc>
          <w:tcPr>
            <w:tcW w:w="1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64"/>
        </w:trPr>
        <w:tc>
          <w:tcPr>
            <w:tcW w:w="7620" w:type="dxa"/>
            <w:vAlign w:val="bottom"/>
          </w:tcPr>
          <w:p>
            <w:pPr>
              <w:spacing w:after="0" w:line="164" w:lineRule="exact"/>
              <w:rPr>
                <w:sz w:val="20"/>
                <w:szCs w:val="20"/>
                <w:color w:val="auto"/>
              </w:rPr>
            </w:pPr>
            <w:r>
              <w:rPr>
                <w:rFonts w:ascii="Arial" w:cs="Arial" w:eastAsia="Arial" w:hAnsi="Arial"/>
                <w:sz w:val="16"/>
                <w:szCs w:val="16"/>
                <w:color w:val="auto"/>
              </w:rPr>
              <w:t>Income before income taxes</w:t>
            </w:r>
          </w:p>
        </w:tc>
        <w:tc>
          <w:tcPr>
            <w:tcW w:w="132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Arial" w:cs="Arial" w:eastAsia="Arial" w:hAnsi="Arial"/>
                <w:sz w:val="16"/>
                <w:szCs w:val="16"/>
                <w:color w:val="auto"/>
              </w:rPr>
              <w:t>106</w:t>
            </w:r>
          </w:p>
        </w:tc>
        <w:tc>
          <w:tcPr>
            <w:tcW w:w="126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Arial" w:cs="Arial" w:eastAsia="Arial" w:hAnsi="Arial"/>
                <w:sz w:val="16"/>
                <w:szCs w:val="16"/>
                <w:color w:val="auto"/>
              </w:rPr>
              <w:t>105</w:t>
            </w:r>
          </w:p>
        </w:tc>
      </w:tr>
      <w:tr>
        <w:trPr>
          <w:trHeight w:val="194"/>
        </w:trPr>
        <w:tc>
          <w:tcPr>
            <w:tcW w:w="7620" w:type="dxa"/>
            <w:vAlign w:val="bottom"/>
          </w:tcPr>
          <w:p>
            <w:pPr>
              <w:spacing w:after="0"/>
              <w:rPr>
                <w:sz w:val="20"/>
                <w:szCs w:val="20"/>
                <w:color w:val="auto"/>
              </w:rPr>
            </w:pPr>
            <w:r>
              <w:rPr>
                <w:rFonts w:ascii="Arial" w:cs="Arial" w:eastAsia="Arial" w:hAnsi="Arial"/>
                <w:sz w:val="16"/>
                <w:szCs w:val="16"/>
                <w:color w:val="auto"/>
              </w:rPr>
              <w:t>Income tax expense</w:t>
            </w:r>
          </w:p>
        </w:tc>
        <w:tc>
          <w:tcPr>
            <w:tcW w:w="1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95"/>
        </w:trPr>
        <w:tc>
          <w:tcPr>
            <w:tcW w:w="7620" w:type="dxa"/>
            <w:vAlign w:val="bottom"/>
          </w:tcPr>
          <w:p>
            <w:pPr>
              <w:spacing w:after="0"/>
              <w:rPr>
                <w:sz w:val="20"/>
                <w:szCs w:val="20"/>
                <w:color w:val="auto"/>
              </w:rPr>
            </w:pPr>
            <w:r>
              <w:rPr>
                <w:rFonts w:ascii="Arial" w:cs="Arial" w:eastAsia="Arial" w:hAnsi="Arial"/>
                <w:sz w:val="16"/>
                <w:szCs w:val="16"/>
                <w:color w:val="auto"/>
              </w:rPr>
              <w:t>Net income/Earnings attributable to common shares</w:t>
            </w:r>
          </w:p>
        </w:tc>
        <w:tc>
          <w:tcPr>
            <w:tcW w:w="1320" w:type="dxa"/>
            <w:vAlign w:val="bottom"/>
          </w:tcPr>
          <w:p>
            <w:pPr>
              <w:jc w:val="right"/>
              <w:ind w:right="114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1260" w:type="dxa"/>
            <w:vAlign w:val="bottom"/>
          </w:tcPr>
          <w:p>
            <w:pPr>
              <w:jc w:val="right"/>
              <w:ind w:right="11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500"/>
        <w:spacing w:after="0" w:line="252" w:lineRule="auto"/>
        <w:rPr>
          <w:sz w:val="20"/>
          <w:szCs w:val="20"/>
          <w:color w:val="auto"/>
        </w:rPr>
      </w:pPr>
      <w:r>
        <w:rPr>
          <w:rFonts w:ascii="Arial" w:cs="Arial" w:eastAsia="Arial" w:hAnsi="Arial"/>
          <w:sz w:val="16"/>
          <w:szCs w:val="16"/>
          <w:b w:val="1"/>
          <w:bCs w:val="1"/>
          <w:color w:val="auto"/>
        </w:rPr>
        <w:t>SOUTHERN CALIFORNIA GAS COMPANY AND SUBSIDIARIES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334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796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222"/>
              <w:spacing w:after="0" w:line="159" w:lineRule="exact"/>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4"/>
                <w:szCs w:val="14"/>
                <w:color w:val="auto"/>
              </w:rPr>
            </w:pPr>
          </w:p>
        </w:tc>
      </w:tr>
      <w:tr>
        <w:trPr>
          <w:trHeight w:val="183"/>
        </w:trPr>
        <w:tc>
          <w:tcPr>
            <w:tcW w:w="79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2012</w:t>
            </w:r>
          </w:p>
        </w:tc>
        <w:tc>
          <w:tcPr>
            <w:tcW w:w="10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5"/>
                <w:szCs w:val="15"/>
                <w:color w:val="auto"/>
              </w:rPr>
            </w:pPr>
          </w:p>
        </w:tc>
      </w:tr>
      <w:tr>
        <w:trPr>
          <w:trHeight w:val="164"/>
        </w:trPr>
        <w:tc>
          <w:tcPr>
            <w:tcW w:w="7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(unaudited)</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6"/>
        </w:trPr>
        <w:tc>
          <w:tcPr>
            <w:tcW w:w="7960" w:type="dxa"/>
            <w:vAlign w:val="bottom"/>
          </w:tcPr>
          <w:p>
            <w:pPr>
              <w:spacing w:after="0" w:line="176" w:lineRule="exact"/>
              <w:rPr>
                <w:sz w:val="20"/>
                <w:szCs w:val="20"/>
                <w:color w:val="auto"/>
              </w:rPr>
            </w:pPr>
            <w:r>
              <w:rPr>
                <w:rFonts w:ascii="Arial" w:cs="Arial" w:eastAsia="Arial" w:hAnsi="Arial"/>
                <w:sz w:val="16"/>
                <w:szCs w:val="16"/>
                <w:color w:val="auto"/>
              </w:rPr>
              <w:t>Net income</w:t>
            </w:r>
          </w:p>
        </w:tc>
        <w:tc>
          <w:tcPr>
            <w:tcW w:w="1100" w:type="dxa"/>
            <w:vAlign w:val="bottom"/>
          </w:tcPr>
          <w:p>
            <w:pPr>
              <w:jc w:val="right"/>
              <w:ind w:right="743"/>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581"/>
              <w:spacing w:after="0" w:line="176" w:lineRule="exact"/>
              <w:rPr>
                <w:sz w:val="20"/>
                <w:szCs w:val="20"/>
                <w:color w:val="auto"/>
              </w:rPr>
            </w:pPr>
            <w:r>
              <w:rPr>
                <w:rFonts w:ascii="Arial" w:cs="Arial" w:eastAsia="Arial" w:hAnsi="Arial"/>
                <w:sz w:val="16"/>
                <w:szCs w:val="16"/>
                <w:color w:val="auto"/>
              </w:rPr>
              <w:t>66</w:t>
            </w:r>
          </w:p>
        </w:tc>
        <w:tc>
          <w:tcPr>
            <w:tcW w:w="920" w:type="dxa"/>
            <w:vAlign w:val="bottom"/>
          </w:tcPr>
          <w:p>
            <w:pPr>
              <w:jc w:val="right"/>
              <w:ind w:right="742"/>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r>
      <w:tr>
        <w:trPr>
          <w:trHeight w:val="194"/>
        </w:trPr>
        <w:tc>
          <w:tcPr>
            <w:tcW w:w="7960" w:type="dxa"/>
            <w:vAlign w:val="bottom"/>
          </w:tcPr>
          <w:p>
            <w:pPr>
              <w:spacing w:after="0"/>
              <w:rPr>
                <w:sz w:val="20"/>
                <w:szCs w:val="20"/>
                <w:color w:val="auto"/>
              </w:rPr>
            </w:pPr>
            <w:r>
              <w:rPr>
                <w:rFonts w:ascii="Arial" w:cs="Arial" w:eastAsia="Arial" w:hAnsi="Arial"/>
                <w:sz w:val="16"/>
                <w:szCs w:val="16"/>
                <w:color w:val="auto"/>
              </w:rPr>
              <w:t>Total other comprehensive income, net of tax</w:t>
            </w:r>
          </w:p>
        </w:tc>
        <w:tc>
          <w:tcPr>
            <w:tcW w:w="1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7960" w:type="dxa"/>
            <w:vAlign w:val="bottom"/>
          </w:tcPr>
          <w:p>
            <w:pPr>
              <w:spacing w:after="0"/>
              <w:rPr>
                <w:sz w:val="20"/>
                <w:szCs w:val="20"/>
                <w:color w:val="auto"/>
              </w:rPr>
            </w:pPr>
            <w:r>
              <w:rPr>
                <w:rFonts w:ascii="Arial" w:cs="Arial" w:eastAsia="Arial" w:hAnsi="Arial"/>
                <w:sz w:val="16"/>
                <w:szCs w:val="16"/>
                <w:color w:val="auto"/>
              </w:rPr>
              <w:t>Comprehensive income attributable to common and preferred shareholders</w:t>
            </w:r>
          </w:p>
        </w:tc>
        <w:tc>
          <w:tcPr>
            <w:tcW w:w="110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81"/>
              <w:spacing w:after="0"/>
              <w:rPr>
                <w:sz w:val="20"/>
                <w:szCs w:val="20"/>
                <w:color w:val="auto"/>
              </w:rPr>
            </w:pPr>
            <w:r>
              <w:rPr>
                <w:rFonts w:ascii="Arial" w:cs="Arial" w:eastAsia="Arial" w:hAnsi="Arial"/>
                <w:sz w:val="16"/>
                <w:szCs w:val="16"/>
                <w:color w:val="auto"/>
              </w:rPr>
              <w:t>66</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receivable – trade,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457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receivable – other,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Temporary LIFO liquidation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933</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359"/>
        </w:trPr>
        <w:tc>
          <w:tcPr>
            <w:tcW w:w="8580" w:type="dxa"/>
            <w:vAlign w:val="bottom"/>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751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897</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340"/>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10,679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10,565</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6,662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8,492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spacing w:after="0"/>
        <w:tabs>
          <w:tab w:leader="none" w:pos="480" w:val="left"/>
        </w:tabs>
        <w:rPr>
          <w:sz w:val="20"/>
          <w:szCs w:val="20"/>
          <w:color w:val="auto"/>
        </w:rPr>
      </w:pPr>
      <w:r>
        <w:rPr>
          <w:rFonts w:ascii="Arial" w:cs="Arial" w:eastAsia="Arial" w:hAnsi="Arial"/>
          <w:sz w:val="14"/>
          <w:szCs w:val="14"/>
          <w:i w:val="1"/>
          <w:iCs w:val="1"/>
          <w:color w:val="auto"/>
        </w:rPr>
        <w:t>(1)</w:t>
        <w:tab/>
        <w:t>Derived from audited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2011(1)</w:t>
            </w:r>
          </w:p>
        </w:tc>
        <w:tc>
          <w:tcPr>
            <w:tcW w:w="0" w:type="dxa"/>
            <w:vAlign w:val="bottom"/>
          </w:tcPr>
          <w:p>
            <w:pPr>
              <w:spacing w:after="0"/>
              <w:rPr>
                <w:sz w:val="1"/>
                <w:szCs w:val="1"/>
                <w:color w:val="auto"/>
              </w:rPr>
            </w:pPr>
          </w:p>
        </w:tc>
      </w:tr>
      <w:tr>
        <w:trPr>
          <w:trHeight w:val="191"/>
        </w:trPr>
        <w:tc>
          <w:tcPr>
            <w:tcW w:w="8580" w:type="dxa"/>
            <w:vAlign w:val="bottom"/>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trade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195</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 other</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Due to unconsolidated affiliate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256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1,168</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183"/>
        </w:trPr>
        <w:tc>
          <w:tcPr>
            <w:tcW w:w="8580" w:type="dxa"/>
            <w:vAlign w:val="bottom"/>
          </w:tcPr>
          <w:p>
            <w:pPr>
              <w:spacing w:after="0" w:line="176" w:lineRule="exact"/>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1,063</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164"/>
        </w:trPr>
        <w:tc>
          <w:tcPr>
            <w:tcW w:w="8580" w:type="dxa"/>
            <w:vAlign w:val="bottom"/>
          </w:tcPr>
          <w:p>
            <w:pPr>
              <w:spacing w:after="0" w:line="164" w:lineRule="exact"/>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778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599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1,080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1,173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Deferred taxes refundable in rates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4,052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4,071</w:t>
            </w:r>
          </w:p>
        </w:tc>
        <w:tc>
          <w:tcPr>
            <w:tcW w:w="0" w:type="dxa"/>
            <w:vAlign w:val="bottom"/>
          </w:tcPr>
          <w:p>
            <w:pPr>
              <w:spacing w:after="0"/>
              <w:rPr>
                <w:sz w:val="1"/>
                <w:szCs w:val="1"/>
                <w:color w:val="auto"/>
              </w:rPr>
            </w:pPr>
          </w:p>
        </w:tc>
      </w:tr>
      <w:tr>
        <w:trPr>
          <w:trHeight w:val="359"/>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580" w:type="dxa"/>
            <w:vAlign w:val="bottom"/>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Preferred stock</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Common stock (100 million shares authorized; 91 million shares outstanding;</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76"/>
        </w:trPr>
        <w:tc>
          <w:tcPr>
            <w:tcW w:w="8580" w:type="dxa"/>
            <w:vAlign w:val="bottom"/>
          </w:tcPr>
          <w:p>
            <w:pPr>
              <w:ind w:left="180"/>
              <w:spacing w:after="0" w:line="176" w:lineRule="exact"/>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1,342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194"/>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8580" w:type="dxa"/>
            <w:vAlign w:val="bottom"/>
          </w:tcPr>
          <w:p>
            <w:pPr>
              <w:ind w:left="360"/>
              <w:spacing w:after="0" w:line="176" w:lineRule="exact"/>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2,209</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8,492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spacing w:after="0"/>
        <w:tabs>
          <w:tab w:leader="none" w:pos="480" w:val="left"/>
        </w:tabs>
        <w:rPr>
          <w:sz w:val="20"/>
          <w:szCs w:val="20"/>
          <w:color w:val="auto"/>
        </w:rPr>
      </w:pPr>
      <w:r>
        <w:rPr>
          <w:rFonts w:ascii="Arial" w:cs="Arial" w:eastAsia="Arial" w:hAnsi="Arial"/>
          <w:sz w:val="14"/>
          <w:szCs w:val="14"/>
          <w:i w:val="1"/>
          <w:iCs w:val="1"/>
          <w:color w:val="auto"/>
        </w:rPr>
        <w:t>(1)</w:t>
        <w:tab/>
        <w:t>Derived from audited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6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139"/>
              <w:spacing w:after="0" w:line="159"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83"/>
        </w:trPr>
        <w:tc>
          <w:tcPr>
            <w:tcW w:w="69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1"/>
        </w:trPr>
        <w:tc>
          <w:tcPr>
            <w:tcW w:w="692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92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180"/>
              <w:spacing w:after="0" w:line="176" w:lineRule="exact"/>
              <w:rPr>
                <w:sz w:val="20"/>
                <w:szCs w:val="20"/>
                <w:color w:val="auto"/>
              </w:rPr>
            </w:pPr>
            <w:r>
              <w:rPr>
                <w:rFonts w:ascii="Arial" w:cs="Arial" w:eastAsia="Arial" w:hAnsi="Arial"/>
                <w:sz w:val="16"/>
                <w:szCs w:val="16"/>
                <w:color w:val="auto"/>
              </w:rPr>
              <w:t>Net income</w:t>
            </w:r>
          </w:p>
        </w:tc>
        <w:tc>
          <w:tcPr>
            <w:tcW w:w="2800" w:type="dxa"/>
            <w:vAlign w:val="bottom"/>
            <w:gridSpan w:val="2"/>
          </w:tcPr>
          <w:p>
            <w:pPr>
              <w:jc w:val="right"/>
              <w:ind w:right="563"/>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460" w:type="dxa"/>
            <w:vAlign w:val="bottom"/>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76"/>
        </w:trPr>
        <w:tc>
          <w:tcPr>
            <w:tcW w:w="6920" w:type="dxa"/>
            <w:vAlign w:val="bottom"/>
          </w:tcPr>
          <w:p>
            <w:pPr>
              <w:ind w:left="180"/>
              <w:spacing w:after="0" w:line="176" w:lineRule="exact"/>
              <w:rPr>
                <w:sz w:val="20"/>
                <w:szCs w:val="20"/>
                <w:color w:val="auto"/>
              </w:rPr>
            </w:pPr>
            <w:r>
              <w:rPr>
                <w:rFonts w:ascii="Arial" w:cs="Arial" w:eastAsia="Arial" w:hAnsi="Arial"/>
                <w:sz w:val="16"/>
                <w:szCs w:val="16"/>
                <w:color w:val="auto"/>
              </w:rPr>
              <w:t>Adjustments to reconcile net income to net cash provided by</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360"/>
              <w:spacing w:after="0" w:line="176" w:lineRule="exact"/>
              <w:rPr>
                <w:sz w:val="20"/>
                <w:szCs w:val="20"/>
                <w:color w:val="auto"/>
              </w:rPr>
            </w:pPr>
            <w:r>
              <w:rPr>
                <w:rFonts w:ascii="Arial" w:cs="Arial" w:eastAsia="Arial" w:hAnsi="Arial"/>
                <w:sz w:val="16"/>
                <w:szCs w:val="16"/>
                <w:color w:val="auto"/>
              </w:rPr>
              <w:t>operating activities:</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540"/>
              <w:spacing w:after="0" w:line="176" w:lineRule="exact"/>
              <w:rPr>
                <w:sz w:val="20"/>
                <w:szCs w:val="20"/>
                <w:color w:val="auto"/>
              </w:rPr>
            </w:pPr>
            <w:r>
              <w:rPr>
                <w:rFonts w:ascii="Arial" w:cs="Arial" w:eastAsia="Arial" w:hAnsi="Arial"/>
                <w:sz w:val="16"/>
                <w:szCs w:val="16"/>
                <w:color w:val="auto"/>
              </w:rPr>
              <w:t>Depreciation and amortization</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4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76"/>
        </w:trPr>
        <w:tc>
          <w:tcPr>
            <w:tcW w:w="692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4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76"/>
        </w:trPr>
        <w:tc>
          <w:tcPr>
            <w:tcW w:w="692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4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692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280</w:t>
            </w:r>
          </w:p>
        </w:tc>
        <w:tc>
          <w:tcPr>
            <w:tcW w:w="4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76"/>
        </w:trPr>
        <w:tc>
          <w:tcPr>
            <w:tcW w:w="6920" w:type="dxa"/>
            <w:vAlign w:val="bottom"/>
          </w:tcPr>
          <w:p>
            <w:pPr>
              <w:ind w:left="180"/>
              <w:spacing w:after="0" w:line="176" w:lineRule="exact"/>
              <w:rPr>
                <w:sz w:val="20"/>
                <w:szCs w:val="20"/>
                <w:color w:val="auto"/>
              </w:rPr>
            </w:pPr>
            <w:r>
              <w:rPr>
                <w:rFonts w:ascii="Arial" w:cs="Arial" w:eastAsia="Arial" w:hAnsi="Arial"/>
                <w:sz w:val="16"/>
                <w:szCs w:val="16"/>
                <w:color w:val="auto"/>
              </w:rPr>
              <w:t>Changes in other assets</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4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4"/>
        </w:trPr>
        <w:tc>
          <w:tcPr>
            <w:tcW w:w="692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20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692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20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449</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40"/>
        </w:trPr>
        <w:tc>
          <w:tcPr>
            <w:tcW w:w="6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(165)</w:t>
            </w:r>
          </w:p>
        </w:tc>
        <w:tc>
          <w:tcPr>
            <w:tcW w:w="4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94"/>
        </w:trPr>
        <w:tc>
          <w:tcPr>
            <w:tcW w:w="6920" w:type="dxa"/>
            <w:vAlign w:val="bottom"/>
          </w:tcPr>
          <w:p>
            <w:pPr>
              <w:ind w:left="180"/>
              <w:spacing w:after="0"/>
              <w:rPr>
                <w:sz w:val="20"/>
                <w:szCs w:val="20"/>
                <w:color w:val="auto"/>
              </w:rPr>
            </w:pPr>
            <w:r>
              <w:rPr>
                <w:rFonts w:ascii="Arial" w:cs="Arial" w:eastAsia="Arial" w:hAnsi="Arial"/>
                <w:sz w:val="16"/>
                <w:szCs w:val="16"/>
                <w:color w:val="auto"/>
              </w:rPr>
              <w:t>Increase in loans to affiliates, net</w:t>
            </w:r>
          </w:p>
        </w:tc>
        <w:tc>
          <w:tcPr>
            <w:tcW w:w="20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83"/>
        </w:trPr>
        <w:tc>
          <w:tcPr>
            <w:tcW w:w="692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20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(365)</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340"/>
        </w:trPr>
        <w:tc>
          <w:tcPr>
            <w:tcW w:w="6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180"/>
              <w:spacing w:after="0" w:line="176" w:lineRule="exact"/>
              <w:rPr>
                <w:sz w:val="20"/>
                <w:szCs w:val="20"/>
                <w:color w:val="auto"/>
              </w:rPr>
            </w:pPr>
            <w:r>
              <w:rPr>
                <w:rFonts w:ascii="Arial" w:cs="Arial" w:eastAsia="Arial" w:hAnsi="Arial"/>
                <w:sz w:val="16"/>
                <w:szCs w:val="16"/>
                <w:color w:val="auto"/>
              </w:rPr>
              <w:t>Common dividends paid</w:t>
            </w: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4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4"/>
        </w:trPr>
        <w:tc>
          <w:tcPr>
            <w:tcW w:w="6920" w:type="dxa"/>
            <w:vAlign w:val="bottom"/>
          </w:tcPr>
          <w:p>
            <w:pPr>
              <w:ind w:left="180"/>
              <w:spacing w:after="0"/>
              <w:rPr>
                <w:sz w:val="20"/>
                <w:szCs w:val="20"/>
                <w:color w:val="auto"/>
              </w:rPr>
            </w:pPr>
            <w:r>
              <w:rPr>
                <w:rFonts w:ascii="Arial" w:cs="Arial" w:eastAsia="Arial" w:hAnsi="Arial"/>
                <w:sz w:val="16"/>
                <w:szCs w:val="16"/>
                <w:color w:val="auto"/>
              </w:rPr>
              <w:t>Payment of long-term debt</w:t>
            </w:r>
          </w:p>
        </w:tc>
        <w:tc>
          <w:tcPr>
            <w:tcW w:w="20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83"/>
        </w:trPr>
        <w:tc>
          <w:tcPr>
            <w:tcW w:w="692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financing activities</w:t>
            </w:r>
          </w:p>
        </w:tc>
        <w:tc>
          <w:tcPr>
            <w:tcW w:w="20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692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34</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94"/>
        </w:trPr>
        <w:tc>
          <w:tcPr>
            <w:tcW w:w="692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20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83"/>
        </w:trPr>
        <w:tc>
          <w:tcPr>
            <w:tcW w:w="6920" w:type="dxa"/>
            <w:vAlign w:val="bottom"/>
          </w:tcPr>
          <w:p>
            <w:pPr>
              <w:spacing w:after="0" w:line="176" w:lineRule="exact"/>
              <w:rPr>
                <w:sz w:val="20"/>
                <w:szCs w:val="20"/>
                <w:color w:val="auto"/>
              </w:rPr>
            </w:pPr>
            <w:r>
              <w:rPr>
                <w:rFonts w:ascii="Arial" w:cs="Arial" w:eastAsia="Arial" w:hAnsi="Arial"/>
                <w:sz w:val="16"/>
                <w:szCs w:val="16"/>
                <w:color w:val="auto"/>
              </w:rPr>
              <w:t>Cash and cash equivalents, March 31</w:t>
            </w:r>
          </w:p>
        </w:tc>
        <w:tc>
          <w:tcPr>
            <w:tcW w:w="2060" w:type="dxa"/>
            <w:vAlign w:val="bottom"/>
          </w:tcPr>
          <w:p>
            <w:pPr>
              <w:spacing w:after="0"/>
              <w:rPr>
                <w:sz w:val="15"/>
                <w:szCs w:val="15"/>
                <w:color w:val="auto"/>
              </w:rPr>
            </w:pPr>
          </w:p>
        </w:tc>
        <w:tc>
          <w:tcPr>
            <w:tcW w:w="740" w:type="dxa"/>
            <w:vAlign w:val="bottom"/>
            <w:tcBorders>
              <w:bottom w:val="single" w:sz="8" w:color="auto"/>
            </w:tcBorders>
          </w:tcPr>
          <w:p>
            <w:pPr>
              <w:jc w:val="right"/>
              <w:ind w:right="563"/>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70</w:t>
            </w:r>
          </w:p>
        </w:tc>
        <w:tc>
          <w:tcPr>
            <w:tcW w:w="460" w:type="dxa"/>
            <w:vAlign w:val="bottom"/>
            <w:tcBorders>
              <w:bottom w:val="single" w:sz="8" w:color="auto"/>
            </w:tcBorders>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40"/>
        </w:trPr>
        <w:tc>
          <w:tcPr>
            <w:tcW w:w="692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2800" w:type="dxa"/>
            <w:vAlign w:val="bottom"/>
            <w:gridSpan w:val="2"/>
          </w:tcPr>
          <w:p>
            <w:pPr>
              <w:jc w:val="right"/>
              <w:ind w:right="563"/>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460" w:type="dxa"/>
            <w:vAlign w:val="bottom"/>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5"/>
        </w:trPr>
        <w:tc>
          <w:tcPr>
            <w:tcW w:w="6920" w:type="dxa"/>
            <w:vAlign w:val="bottom"/>
          </w:tcPr>
          <w:p>
            <w:pPr>
              <w:ind w:left="180"/>
              <w:spacing w:after="0"/>
              <w:rPr>
                <w:sz w:val="20"/>
                <w:szCs w:val="20"/>
                <w:color w:val="auto"/>
              </w:rPr>
            </w:pPr>
            <w:r>
              <w:rPr>
                <w:rFonts w:ascii="Arial" w:cs="Arial" w:eastAsia="Arial" w:hAnsi="Arial"/>
                <w:sz w:val="16"/>
                <w:szCs w:val="16"/>
                <w:color w:val="auto"/>
              </w:rPr>
              <w:t>Income tax refunds, net</w:t>
            </w:r>
          </w:p>
        </w:tc>
        <w:tc>
          <w:tcPr>
            <w:tcW w:w="2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2"/>
        </w:trPr>
        <w:tc>
          <w:tcPr>
            <w:tcW w:w="692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92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2800" w:type="dxa"/>
            <w:vAlign w:val="bottom"/>
            <w:gridSpan w:val="2"/>
          </w:tcPr>
          <w:p>
            <w:pPr>
              <w:jc w:val="right"/>
              <w:ind w:right="56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64</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8" w:name="page19"/>
    <w:bookmarkEnd w:id="18"/>
    <w:p>
      <w:pPr>
        <w:spacing w:after="0" w:line="22"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2012 Business Segment Realignment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January 1, 2012, management realigned some of the company’s major subsidiaries to better fit its strategic direction and to enhance the management and integration of our assets. This realignment resulted in a change in reportable segments in 2012. In accordance with accounting principles generally accepted in the United States (GAAP), historical information for Sempra Energy has been restated in its Condensed Consolidated Financial Statements and these Notes to reflect the effect of this change. All discussions of our operating units and reportable segments in these Notes reflect the new segments and operating structure.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Sempra Energy’s Condensed Consolidated Financial Statements include the accounts of Sempra Energy, a California-based Fortune 500 holding company, and its consolidated subsidiaries and a variable interest entity (VIE). Sempra Energy’s principal operating units are</w:t>
      </w:r>
    </w:p>
    <w:p>
      <w:pPr>
        <w:spacing w:after="0" w:line="170" w:lineRule="exact"/>
        <w:rPr>
          <w:sz w:val="20"/>
          <w:szCs w:val="20"/>
          <w:color w:val="auto"/>
        </w:rPr>
      </w:pPr>
    </w:p>
    <w:p>
      <w:pPr>
        <w:ind w:left="340" w:hanging="188"/>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San Diego Gas &amp; Electric Company (SDG&amp;E) and Southern California Gas Company (SoCalGas);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refer to SDG&amp;E and SoCalGas collectively as the California Utilities, which do not include the utilities in our Sempra International and Sempra U.S. Gas</w:t>
      </w:r>
    </w:p>
    <w:p>
      <w:pPr>
        <w:spacing w:after="0" w:line="46" w:lineRule="exact"/>
        <w:rPr>
          <w:sz w:val="20"/>
          <w:szCs w:val="20"/>
          <w:color w:val="auto"/>
        </w:rPr>
      </w:pPr>
    </w:p>
    <w:p>
      <w:pPr>
        <w:ind w:right="300" w:firstLine="8"/>
        <w:spacing w:after="0" w:line="255"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subsidiaries in Note 4 herein and Note 4 of the Notes to Consolidated Financial Statements in our Annual Report on Form 10-K for the year ended December 31, 2011.</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SoCalGas’ Condensed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have prepared the Condensed Consolidated Financial Statements in conformity with GAAP and in accordance with the interim-period-reporting requirements of Form 10-Q. Results of operations for interim periods are not necessarily indicative of results for the entire year. We evaluated events and transactions that occurred after March 31, 2012 through the date the financial statements were issued and, in the opinion of management, the accompanying statements reflect all adjustments necessary for a fair presentation. These adjustments are only of a normal, recurring nature.</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we discuss in Note 3, in April 2011, Sempra South American Utilities acquired controlling interests in two electric distribution utilities in South America. Sempra Natural Gas owns Mobile Gas Service Corporation (Mobile Gas) in southwest Alabama and Sempra Mexico owns Ecogas Mexico, S de RL de CV (Ecogas) in Northern Mexico, both natural gas distribution utilities. Previous to the quarterly report for the quarter ended June 30, 2011, we provided separate revenue and cost of revenue information on our consolidated statements of operations for the California Utilities only, as the amounts for Mobile Gas and Ecogas were immaterial. Due to the addition of the South American utilities, beginning with the quarterly report for the quarter ended June 30, 2011, we have</w:t>
      </w:r>
    </w:p>
    <w:p>
      <w:pPr>
        <w:sectPr>
          <w:pgSz w:w="11900" w:h="16860" w:orient="portrait"/>
          <w:cols w:equalWidth="0" w:num="1">
            <w:col w:w="11400"/>
          </w:cols>
          <w:pgMar w:left="240" w:top="1022" w:right="259" w:bottom="0" w:gutter="0" w:footer="0" w:header="0"/>
        </w:sectPr>
      </w:pPr>
    </w:p>
    <w:bookmarkStart w:id="19" w:name="page20"/>
    <w:bookmarkEnd w:id="19"/>
    <w:p>
      <w:pPr>
        <w:spacing w:after="0" w:line="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provided separate revenue and cost of revenue information on the Condensed Consolidated Statements of Operations on a combined basis for all of our utilities. Accordingly, amounts in the quarterly period ended March 31, 2011 have been reclassified to conform with the current year presentation.</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All December 31, 2011 balance sheet information in the Condensed Consolidated Financial Statements has been derived from our audited 2011 consolidated financial statements. Certain information and note disclosures normally included in annual financial statements prepared in accordance with GAAP have been condensed or omitted pursuant to the interim-period-reporting provisions of GAAP and the Securities and Exchange Commission.</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You should read the information in this Quarterly Report in conjunction with our Annual Report on Form 10-K for the year ended December 31, 2011 (the Annual Report) which is a combined report for Sempra Energy, SDG&amp;E and SoCalGas.</w:t>
      </w:r>
    </w:p>
    <w:p>
      <w:pPr>
        <w:spacing w:after="0" w:line="17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 We follow the same accounting policies for interim reporting purposes, except for the change in accounting principle discussed below and the adoption of new accounting standards as we discuss in Note 2.</w:t>
      </w:r>
    </w:p>
    <w:p>
      <w:pPr>
        <w:spacing w:after="0" w:line="18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California Utilities, Sempra Natural Gas’ Mobile Gas and Sempra Mexico’s Ecogas prepare their financial statements in accordance with GAAP provisions governing regulated operations, as we discuss in Note 1 of the Notes to Consolidated Financial Statements in the Annual Report.</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Accounting Principle</w:t>
      </w:r>
    </w:p>
    <w:p>
      <w:pPr>
        <w:spacing w:after="0" w:line="2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Effective January 1, 2012, we changed our method of accounting for investment tax credits (ITC) from the flow-through method to the deferral method for Sempra Energy. Under the flow-through method, we reduced our income tax expense by the amount of ITC in the year in which the qualifying assets were placed in service. Under the deferral method, we record ITC in the year when the qualifying assets are placed in service as a reduction to the cost of the asset that generated the ITC. This results in lower book depreciation over the life of the asset. This change has no historical or prospective impact on the California Utilities because ITC is effectively deferred as a result of the application of regulatory accounting required under GAAP.</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flow-through method and the deferral method are both acceptable under GAAP, but the deferral method is the preferred method. We believe that the deferral method is preferable for the ITC we receive because it recognizes ITC benefits over the same periods as the associated costs for which the ITC are intended to compensate.</w:t>
      </w:r>
    </w:p>
    <w:p>
      <w:pPr>
        <w:spacing w:after="0" w:line="18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We applied this change in accounting principle by retrospectively adjusting the historical financial statement amounts for all periods presented. Upon adopting the deferral method, we recorded an adjustment for the cumulative effect of the change in accounting principle to reduce Sempra Energy Consolidated retained earnings as of January 1, 2011 by $37 million.</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certain solar generating assets being placed into service during 2012, we have elected to seek cash grants rather than ITC for which the projects also qualify. Accordingly, cash grant accounting, which is similar to deferral accounting of ITC, is required to be applied. As a result, the impact of our change in accounting policy for ITC on our financial statements for the three months ending March 31, 2012 is insignificant.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summarize the effects of the change in accounting principle on Sempra Energy Consolidated’s condensed financial statements for historical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CHANGE IN ACCOUNTING PRINCIPLE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 2011</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31"/>
        </w:trPr>
        <w:tc>
          <w:tcPr>
            <w:tcW w:w="5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color w:val="auto"/>
              </w:rPr>
              <w:t>As</w:t>
            </w: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color w:val="auto"/>
              </w:rPr>
              <w:t>Originally</w:t>
            </w: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color w:val="auto"/>
              </w:rPr>
              <w:t>Retrospectively</w:t>
            </w:r>
          </w:p>
        </w:tc>
      </w:tr>
      <w:tr>
        <w:trPr>
          <w:trHeight w:val="208"/>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Sempra Energy Consolidated</w:t>
            </w: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Reported</w:t>
            </w:r>
          </w:p>
        </w:tc>
        <w:tc>
          <w:tcPr>
            <w:tcW w:w="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Adjustments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Adjusted</w:t>
            </w: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OPERATIONS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6"/>
        </w:trPr>
        <w:tc>
          <w:tcPr>
            <w:tcW w:w="5900" w:type="dxa"/>
            <w:vAlign w:val="bottom"/>
          </w:tcPr>
          <w:p>
            <w:pPr>
              <w:spacing w:after="0"/>
              <w:rPr>
                <w:sz w:val="20"/>
                <w:szCs w:val="20"/>
                <w:color w:val="auto"/>
              </w:rPr>
            </w:pPr>
            <w:r>
              <w:rPr>
                <w:rFonts w:ascii="Arial" w:cs="Arial" w:eastAsia="Arial" w:hAnsi="Arial"/>
                <w:sz w:val="14"/>
                <w:szCs w:val="14"/>
                <w:color w:val="auto"/>
              </w:rPr>
              <w:t>Income before income taxes and equity earnings</w:t>
            </w: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62"/>
        </w:trPr>
        <w:tc>
          <w:tcPr>
            <w:tcW w:w="5900" w:type="dxa"/>
            <w:vAlign w:val="bottom"/>
          </w:tcPr>
          <w:p>
            <w:pPr>
              <w:ind w:left="200"/>
              <w:spacing w:after="0"/>
              <w:rPr>
                <w:sz w:val="20"/>
                <w:szCs w:val="20"/>
                <w:color w:val="auto"/>
              </w:rPr>
            </w:pPr>
            <w:r>
              <w:rPr>
                <w:rFonts w:ascii="Arial" w:cs="Arial" w:eastAsia="Arial" w:hAnsi="Arial"/>
                <w:sz w:val="14"/>
                <w:szCs w:val="14"/>
                <w:color w:val="auto"/>
              </w:rPr>
              <w:t>of certain unconsolidated subsidiaries</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440" w:type="dxa"/>
            <w:vAlign w:val="bottom"/>
          </w:tcPr>
          <w:p>
            <w:pPr>
              <w:spacing w:after="0"/>
              <w:rPr>
                <w:sz w:val="14"/>
                <w:szCs w:val="14"/>
                <w:color w:val="auto"/>
              </w:rPr>
            </w:pP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343</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Income tax expense</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440" w:type="dxa"/>
            <w:vAlign w:val="bottom"/>
          </w:tcPr>
          <w:p>
            <w:pPr>
              <w:spacing w:after="0"/>
              <w:rPr>
                <w:sz w:val="14"/>
                <w:szCs w:val="14"/>
                <w:color w:val="auto"/>
              </w:rPr>
            </w:pP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440" w:type="dxa"/>
            <w:vAlign w:val="bottom"/>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172"/>
        </w:trPr>
        <w:tc>
          <w:tcPr>
            <w:tcW w:w="5900" w:type="dxa"/>
            <w:vAlign w:val="bottom"/>
          </w:tcPr>
          <w:p>
            <w:pPr>
              <w:spacing w:after="0"/>
              <w:rPr>
                <w:sz w:val="20"/>
                <w:szCs w:val="20"/>
                <w:color w:val="auto"/>
              </w:rPr>
            </w:pPr>
            <w:r>
              <w:rPr>
                <w:rFonts w:ascii="Arial" w:cs="Arial" w:eastAsia="Arial" w:hAnsi="Arial"/>
                <w:sz w:val="14"/>
                <w:szCs w:val="14"/>
                <w:color w:val="auto"/>
              </w:rPr>
              <w:t>Earnings</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258</w:t>
            </w:r>
          </w:p>
        </w:tc>
        <w:tc>
          <w:tcPr>
            <w:tcW w:w="440" w:type="dxa"/>
            <w:vAlign w:val="bottom"/>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368"/>
        </w:trPr>
        <w:tc>
          <w:tcPr>
            <w:tcW w:w="590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(0.01)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64"/>
        </w:trPr>
        <w:tc>
          <w:tcPr>
            <w:tcW w:w="5900" w:type="dxa"/>
            <w:vAlign w:val="bottom"/>
          </w:tcPr>
          <w:p>
            <w:pPr>
              <w:spacing w:after="0" w:line="137" w:lineRule="exact"/>
              <w:rPr>
                <w:sz w:val="20"/>
                <w:szCs w:val="20"/>
                <w:color w:val="auto"/>
              </w:rPr>
            </w:pPr>
            <w:r>
              <w:rPr>
                <w:rFonts w:ascii="Arial" w:cs="Arial" w:eastAsia="Arial" w:hAnsi="Arial"/>
                <w:sz w:val="14"/>
                <w:szCs w:val="14"/>
                <w:color w:val="auto"/>
              </w:rPr>
              <w:t>Diluted earnings per common share</w:t>
            </w:r>
          </w:p>
        </w:tc>
        <w:tc>
          <w:tcPr>
            <w:tcW w:w="58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37" w:lineRule="exact"/>
              <w:rPr>
                <w:sz w:val="20"/>
                <w:szCs w:val="20"/>
                <w:color w:val="auto"/>
              </w:rPr>
            </w:pPr>
            <w:r>
              <w:rPr>
                <w:rFonts w:ascii="Arial" w:cs="Arial" w:eastAsia="Arial" w:hAnsi="Arial"/>
                <w:sz w:val="14"/>
                <w:szCs w:val="14"/>
                <w:color w:val="auto"/>
              </w:rPr>
              <w:t>1.07</w:t>
            </w:r>
          </w:p>
        </w:tc>
        <w:tc>
          <w:tcPr>
            <w:tcW w:w="44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328"/>
              <w:spacing w:after="0" w:line="137" w:lineRule="exact"/>
              <w:rPr>
                <w:sz w:val="20"/>
                <w:szCs w:val="20"/>
                <w:color w:val="auto"/>
              </w:rPr>
            </w:pPr>
            <w:r>
              <w:rPr>
                <w:rFonts w:ascii="Arial" w:cs="Arial" w:eastAsia="Arial" w:hAnsi="Arial"/>
                <w:sz w:val="14"/>
                <w:szCs w:val="14"/>
                <w:color w:val="auto"/>
              </w:rPr>
              <w:t>(0.02)</w:t>
            </w:r>
          </w:p>
        </w:tc>
        <w:tc>
          <w:tcPr>
            <w:tcW w:w="220" w:type="dxa"/>
            <w:vAlign w:val="bottom"/>
            <w:tcBorders>
              <w:bottom w:val="single" w:sz="8" w:color="auto"/>
            </w:tcBorders>
          </w:tcPr>
          <w:p>
            <w:pPr>
              <w:jc w:val="right"/>
              <w:ind w:right="48"/>
              <w:spacing w:after="0" w:line="137"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1.05</w:t>
            </w:r>
          </w:p>
        </w:tc>
      </w:tr>
      <w:tr>
        <w:trPr>
          <w:trHeight w:val="434"/>
        </w:trPr>
        <w:tc>
          <w:tcPr>
            <w:tcW w:w="5900" w:type="dxa"/>
            <w:vAlign w:val="bottom"/>
          </w:tcPr>
          <w:p>
            <w:pPr>
              <w:spacing w:after="0"/>
              <w:rPr>
                <w:sz w:val="20"/>
                <w:szCs w:val="20"/>
                <w:color w:val="auto"/>
              </w:rPr>
            </w:pPr>
            <w:r>
              <w:rPr>
                <w:rFonts w:ascii="Arial" w:cs="Arial" w:eastAsia="Arial" w:hAnsi="Arial"/>
                <w:sz w:val="14"/>
                <w:szCs w:val="14"/>
                <w:color w:val="auto"/>
              </w:rPr>
              <w:t>CONDENSED CONSOLIDATED STATEMENT OF CASH FLOWS</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4"/>
                <w:szCs w:val="14"/>
                <w:color w:val="auto"/>
              </w:rPr>
              <w:t>operating activities:</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6"/>
        </w:trPr>
        <w:tc>
          <w:tcPr>
            <w:tcW w:w="590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440" w:type="dxa"/>
            <w:vAlign w:val="bottom"/>
          </w:tcPr>
          <w:p>
            <w:pPr>
              <w:spacing w:after="0"/>
              <w:rPr>
                <w:sz w:val="17"/>
                <w:szCs w:val="17"/>
                <w:color w:val="auto"/>
              </w:rPr>
            </w:pP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162"/>
        </w:trPr>
        <w:tc>
          <w:tcPr>
            <w:tcW w:w="5900" w:type="dxa"/>
            <w:vAlign w:val="bottom"/>
          </w:tcPr>
          <w:p>
            <w:pPr>
              <w:ind w:left="200"/>
              <w:spacing w:after="0"/>
              <w:rPr>
                <w:sz w:val="20"/>
                <w:szCs w:val="20"/>
                <w:color w:val="auto"/>
              </w:rPr>
            </w:pPr>
            <w:r>
              <w:rPr>
                <w:rFonts w:ascii="Arial" w:cs="Arial" w:eastAsia="Arial" w:hAnsi="Arial"/>
                <w:sz w:val="14"/>
                <w:szCs w:val="14"/>
                <w:color w:val="auto"/>
              </w:rPr>
              <w:t>Deferred income taxes and investment tax credits</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440" w:type="dxa"/>
            <w:vAlign w:val="bottom"/>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64"/>
        </w:trPr>
        <w:tc>
          <w:tcPr>
            <w:tcW w:w="59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Net change in other working capital components (income taxes)</w:t>
            </w: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286</w:t>
            </w: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11</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297</w:t>
            </w:r>
          </w:p>
        </w:tc>
      </w:tr>
      <w:tr>
        <w:trPr>
          <w:trHeight w:val="412"/>
        </w:trPr>
        <w:tc>
          <w:tcPr>
            <w:tcW w:w="5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As of December 31, 2011</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1"/>
        </w:trPr>
        <w:tc>
          <w:tcPr>
            <w:tcW w:w="5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color w:val="auto"/>
              </w:rPr>
              <w:t>As</w:t>
            </w: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color w:val="auto"/>
              </w:rPr>
              <w:t>Originally</w:t>
            </w: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color w:val="auto"/>
              </w:rPr>
              <w:t>Retrospectively</w:t>
            </w:r>
          </w:p>
        </w:tc>
      </w:tr>
      <w:tr>
        <w:trPr>
          <w:trHeight w:val="208"/>
        </w:trPr>
        <w:tc>
          <w:tcPr>
            <w:tcW w:w="59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Reported</w:t>
            </w:r>
          </w:p>
        </w:tc>
        <w:tc>
          <w:tcPr>
            <w:tcW w:w="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Adjustments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Adjusted</w:t>
            </w:r>
          </w:p>
        </w:tc>
      </w:tr>
      <w:tr>
        <w:trPr>
          <w:trHeight w:val="218"/>
        </w:trPr>
        <w:tc>
          <w:tcPr>
            <w:tcW w:w="5900" w:type="dxa"/>
            <w:vAlign w:val="bottom"/>
          </w:tcPr>
          <w:p>
            <w:pPr>
              <w:spacing w:after="0"/>
              <w:rPr>
                <w:sz w:val="20"/>
                <w:szCs w:val="20"/>
                <w:color w:val="auto"/>
              </w:rPr>
            </w:pPr>
            <w:r>
              <w:rPr>
                <w:rFonts w:ascii="Arial" w:cs="Arial" w:eastAsia="Arial" w:hAnsi="Arial"/>
                <w:sz w:val="14"/>
                <w:szCs w:val="14"/>
                <w:color w:val="auto"/>
              </w:rPr>
              <w:t>CONDENSED CONSOLIDATED BALANCE SHEET</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65"/>
        </w:trPr>
        <w:tc>
          <w:tcPr>
            <w:tcW w:w="590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31,303</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(111)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31,192</w:t>
            </w:r>
          </w:p>
        </w:tc>
      </w:tr>
      <w:tr>
        <w:trPr>
          <w:trHeight w:val="164"/>
        </w:trPr>
        <w:tc>
          <w:tcPr>
            <w:tcW w:w="5900" w:type="dxa"/>
            <w:vAlign w:val="bottom"/>
          </w:tcPr>
          <w:p>
            <w:pPr>
              <w:spacing w:after="0" w:line="137" w:lineRule="exact"/>
              <w:rPr>
                <w:sz w:val="20"/>
                <w:szCs w:val="20"/>
                <w:color w:val="auto"/>
              </w:rPr>
            </w:pPr>
            <w:r>
              <w:rPr>
                <w:rFonts w:ascii="Arial" w:cs="Arial" w:eastAsia="Arial" w:hAnsi="Arial"/>
                <w:sz w:val="14"/>
                <w:szCs w:val="14"/>
                <w:color w:val="auto"/>
              </w:rPr>
              <w:t>Less accumulated depreciation and amortization</w:t>
            </w: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
              <w:spacing w:after="0" w:line="137" w:lineRule="exact"/>
              <w:rPr>
                <w:sz w:val="20"/>
                <w:szCs w:val="20"/>
                <w:color w:val="auto"/>
              </w:rPr>
            </w:pPr>
            <w:r>
              <w:rPr>
                <w:rFonts w:ascii="Arial" w:cs="Arial" w:eastAsia="Arial" w:hAnsi="Arial"/>
                <w:sz w:val="14"/>
                <w:szCs w:val="14"/>
                <w:color w:val="auto"/>
              </w:rPr>
              <w:t>(7,731)</w:t>
            </w: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68"/>
              <w:spacing w:after="0" w:line="137" w:lineRule="exact"/>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(7,727)</w:t>
            </w:r>
          </w:p>
        </w:tc>
      </w:tr>
      <w:tr>
        <w:trPr>
          <w:trHeight w:val="169"/>
        </w:trPr>
        <w:tc>
          <w:tcPr>
            <w:tcW w:w="5900" w:type="dxa"/>
            <w:vAlign w:val="bottom"/>
          </w:tcPr>
          <w:p>
            <w:pPr>
              <w:ind w:left="200"/>
              <w:spacing w:after="0" w:line="142" w:lineRule="exact"/>
              <w:rPr>
                <w:sz w:val="20"/>
                <w:szCs w:val="20"/>
                <w:color w:val="auto"/>
              </w:rPr>
            </w:pPr>
            <w:r>
              <w:rPr>
                <w:rFonts w:ascii="Arial" w:cs="Arial" w:eastAsia="Arial" w:hAnsi="Arial"/>
                <w:sz w:val="14"/>
                <w:szCs w:val="14"/>
                <w:color w:val="auto"/>
              </w:rPr>
              <w:t>Property, plant and equipment, net</w:t>
            </w:r>
          </w:p>
        </w:tc>
        <w:tc>
          <w:tcPr>
            <w:tcW w:w="5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23,572</w:t>
            </w: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(107)</w:t>
            </w:r>
          </w:p>
        </w:tc>
        <w:tc>
          <w:tcPr>
            <w:tcW w:w="2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23,465</w:t>
            </w:r>
          </w:p>
        </w:tc>
      </w:tr>
      <w:tr>
        <w:trPr>
          <w:trHeight w:val="383"/>
        </w:trPr>
        <w:tc>
          <w:tcPr>
            <w:tcW w:w="5900" w:type="dxa"/>
            <w:vAlign w:val="bottom"/>
          </w:tcPr>
          <w:p>
            <w:pPr>
              <w:spacing w:after="0"/>
              <w:rPr>
                <w:sz w:val="20"/>
                <w:szCs w:val="20"/>
                <w:color w:val="auto"/>
              </w:rPr>
            </w:pPr>
            <w:r>
              <w:rPr>
                <w:rFonts w:ascii="Arial" w:cs="Arial" w:eastAsia="Arial" w:hAnsi="Arial"/>
                <w:sz w:val="14"/>
                <w:szCs w:val="14"/>
                <w:color w:val="auto"/>
              </w:rPr>
              <w:t>Income taxes payable</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(11)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Deferred income taxes, noncurrent liability</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1,554</w:t>
            </w:r>
          </w:p>
        </w:tc>
        <w:tc>
          <w:tcPr>
            <w:tcW w:w="440" w:type="dxa"/>
            <w:vAlign w:val="bottom"/>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1,520</w:t>
            </w: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Deferred credits and other</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783</w:t>
            </w:r>
          </w:p>
        </w:tc>
        <w:tc>
          <w:tcPr>
            <w:tcW w:w="440" w:type="dxa"/>
            <w:vAlign w:val="bottom"/>
          </w:tcPr>
          <w:p>
            <w:pPr>
              <w:spacing w:after="0"/>
              <w:rPr>
                <w:sz w:val="14"/>
                <w:szCs w:val="14"/>
                <w:color w:val="auto"/>
              </w:rPr>
            </w:pP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784</w:t>
            </w:r>
          </w:p>
        </w:tc>
      </w:tr>
      <w:tr>
        <w:trPr>
          <w:trHeight w:val="172"/>
        </w:trPr>
        <w:tc>
          <w:tcPr>
            <w:tcW w:w="5900" w:type="dxa"/>
            <w:vAlign w:val="bottom"/>
          </w:tcPr>
          <w:p>
            <w:pPr>
              <w:spacing w:after="0"/>
              <w:rPr>
                <w:sz w:val="20"/>
                <w:szCs w:val="20"/>
                <w:color w:val="auto"/>
              </w:rPr>
            </w:pPr>
            <w:r>
              <w:rPr>
                <w:rFonts w:ascii="Arial" w:cs="Arial" w:eastAsia="Arial" w:hAnsi="Arial"/>
                <w:sz w:val="14"/>
                <w:szCs w:val="14"/>
                <w:color w:val="auto"/>
              </w:rPr>
              <w:t>Retained earnings(1)</w:t>
            </w:r>
          </w:p>
        </w:tc>
        <w:tc>
          <w:tcPr>
            <w:tcW w:w="5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8,225</w:t>
            </w:r>
          </w:p>
        </w:tc>
        <w:tc>
          <w:tcPr>
            <w:tcW w:w="440" w:type="dxa"/>
            <w:vAlign w:val="bottom"/>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8,162</w:t>
            </w:r>
          </w:p>
        </w:tc>
      </w:tr>
    </w:tbl>
    <w:p>
      <w:pPr>
        <w:sectPr>
          <w:pgSz w:w="11900" w:h="16926" w:orient="portrait"/>
          <w:cols w:equalWidth="0" w:num="1">
            <w:col w:w="11420"/>
          </w:cols>
          <w:pgMar w:left="240" w:top="125" w:right="239" w:bottom="0" w:gutter="0" w:footer="0" w:header="0"/>
        </w:sectPr>
      </w:pPr>
    </w:p>
    <w:bookmarkStart w:id="20" w:name="page21"/>
    <w:bookmarkEnd w:id="20"/>
    <w:p>
      <w:pPr>
        <w:ind w:left="500" w:right="200" w:hanging="330"/>
        <w:spacing w:after="0" w:line="273" w:lineRule="auto"/>
        <w:tabs>
          <w:tab w:leader="none" w:pos="500" w:val="left"/>
        </w:tabs>
        <w:numPr>
          <w:ilvl w:val="0"/>
          <w:numId w:val="11"/>
        </w:numPr>
        <w:rPr>
          <w:rFonts w:ascii="Arial" w:cs="Arial" w:eastAsia="Arial" w:hAnsi="Arial"/>
          <w:sz w:val="14"/>
          <w:szCs w:val="14"/>
          <w:i w:val="1"/>
          <w:iCs w:val="1"/>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Adjustment includes the cumulative effect of the change in accounting principle of reductions in net income and earnings of $26 million, $30 million, a negligible amount, and $7 million for the years ended December 31, 2011, 2010, 2009 and 2008,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19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Update (ASU) 2011-04, “Amendments to Achieve Common Fair Value Measurement and Disclosure Requirements in U.S. GAAP and International Financial Reporting Standards (IFRSs)” (ASU 2011-04): </w:t>
      </w:r>
      <w:r>
        <w:rPr>
          <w:rFonts w:ascii="Arial" w:cs="Arial" w:eastAsia="Arial" w:hAnsi="Arial"/>
          <w:sz w:val="18"/>
          <w:szCs w:val="18"/>
          <w:color w:val="auto"/>
        </w:rPr>
        <w:t>ASU 2011-04 amends Accounting Standards Codification (ASC) Topic 820,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and provides changes in the wording used to describe the requirements for measuring fair value and disclosing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fair value measurement. ASU 2011-04 results in common fair value measurement and disclosure requirements under both GAAP and IFRSs.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ASU 2011-04 expands fair value measurement disclosures for Level 3 instruments to require</w:t>
      </w:r>
    </w:p>
    <w:p>
      <w:pPr>
        <w:spacing w:after="0" w:line="225" w:lineRule="exact"/>
        <w:rPr>
          <w:sz w:val="20"/>
          <w:szCs w:val="20"/>
          <w:color w:val="auto"/>
        </w:rPr>
      </w:pPr>
    </w:p>
    <w:p>
      <w:pPr>
        <w:ind w:left="340" w:hanging="188"/>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quantitative information about the unobservable inputs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the valuation process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qualitative discussion about the sensitivity of the measurements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adopted ASU 2011-04 on January 1, 2012 and it did not affect our financial position, results of operations or cash flows. The required disclosure is provided in Note 8.</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ASU 2011-05, “Presentation of Comprehensive Income” (ASU 2011-05) and ASU 2011-12, “Deferral of the Effective Date for Amendments to the Presentation of Reclassifications of Items Out of Accumulated Other Comprehensive Income in Accounting Standards Update No. 2011-05” (ASU 2011-12): </w:t>
      </w:r>
      <w:r>
        <w:rPr>
          <w:rFonts w:ascii="Arial" w:cs="Arial" w:eastAsia="Arial" w:hAnsi="Arial"/>
          <w:sz w:val="16"/>
          <w:szCs w:val="16"/>
          <w:color w:val="auto"/>
        </w:rPr>
        <w:t>ASU 2011-05 amends ASC Topic 220,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eliminates the option to report other comprehensive income and its components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statement of changes in equity. The ASU allows an entity an option to present the components of net income and other comprehensive income in one continuous statement, referred to as the statement of comprehensive income, or in two separate, but consecutive, statements.</w:t>
      </w:r>
    </w:p>
    <w:p>
      <w:pPr>
        <w:spacing w:after="0" w:line="1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ASU 2011-05 does not change the items that must be reported in other comprehensive income, when an item of other comprehensive income must be reclassified to net income, or the earnings per share computation.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ASU 2011-12 defers the requirement to separately present on the face of the statement of operations or statement of comprehensive income reclassification adjustments for items that are reclassified from other comprehensive income to net income.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adopted ASU 2011-05 on January 1, 2012 and have elected to present the components of net income and other comprehensive income in two separate, but consecutive, statements.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ASU 2011-11, “Disclosures about Offsetting Assets and Liabilities” (ASU 2011-11): </w:t>
      </w:r>
      <w:r>
        <w:rPr>
          <w:rFonts w:ascii="Arial" w:cs="Arial" w:eastAsia="Arial" w:hAnsi="Arial"/>
          <w:sz w:val="18"/>
          <w:szCs w:val="18"/>
          <w:color w:val="auto"/>
        </w:rPr>
        <w:t>In order to allow for balance sheet comparison between GAAP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IFRSs, ASU 2011-11 requires enhanced disclosures related to financial assets and liabilities eligible for offsetting in the statement of financial position. An entity will have to disclose both gross and net information about financial instruments and transactions subject to a master netting arrangement and eligible for offset, including cash collateral received and posted.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will adopt ASU 2011-11 on January 1, 2013 as required and do not expect it to affect our financial position, results of operations or cash flows. We will provide the additional disclosure in our 2013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NOTE 3. ACQUISITION AND INVESTMENT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investments in unconsolidated entities in Note 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 S.A. (Chilquinta Energía) and Luz del Sur S.A.A. (Luz del Sur)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6, 2011, Sempra South American Utilities acquired from AEI its interests in Chilquinta Energía in Chile and Luz del Sur in Peru, and their subsidiaries. Prior to the acquisition, Sempra South American Utilities and AEI each owned 50 percent of Chilquinta Energía and approximately 38 percent of Luz del Sur and accounted for the investments under the equity method. Upon completion of the acquisition and a public tender offer to the minority shareholders of Luz del Sur, Sempra South American Utilities owned 100 percent of Chilquinta Energía and approximately 80 percent of Luz del Sur, with the remaining shares of Luz del Sur held by institutional investors and the general public. As part of the transaction, Sempra South American Utilities also acquired AEI’s interests in two energy-services companies, Tecnored S.A. (Tecnored) and Tecsur S.A. (Tecsur). We provide additional information about Sempra South American Utilities’ acquisition of Chilquinta Energía and Luz del Sur and the public tender offer in Note 3 of the Notes to Consolidated Financial Statements in the Annual Report.</w:t>
      </w:r>
    </w:p>
    <w:p>
      <w:pPr>
        <w:sectPr>
          <w:pgSz w:w="11900" w:h="16838" w:orient="portrait"/>
          <w:cols w:equalWidth="0" w:num="1">
            <w:col w:w="11420"/>
          </w:cols>
          <w:pgMar w:left="240" w:top="148" w:right="239" w:bottom="0" w:gutter="0" w:footer="0" w:header="0"/>
        </w:sectPr>
      </w:pPr>
    </w:p>
    <w:bookmarkStart w:id="21" w:name="page22"/>
    <w:bookmarkEnd w:id="21"/>
    <w:p>
      <w:pPr>
        <w:ind w:right="80"/>
        <w:spacing w:after="0" w:line="264" w:lineRule="auto"/>
        <w:rPr>
          <w:sz w:val="20"/>
          <w:szCs w:val="20"/>
          <w:color w:val="auto"/>
        </w:rPr>
      </w:pPr>
      <w:r>
        <w:rPr>
          <w:rFonts w:ascii="Arial" w:cs="Arial" w:eastAsia="Arial" w:hAnsi="Arial"/>
          <w:sz w:val="18"/>
          <w:szCs w:val="18"/>
          <w:color w:val="auto"/>
        </w:rPr>
        <w:t>Our Condensed Consolidated Statements of Operations for the three months ended March 31, 2012 include 100 percent of the acquired companies’ revenues, net income and earnings of $357 million, $49 million and $43 million, respectively. Net income and earnings include holding companies reported in Parent and Other. For the three months ended March 31, 2011, the acquired companies were accounted for as equity method investments and equity earnings were $12 million for each of Chilquinta Energía and Luz del Sur.</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Following are pro forma revenues and earnings for Sempra Energy had the acquisition occurred at the beginning of the year prior to the year of acquisition, which primarily reflect the incremental increase to revenues and earnings from our increased ownership and consolidation of the entities acquired. Although some short-term debt borrowings may have resulted from the actual acquisition in 2011, we have not assumed any additional interest expense in the pro forma impact on earnings below, as the amounts would be immaterial due to the low interest rates available to us on commercial paper. The pro forma amounts do not include the impact of the increased ownership in Luz del Sur resulting from the tender offer completed in September 2011 discussed above and in Note 3 of the Notes to Consolidated Financial Statements in the Annual Report.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040" w:type="dxa"/>
            <w:vAlign w:val="bottom"/>
          </w:tcPr>
          <w:p>
            <w:pPr>
              <w:spacing w:after="0"/>
              <w:rPr>
                <w:sz w:val="14"/>
                <w:szCs w:val="14"/>
                <w:color w:val="auto"/>
              </w:rPr>
            </w:pPr>
          </w:p>
        </w:tc>
        <w:tc>
          <w:tcPr>
            <w:tcW w:w="2460" w:type="dxa"/>
            <w:vAlign w:val="bottom"/>
          </w:tcPr>
          <w:p>
            <w:pPr>
              <w:jc w:val="right"/>
              <w:ind w:right="82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4"/>
        </w:trPr>
        <w:tc>
          <w:tcPr>
            <w:tcW w:w="4920" w:type="dxa"/>
            <w:vAlign w:val="bottom"/>
            <w:tcBorders>
              <w:bottom w:val="single" w:sz="8" w:color="auto"/>
            </w:tcBorders>
            <w:vMerge w:val="continue"/>
          </w:tcPr>
          <w:p>
            <w:pPr>
              <w:spacing w:after="0"/>
              <w:rPr>
                <w:sz w:val="14"/>
                <w:szCs w:val="14"/>
                <w:color w:val="auto"/>
              </w:rPr>
            </w:pPr>
          </w:p>
        </w:tc>
        <w:tc>
          <w:tcPr>
            <w:tcW w:w="40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jc w:val="right"/>
              <w:ind w:right="983"/>
              <w:spacing w:after="0" w:line="157" w:lineRule="exact"/>
              <w:rPr>
                <w:sz w:val="20"/>
                <w:szCs w:val="20"/>
                <w:color w:val="auto"/>
              </w:rPr>
            </w:pPr>
            <w:r>
              <w:rPr>
                <w:rFonts w:ascii="Arial" w:cs="Arial" w:eastAsia="Arial" w:hAnsi="Arial"/>
                <w:sz w:val="14"/>
                <w:szCs w:val="14"/>
                <w:color w:val="auto"/>
              </w:rPr>
              <w:t>March 31, 2011</w:t>
            </w:r>
          </w:p>
        </w:tc>
        <w:tc>
          <w:tcPr>
            <w:tcW w:w="0" w:type="dxa"/>
            <w:vAlign w:val="bottom"/>
          </w:tcPr>
          <w:p>
            <w:pPr>
              <w:spacing w:after="0"/>
              <w:rPr>
                <w:sz w:val="1"/>
                <w:szCs w:val="1"/>
                <w:color w:val="auto"/>
              </w:rPr>
            </w:pPr>
          </w:p>
        </w:tc>
      </w:tr>
      <w:tr>
        <w:trPr>
          <w:trHeight w:val="164"/>
        </w:trPr>
        <w:tc>
          <w:tcPr>
            <w:tcW w:w="4920" w:type="dxa"/>
            <w:vAlign w:val="bottom"/>
          </w:tcPr>
          <w:p>
            <w:pPr>
              <w:spacing w:after="0" w:line="164" w:lineRule="exact"/>
              <w:rPr>
                <w:sz w:val="20"/>
                <w:szCs w:val="20"/>
                <w:color w:val="auto"/>
              </w:rPr>
            </w:pPr>
            <w:r>
              <w:rPr>
                <w:rFonts w:ascii="Arial" w:cs="Arial" w:eastAsia="Arial" w:hAnsi="Arial"/>
                <w:sz w:val="16"/>
                <w:szCs w:val="16"/>
                <w:color w:val="auto"/>
              </w:rPr>
              <w:t>Revenues</w:t>
            </w:r>
          </w:p>
        </w:tc>
        <w:tc>
          <w:tcPr>
            <w:tcW w:w="4040" w:type="dxa"/>
            <w:vAlign w:val="bottom"/>
          </w:tcPr>
          <w:p>
            <w:pPr>
              <w:jc w:val="right"/>
              <w:ind w:right="159"/>
              <w:spacing w:after="0" w:line="164" w:lineRule="exact"/>
              <w:rPr>
                <w:sz w:val="20"/>
                <w:szCs w:val="20"/>
                <w:color w:val="auto"/>
              </w:rPr>
            </w:pPr>
            <w:r>
              <w:rPr>
                <w:rFonts w:ascii="Arial" w:cs="Arial" w:eastAsia="Arial" w:hAnsi="Arial"/>
                <w:sz w:val="16"/>
                <w:szCs w:val="16"/>
                <w:color w:val="auto"/>
              </w:rPr>
              <w:t>$</w:t>
            </w:r>
          </w:p>
        </w:tc>
        <w:tc>
          <w:tcPr>
            <w:tcW w:w="2460" w:type="dxa"/>
            <w:vAlign w:val="bottom"/>
          </w:tcPr>
          <w:p>
            <w:pPr>
              <w:jc w:val="right"/>
              <w:spacing w:after="0" w:line="164" w:lineRule="exact"/>
              <w:rPr>
                <w:sz w:val="20"/>
                <w:szCs w:val="20"/>
                <w:color w:val="auto"/>
              </w:rPr>
            </w:pPr>
            <w:r>
              <w:rPr>
                <w:rFonts w:ascii="Arial" w:cs="Arial" w:eastAsia="Arial" w:hAnsi="Arial"/>
                <w:sz w:val="16"/>
                <w:szCs w:val="16"/>
                <w:color w:val="auto"/>
              </w:rPr>
              <w:t>2,777</w:t>
            </w:r>
          </w:p>
        </w:tc>
        <w:tc>
          <w:tcPr>
            <w:tcW w:w="0" w:type="dxa"/>
            <w:vAlign w:val="bottom"/>
          </w:tcPr>
          <w:p>
            <w:pPr>
              <w:spacing w:after="0"/>
              <w:rPr>
                <w:sz w:val="1"/>
                <w:szCs w:val="1"/>
                <w:color w:val="auto"/>
              </w:rPr>
            </w:pPr>
          </w:p>
        </w:tc>
      </w:tr>
      <w:tr>
        <w:trPr>
          <w:trHeight w:val="194"/>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w:t>
            </w:r>
          </w:p>
        </w:tc>
        <w:tc>
          <w:tcPr>
            <w:tcW w:w="40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1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provide additional information concerning all of our equity method investments in Note 4 of the Notes to Consolidated Financial Statements in the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months ended March 31, 2012, Sempra Renewables invested $50 million in its renewable wind generation joint ventures, of which $43 million was invested in the Flat Ridge 2 Wind Farm project.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3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Sempra Natural Gas owns a 25-percent interest in Rockies Express Pipeline LLC (Rockies Express), a partnership that operates a natural gas pipeline, the Rockies Express Pipeline (REX), that links producing areas in the Rocky Mountains region to the upper Midwest and the eastern United States. Kinder Morgan Energy Partners L.P. (KMP) and ConocoPhillips (Conoco) own the remaining interests of 50 percent and 25 percent, respectively. Our total investment in Rockies Express is accounted for as an equity method investment.</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KMP has announced its intention to sell certain assets, including its interest in REX. KMP is proposing to divest these assets in order for KMP’s general partner, Kinder Morgan, Inc., to obtain approval for a proposed acquisition. We believe that this sales process could result in an indication of fair value for KMP’s interest in REX. If so, we would consider what, if any, impacts this information could have on our recorded value for REX. If such information indicated an impairment of our investment, we would also need to evaluate whether such impairment, if any, was other than temporary, in accordance with applicable accounting standards for equity method investments.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3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July, November and December of 2010 and February of 2011. We account for our investment in RBS Sempra Commodities under the equity method, and report our share of partnership earnings and other associated costs in Parent and Other.</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April 2011, we and RBS entered into a letter agreement (Letter Agreement) which amended certain provisions of the agreements that formed RBS Sempra Commodities. The Letter Agreement addresses the wind-down of the partnership and the distribution of the partnership’s remaining assets. The investment balance of $126 million at March 31, 2012 reflects remaining distributions expected to be received from the partnership in accordance with the Letter Agreement. The timing and amount of distributions may be impacted by the matters we discuss related to RBS Sempra Commodities in Note 10 under “Other Litigation.” In addition, amounts may be retained by the partnership for an extended period of time to help offset unanticipated future general and administrative costs necessary to complete the dissolution of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Letter Agreement described above, we also released RBS from its indemnification obligations with respect to the items for which J.P.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Chase &amp; Co. (JP Morgan), one of the buyers of the partnership’s businesses, has agreed to indemnify us.</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Pretax equity losses from RBS Sempra Commodities were $8 million for the three months ended March 31, 2011. We recorded no equity earnings or loss related to the partnership in the first quarter of 2012. The fair value measurement of our investment in RBS Sempra Commodities was significantly impacted by unobservable inputs (i.e., Level 3 inputs) as defined by the accounting guidance for fair value measurements which we discuss in Note 11 in the Notes to Consolidated Financial Statements in the Annual Report. The inputs included estimated future cash distributions expected from the partnership.</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discuss the RBS Sempra Commodities sales transactions, the Letter Agreement and other matters concerning the partnership in Note 4 of the Notes to Consolidated Financial Statements in the Annual Report.</w:t>
      </w:r>
    </w:p>
    <w:p>
      <w:pPr>
        <w:sectPr>
          <w:pgSz w:w="11900" w:h="16838" w:orient="portrait"/>
          <w:cols w:equalWidth="0" w:num="1">
            <w:col w:w="11420"/>
          </w:cols>
          <w:pgMar w:left="240" w:top="125" w:right="239" w:bottom="369" w:gutter="0" w:footer="0" w:header="0"/>
        </w:sectPr>
      </w:pPr>
    </w:p>
    <w:bookmarkStart w:id="22" w:name="page23"/>
    <w:bookmarkEnd w:id="2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 5. OTHER FINANCIAL DATA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LIFO LIQUIDATION</w:t>
      </w:r>
    </w:p>
    <w:p>
      <w:pPr>
        <w:spacing w:after="0" w:line="23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SoCalGas values natural gas inventory by the last-in first-out (LIFO) method. As inventories are sold, differences between the LIFO valuation and the estimated replacement cost are reflected in customer rates. Temporary LIFO liquidation represents the difference between the carrying value of natural gas inventory withdrawn during the period for delivery to customers and the projected cost of the replacement of that inventory during summer months.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70" w:lineRule="exact"/>
        <w:rPr>
          <w:sz w:val="20"/>
          <w:szCs w:val="20"/>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00" w:lineRule="exact"/>
        <w:rPr>
          <w:sz w:val="20"/>
          <w:szCs w:val="20"/>
          <w:color w:val="auto"/>
        </w:rPr>
      </w:pPr>
    </w:p>
    <w:p>
      <w:pPr>
        <w:spacing w:after="0" w:line="268" w:lineRule="exact"/>
        <w:rPr>
          <w:sz w:val="20"/>
          <w:szCs w:val="20"/>
          <w:color w:val="auto"/>
        </w:rPr>
      </w:pPr>
    </w:p>
    <w:p>
      <w:pPr>
        <w:ind w:right="700"/>
        <w:spacing w:after="0" w:line="288"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Sempra Energy and SDG&amp;E consolidate the entity that owns the facility as a VIE, as we discuss below.</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Otay Mesa VIE</w:t>
      </w:r>
    </w:p>
    <w:p>
      <w:pPr>
        <w:spacing w:after="0" w:line="2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SDG&amp;E has a 10-year agreement to purchase power generated at the Otay Mesa Energy Center (OMEC), a 605-megawatt (MW) generating facility that began operations in October 2009.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Sempra Energy and SDG&amp;E have consolidated Otay Mesa VIE since the second quarter of 2007. Otay Mesa VIE’s equity of $108 million at March 31, 2012 and $102 million at December 31, 2011 is included on the Condensed Consolidated Balance Sheets in Other Noncontrolling Interests for Sempra Energy and in Noncontrolling Interest for SDG&amp;E.</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OMEC LLC has a loan outstanding of $352 million at March 31, 2012,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as of March 31, 2012.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Energy’s other business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requirements of GAAP concerning the consolidation of VIEs.</w:t>
      </w:r>
    </w:p>
    <w:p>
      <w:pPr>
        <w:sectPr>
          <w:pgSz w:w="11900" w:h="16838" w:orient="portrait"/>
          <w:cols w:equalWidth="0" w:num="1">
            <w:col w:w="11420"/>
          </w:cols>
          <w:pgMar w:left="240" w:top="582" w:right="239" w:bottom="0" w:gutter="0" w:footer="0" w:header="0"/>
        </w:sectPr>
      </w:pPr>
    </w:p>
    <w:bookmarkStart w:id="23" w:name="page24"/>
    <w:bookmarkEnd w:id="23"/>
    <w:p>
      <w:pPr>
        <w:spacing w:after="0" w:line="3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correspond to SDG&amp;E’s Condensed Consolidated Statements of Operations.</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748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322"/>
              <w:spacing w:after="0" w:line="159" w:lineRule="exact"/>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7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2012</w:t>
            </w: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67"/>
        </w:trPr>
        <w:tc>
          <w:tcPr>
            <w:tcW w:w="7480" w:type="dxa"/>
            <w:vAlign w:val="bottom"/>
          </w:tcPr>
          <w:p>
            <w:pPr>
              <w:spacing w:after="0"/>
              <w:rPr>
                <w:sz w:val="20"/>
                <w:szCs w:val="20"/>
                <w:color w:val="auto"/>
              </w:rPr>
            </w:pPr>
            <w:r>
              <w:rPr>
                <w:rFonts w:ascii="Arial" w:cs="Arial" w:eastAsia="Arial" w:hAnsi="Arial"/>
                <w:sz w:val="16"/>
                <w:szCs w:val="16"/>
                <w:color w:val="auto"/>
              </w:rPr>
              <w:t>Operating revenues</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Electric</w:t>
            </w:r>
          </w:p>
        </w:tc>
        <w:tc>
          <w:tcPr>
            <w:tcW w:w="1400" w:type="dxa"/>
            <w:vAlign w:val="bottom"/>
          </w:tcPr>
          <w:p>
            <w:pPr>
              <w:jc w:val="right"/>
              <w:ind w:right="783"/>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802"/>
              <w:spacing w:after="0" w:line="176" w:lineRule="exact"/>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748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400" w:type="dxa"/>
            <w:vAlign w:val="bottom"/>
          </w:tcPr>
          <w:p>
            <w:pPr>
              <w:spacing w:after="0"/>
              <w:rPr>
                <w:sz w:val="16"/>
                <w:szCs w:val="16"/>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3"/>
        </w:trPr>
        <w:tc>
          <w:tcPr>
            <w:tcW w:w="748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revenues</w:t>
            </w:r>
          </w:p>
        </w:tc>
        <w:tc>
          <w:tcPr>
            <w:tcW w:w="14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164"/>
        </w:trPr>
        <w:tc>
          <w:tcPr>
            <w:tcW w:w="748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1400" w:type="dxa"/>
            <w:vAlign w:val="bottom"/>
          </w:tcPr>
          <w:p>
            <w:pPr>
              <w:spacing w:after="0"/>
              <w:rPr>
                <w:sz w:val="15"/>
                <w:szCs w:val="15"/>
                <w:color w:val="auto"/>
              </w:rPr>
            </w:pPr>
          </w:p>
        </w:tc>
        <w:tc>
          <w:tcPr>
            <w:tcW w:w="78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(19)</w:t>
            </w:r>
          </w:p>
        </w:tc>
        <w:tc>
          <w:tcPr>
            <w:tcW w:w="1200" w:type="dxa"/>
            <w:vAlign w:val="bottom"/>
          </w:tcPr>
          <w:p>
            <w:pPr>
              <w:spacing w:after="0"/>
              <w:rPr>
                <w:sz w:val="15"/>
                <w:szCs w:val="15"/>
                <w:color w:val="auto"/>
              </w:rPr>
            </w:pPr>
          </w:p>
        </w:tc>
        <w:tc>
          <w:tcPr>
            <w:tcW w:w="58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(17)</w:t>
            </w: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6"/>
                <w:szCs w:val="16"/>
                <w:color w:val="auto"/>
              </w:rPr>
              <w:t>Operation and maintenance</w:t>
            </w:r>
          </w:p>
        </w:tc>
        <w:tc>
          <w:tcPr>
            <w:tcW w:w="1400" w:type="dxa"/>
            <w:vAlign w:val="bottom"/>
          </w:tcPr>
          <w:p>
            <w:pPr>
              <w:spacing w:after="0"/>
              <w:rPr>
                <w:sz w:val="15"/>
                <w:szCs w:val="15"/>
                <w:color w:val="auto"/>
              </w:rPr>
            </w:pPr>
          </w:p>
        </w:tc>
        <w:tc>
          <w:tcPr>
            <w:tcW w:w="78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4</w:t>
            </w:r>
          </w:p>
        </w:tc>
        <w:tc>
          <w:tcPr>
            <w:tcW w:w="120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r>
      <w:tr>
        <w:trPr>
          <w:trHeight w:val="194"/>
        </w:trPr>
        <w:tc>
          <w:tcPr>
            <w:tcW w:w="74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w:t>
            </w: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6"/>
                <w:szCs w:val="16"/>
                <w:color w:val="auto"/>
              </w:rPr>
            </w:pPr>
          </w:p>
        </w:tc>
      </w:tr>
      <w:tr>
        <w:trPr>
          <w:trHeight w:val="183"/>
        </w:trPr>
        <w:tc>
          <w:tcPr>
            <w:tcW w:w="748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expenses</w:t>
            </w:r>
          </w:p>
        </w:tc>
        <w:tc>
          <w:tcPr>
            <w:tcW w:w="1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9"/>
              <w:spacing w:after="0" w:line="176" w:lineRule="exact"/>
              <w:rPr>
                <w:sz w:val="20"/>
                <w:szCs w:val="20"/>
                <w:color w:val="auto"/>
              </w:rPr>
            </w:pPr>
            <w:r>
              <w:rPr>
                <w:rFonts w:ascii="Arial" w:cs="Arial" w:eastAsia="Arial" w:hAnsi="Arial"/>
                <w:sz w:val="16"/>
                <w:szCs w:val="16"/>
                <w:color w:val="auto"/>
              </w:rPr>
              <w:t>(9)</w:t>
            </w: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r>
      <w:tr>
        <w:trPr>
          <w:trHeight w:val="164"/>
        </w:trPr>
        <w:tc>
          <w:tcPr>
            <w:tcW w:w="7480" w:type="dxa"/>
            <w:vAlign w:val="bottom"/>
          </w:tcPr>
          <w:p>
            <w:pPr>
              <w:spacing w:after="0" w:line="164" w:lineRule="exact"/>
              <w:rPr>
                <w:sz w:val="20"/>
                <w:szCs w:val="20"/>
                <w:color w:val="auto"/>
              </w:rPr>
            </w:pPr>
            <w:r>
              <w:rPr>
                <w:rFonts w:ascii="Arial" w:cs="Arial" w:eastAsia="Arial" w:hAnsi="Arial"/>
                <w:sz w:val="16"/>
                <w:szCs w:val="16"/>
                <w:color w:val="auto"/>
              </w:rPr>
              <w:t>Operating income</w:t>
            </w:r>
          </w:p>
        </w:tc>
        <w:tc>
          <w:tcPr>
            <w:tcW w:w="1400" w:type="dxa"/>
            <w:vAlign w:val="bottom"/>
          </w:tcPr>
          <w:p>
            <w:pPr>
              <w:spacing w:after="0"/>
              <w:rPr>
                <w:sz w:val="14"/>
                <w:szCs w:val="14"/>
                <w:color w:val="auto"/>
              </w:rPr>
            </w:pPr>
          </w:p>
        </w:tc>
        <w:tc>
          <w:tcPr>
            <w:tcW w:w="78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9</w:t>
            </w:r>
          </w:p>
        </w:tc>
        <w:tc>
          <w:tcPr>
            <w:tcW w:w="120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4"/>
                <w:szCs w:val="14"/>
                <w:color w:val="auto"/>
              </w:rPr>
            </w:pPr>
          </w:p>
        </w:tc>
      </w:tr>
      <w:tr>
        <w:trPr>
          <w:trHeight w:val="194"/>
        </w:trPr>
        <w:tc>
          <w:tcPr>
            <w:tcW w:w="7480" w:type="dxa"/>
            <w:vAlign w:val="bottom"/>
          </w:tcPr>
          <w:p>
            <w:pPr>
              <w:spacing w:after="0"/>
              <w:rPr>
                <w:sz w:val="20"/>
                <w:szCs w:val="20"/>
                <w:color w:val="auto"/>
              </w:rPr>
            </w:pPr>
            <w:r>
              <w:rPr>
                <w:rFonts w:ascii="Arial" w:cs="Arial" w:eastAsia="Arial" w:hAnsi="Arial"/>
                <w:sz w:val="16"/>
                <w:szCs w:val="16"/>
                <w:color w:val="auto"/>
              </w:rPr>
              <w:t>Interest expense</w:t>
            </w:r>
          </w:p>
        </w:tc>
        <w:tc>
          <w:tcPr>
            <w:tcW w:w="1400" w:type="dxa"/>
            <w:vAlign w:val="bottom"/>
          </w:tcPr>
          <w:p>
            <w:pPr>
              <w:spacing w:after="0"/>
              <w:rPr>
                <w:sz w:val="16"/>
                <w:szCs w:val="16"/>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20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164"/>
        </w:trPr>
        <w:tc>
          <w:tcPr>
            <w:tcW w:w="7480" w:type="dxa"/>
            <w:vAlign w:val="bottom"/>
          </w:tcPr>
          <w:p>
            <w:pPr>
              <w:spacing w:after="0" w:line="164" w:lineRule="exact"/>
              <w:rPr>
                <w:sz w:val="20"/>
                <w:szCs w:val="20"/>
                <w:color w:val="auto"/>
              </w:rPr>
            </w:pPr>
            <w:r>
              <w:rPr>
                <w:rFonts w:ascii="Arial" w:cs="Arial" w:eastAsia="Arial" w:hAnsi="Arial"/>
                <w:sz w:val="16"/>
                <w:szCs w:val="16"/>
                <w:color w:val="auto"/>
              </w:rPr>
              <w:t>Income before income taxes/Net income</w:t>
            </w:r>
          </w:p>
        </w:tc>
        <w:tc>
          <w:tcPr>
            <w:tcW w:w="14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79"/>
              <w:spacing w:after="0" w:line="164" w:lineRule="exact"/>
              <w:rPr>
                <w:sz w:val="20"/>
                <w:szCs w:val="20"/>
                <w:color w:val="auto"/>
              </w:rPr>
            </w:pPr>
            <w:r>
              <w:rPr>
                <w:rFonts w:ascii="Arial" w:cs="Arial" w:eastAsia="Arial" w:hAnsi="Arial"/>
                <w:sz w:val="16"/>
                <w:szCs w:val="16"/>
                <w:color w:val="auto"/>
              </w:rPr>
              <w:t>6</w:t>
            </w:r>
          </w:p>
        </w:tc>
        <w:tc>
          <w:tcPr>
            <w:tcW w:w="1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4"/>
                <w:szCs w:val="14"/>
                <w:color w:val="auto"/>
              </w:rPr>
            </w:pPr>
          </w:p>
        </w:tc>
      </w:tr>
      <w:tr>
        <w:trPr>
          <w:trHeight w:val="194"/>
        </w:trPr>
        <w:tc>
          <w:tcPr>
            <w:tcW w:w="748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1400" w:type="dxa"/>
            <w:vAlign w:val="bottom"/>
          </w:tcPr>
          <w:p>
            <w:pPr>
              <w:spacing w:after="0"/>
              <w:rPr>
                <w:sz w:val="16"/>
                <w:szCs w:val="16"/>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20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183"/>
        </w:trPr>
        <w:tc>
          <w:tcPr>
            <w:tcW w:w="7480" w:type="dxa"/>
            <w:vAlign w:val="bottom"/>
            <w:tcBorders>
              <w:bottom w:val="single" w:sz="8" w:color="auto"/>
            </w:tcBorders>
          </w:tcPr>
          <w:p>
            <w:pPr>
              <w:ind w:left="180"/>
              <w:spacing w:after="0" w:line="176" w:lineRule="exact"/>
              <w:rPr>
                <w:sz w:val="20"/>
                <w:szCs w:val="20"/>
                <w:color w:val="auto"/>
              </w:rPr>
            </w:pPr>
            <w:r>
              <w:rPr>
                <w:rFonts w:ascii="Arial" w:cs="Arial" w:eastAsia="Arial" w:hAnsi="Arial"/>
                <w:sz w:val="16"/>
                <w:szCs w:val="16"/>
                <w:color w:val="auto"/>
              </w:rPr>
              <w:t>Earnings</w:t>
            </w:r>
          </w:p>
        </w:tc>
        <w:tc>
          <w:tcPr>
            <w:tcW w:w="1400" w:type="dxa"/>
            <w:vAlign w:val="bottom"/>
            <w:tcBorders>
              <w:top w:val="single" w:sz="8" w:color="auto"/>
              <w:bottom w:val="single" w:sz="8" w:color="auto"/>
            </w:tcBorders>
          </w:tcPr>
          <w:p>
            <w:pPr>
              <w:jc w:val="right"/>
              <w:ind w:right="783"/>
              <w:spacing w:after="0" w:line="176"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802"/>
              <w:spacing w:after="0" w:line="176"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Otay Mesa VIE in Note 1 of the Notes to Consolidated Financial Statements in the Annual Report.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Goodwill is the excess of the purchase price over the fair value of the identifiable net assets of acquired companies measured at the time of acquisition. Goodwill is not amortized but is tested annually on October 1 for impairment. Impairment of goodwill occurs when the carrying amount (book value) of goodwill exceeds its implied fair value. If the carrying value of the reporting unit, including goodwill, exceeds its fair value, and the book value of goodwill is greater than its fair value on the test date, we record a goodwill impairment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Goodwill included on the Sempra Energy Condensed Consolidated Balance Sheets is recorded as follows: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Pr>
          <w:p>
            <w:pPr>
              <w:jc w:val="center"/>
              <w:ind w:left="648"/>
              <w:spacing w:after="0"/>
              <w:rPr>
                <w:sz w:val="20"/>
                <w:szCs w:val="20"/>
                <w:color w:val="auto"/>
              </w:rPr>
            </w:pPr>
            <w:r>
              <w:rPr>
                <w:rFonts w:ascii="Arial" w:cs="Arial" w:eastAsia="Arial" w:hAnsi="Arial"/>
                <w:sz w:val="14"/>
                <w:szCs w:val="14"/>
                <w:color w:val="auto"/>
              </w:rPr>
              <w:t>Sempra</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60" w:type="dxa"/>
            <w:vAlign w:val="bottom"/>
          </w:tcPr>
          <w:p>
            <w:pPr>
              <w:jc w:val="center"/>
              <w:ind w:left="648"/>
              <w:spacing w:after="0"/>
              <w:rPr>
                <w:sz w:val="20"/>
                <w:szCs w:val="20"/>
                <w:color w:val="auto"/>
              </w:rPr>
            </w:pPr>
            <w:r>
              <w:rPr>
                <w:rFonts w:ascii="Arial" w:cs="Arial" w:eastAsia="Arial" w:hAnsi="Arial"/>
                <w:sz w:val="14"/>
                <w:szCs w:val="14"/>
                <w:color w:val="auto"/>
              </w:rPr>
              <w:t>South American</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283"/>
              <w:spacing w:after="0"/>
              <w:rPr>
                <w:sz w:val="20"/>
                <w:szCs w:val="20"/>
                <w:color w:val="auto"/>
              </w:rPr>
            </w:pPr>
            <w:r>
              <w:rPr>
                <w:rFonts w:ascii="Arial" w:cs="Arial" w:eastAsia="Arial" w:hAnsi="Arial"/>
                <w:sz w:val="14"/>
                <w:szCs w:val="14"/>
                <w:color w:val="auto"/>
              </w:rPr>
              <w:t>Sempra</w:t>
            </w:r>
          </w:p>
        </w:tc>
        <w:tc>
          <w:tcPr>
            <w:tcW w:w="380" w:type="dxa"/>
            <w:vAlign w:val="bottom"/>
          </w:tcPr>
          <w:p>
            <w:pPr>
              <w:spacing w:after="0"/>
              <w:rPr>
                <w:sz w:val="15"/>
                <w:szCs w:val="15"/>
                <w:color w:val="auto"/>
              </w:rPr>
            </w:pPr>
          </w:p>
        </w:tc>
        <w:tc>
          <w:tcPr>
            <w:tcW w:w="1280" w:type="dxa"/>
            <w:vAlign w:val="bottom"/>
          </w:tcPr>
          <w:p>
            <w:pPr>
              <w:jc w:val="right"/>
              <w:ind w:right="283"/>
              <w:spacing w:after="0"/>
              <w:rPr>
                <w:sz w:val="20"/>
                <w:szCs w:val="20"/>
                <w:color w:val="auto"/>
              </w:rPr>
            </w:pPr>
            <w:r>
              <w:rPr>
                <w:rFonts w:ascii="Arial" w:cs="Arial" w:eastAsia="Arial" w:hAnsi="Arial"/>
                <w:sz w:val="14"/>
                <w:szCs w:val="14"/>
                <w:color w:val="auto"/>
              </w:rPr>
              <w:t>Sempra</w:t>
            </w: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auto"/>
              </w:rPr>
              <w:t>Utilities</w:t>
            </w: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Mexico</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Natural Gas</w:t>
            </w: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3360" w:type="dxa"/>
            <w:vAlign w:val="bottom"/>
          </w:tcPr>
          <w:p>
            <w:pPr>
              <w:spacing w:after="0" w:line="164" w:lineRule="exact"/>
              <w:rPr>
                <w:sz w:val="20"/>
                <w:szCs w:val="20"/>
                <w:color w:val="auto"/>
              </w:rPr>
            </w:pPr>
            <w:r>
              <w:rPr>
                <w:rFonts w:ascii="Arial" w:cs="Arial" w:eastAsia="Arial" w:hAnsi="Arial"/>
                <w:sz w:val="16"/>
                <w:szCs w:val="16"/>
                <w:color w:val="auto"/>
              </w:rPr>
              <w:t>Balance as of December 31, 2011</w:t>
            </w:r>
          </w:p>
        </w:tc>
        <w:tc>
          <w:tcPr>
            <w:tcW w:w="2700" w:type="dxa"/>
            <w:vAlign w:val="bottom"/>
            <w:gridSpan w:val="2"/>
          </w:tcPr>
          <w:p>
            <w:pPr>
              <w:jc w:val="right"/>
              <w:ind w:right="160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64" w:lineRule="exact"/>
              <w:rPr>
                <w:sz w:val="20"/>
                <w:szCs w:val="20"/>
                <w:color w:val="auto"/>
              </w:rPr>
            </w:pPr>
            <w:r>
              <w:rPr>
                <w:rFonts w:ascii="Arial" w:cs="Arial" w:eastAsia="Arial" w:hAnsi="Arial"/>
                <w:sz w:val="16"/>
                <w:szCs w:val="16"/>
                <w:color w:val="auto"/>
                <w:w w:val="97"/>
              </w:rPr>
              <w:t>949</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25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62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1,036</w:t>
            </w:r>
          </w:p>
        </w:tc>
      </w:tr>
      <w:tr>
        <w:trPr>
          <w:trHeight w:val="194"/>
        </w:trPr>
        <w:tc>
          <w:tcPr>
            <w:tcW w:w="3380" w:type="dxa"/>
            <w:vAlign w:val="bottom"/>
            <w:gridSpan w:val="2"/>
          </w:tcPr>
          <w:p>
            <w:pPr>
              <w:spacing w:after="0"/>
              <w:rPr>
                <w:sz w:val="20"/>
                <w:szCs w:val="20"/>
                <w:color w:val="auto"/>
              </w:rPr>
            </w:pPr>
            <w:r>
              <w:rPr>
                <w:rFonts w:ascii="Arial" w:cs="Arial" w:eastAsia="Arial" w:hAnsi="Arial"/>
                <w:sz w:val="16"/>
                <w:szCs w:val="16"/>
                <w:color w:val="auto"/>
              </w:rPr>
              <w:t>Foreign currency translation(1)</w:t>
            </w:r>
          </w:p>
        </w:tc>
        <w:tc>
          <w:tcPr>
            <w:tcW w:w="94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76"/>
        </w:trPr>
        <w:tc>
          <w:tcPr>
            <w:tcW w:w="3380" w:type="dxa"/>
            <w:vAlign w:val="bottom"/>
            <w:gridSpan w:val="2"/>
          </w:tcPr>
          <w:p>
            <w:pPr>
              <w:spacing w:after="0" w:line="176" w:lineRule="exact"/>
              <w:rPr>
                <w:sz w:val="20"/>
                <w:szCs w:val="20"/>
                <w:color w:val="auto"/>
              </w:rPr>
            </w:pPr>
            <w:r>
              <w:rPr>
                <w:rFonts w:ascii="Arial" w:cs="Arial" w:eastAsia="Arial" w:hAnsi="Arial"/>
                <w:sz w:val="16"/>
                <w:szCs w:val="16"/>
                <w:color w:val="auto"/>
              </w:rPr>
              <w:t>Balance at March 31, 2012</w:t>
            </w:r>
          </w:p>
        </w:tc>
        <w:tc>
          <w:tcPr>
            <w:tcW w:w="2700" w:type="dxa"/>
            <w:vAlign w:val="bottom"/>
            <w:gridSpan w:val="2"/>
          </w:tcPr>
          <w:p>
            <w:pPr>
              <w:jc w:val="right"/>
              <w:ind w:right="160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w w:val="97"/>
              </w:rPr>
              <w:t>984</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1,071</w:t>
            </w:r>
          </w:p>
        </w:tc>
      </w:tr>
      <w:tr>
        <w:trPr>
          <w:trHeight w:val="27"/>
        </w:trPr>
        <w:tc>
          <w:tcPr>
            <w:tcW w:w="20" w:type="dxa"/>
            <w:vAlign w:val="bottom"/>
          </w:tcPr>
          <w:p>
            <w:pPr>
              <w:spacing w:after="0"/>
              <w:rPr>
                <w:sz w:val="2"/>
                <w:szCs w:val="2"/>
                <w:color w:val="auto"/>
              </w:rPr>
            </w:pPr>
          </w:p>
        </w:tc>
        <w:tc>
          <w:tcPr>
            <w:tcW w:w="33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ind w:left="540" w:hanging="350"/>
        <w:spacing w:after="0"/>
        <w:tabs>
          <w:tab w:leader="none" w:pos="5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We record the offset of this fluctuation to other comprehensive income.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concerning goodwill in Notes 1 and 3 of the Notes to Consolidated Financial Statements in the Annual Report.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Remeasurement</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SoCalGas union collective bargaining agreement (CBA) covering wages, hours, working conditions and medical and other benefit plans was ratified on March 1, 2012 and is effective January 1, 2012 through September 30, 2015. The new CBA includes a change in plans offered for post-65 medical benefits. As a result, SoCalGas changed the option for administering the Medicare Part D benefit to an Employer Group Waiver Plan (EGWP). The EGWP allows a plan sponsor to contract with a Medicare Part D sponsor to receive the benefit of the subsidy through reduced premiums. Because this change in benefits is a significant event under GAAP, SoCalGas was required to remeasure the benefit obligations for this postretirement welfare plan as of February 29, 2012 and selected a discount rate of 4.65% for the remeasurement. The effect of the remeasurement was a $66 million decrease in the recorded liability for other postretirement benefits as of March 31, 2012 at SoCalGas and Sempra Energy Consolidated. We discuss the Medicare Part D benefit in Note 8 of the Notes to Consolidated Financial Statements in the Annual Report.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2"/>
            <w:vMerge w:val="restart"/>
          </w:tcPr>
          <w:p>
            <w:pPr>
              <w:jc w:val="right"/>
              <w:ind w:right="566"/>
              <w:spacing w:after="0"/>
              <w:rPr>
                <w:sz w:val="20"/>
                <w:szCs w:val="20"/>
                <w:color w:val="auto"/>
              </w:rPr>
            </w:pPr>
            <w:r>
              <w:rPr>
                <w:rFonts w:ascii="Arial" w:cs="Arial" w:eastAsia="Arial" w:hAnsi="Arial"/>
                <w:sz w:val="14"/>
                <w:szCs w:val="14"/>
                <w:color w:val="auto"/>
              </w:rPr>
              <w:t>Pension Benefits</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vMerge w:val="restart"/>
          </w:tcPr>
          <w:p>
            <w:pPr>
              <w:jc w:val="right"/>
              <w:ind w:right="66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ind w:left="2060"/>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2460" w:type="dxa"/>
            <w:vAlign w:val="bottom"/>
            <w:gridSpan w:val="2"/>
          </w:tcPr>
          <w:p>
            <w:pPr>
              <w:jc w:val="right"/>
              <w:ind w:right="888"/>
              <w:spacing w:after="0" w:line="164"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64" w:lineRule="exact"/>
              <w:rPr>
                <w:sz w:val="20"/>
                <w:szCs w:val="20"/>
                <w:color w:val="auto"/>
              </w:rPr>
            </w:pPr>
            <w:r>
              <w:rPr>
                <w:rFonts w:ascii="Arial" w:cs="Arial" w:eastAsia="Arial" w:hAnsi="Arial"/>
                <w:sz w:val="16"/>
                <w:szCs w:val="16"/>
                <w:color w:val="auto"/>
              </w:rPr>
              <w:t>23</w:t>
            </w:r>
          </w:p>
        </w:tc>
        <w:tc>
          <w:tcPr>
            <w:tcW w:w="1180" w:type="dxa"/>
            <w:vAlign w:val="bottom"/>
          </w:tcPr>
          <w:p>
            <w:pPr>
              <w:jc w:val="right"/>
              <w:ind w:right="1026"/>
              <w:spacing w:after="0" w:line="164" w:lineRule="exact"/>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64" w:lineRule="exact"/>
              <w:rPr>
                <w:sz w:val="20"/>
                <w:szCs w:val="20"/>
                <w:color w:val="auto"/>
              </w:rPr>
            </w:pPr>
            <w:r>
              <w:rPr>
                <w:rFonts w:ascii="Arial" w:cs="Arial" w:eastAsia="Arial" w:hAnsi="Arial"/>
                <w:sz w:val="16"/>
                <w:szCs w:val="16"/>
                <w:color w:val="auto"/>
              </w:rPr>
              <w:t>22</w:t>
            </w:r>
          </w:p>
        </w:tc>
        <w:tc>
          <w:tcPr>
            <w:tcW w:w="380" w:type="dxa"/>
            <w:vAlign w:val="bottom"/>
          </w:tcPr>
          <w:p>
            <w:pPr>
              <w:jc w:val="right"/>
              <w:ind w:right="224"/>
              <w:spacing w:after="0" w:line="164"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11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38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c>
          <w:tcPr>
            <w:tcW w:w="11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38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ectPr>
          <w:pgSz w:w="11900" w:h="16878" w:orient="portrait"/>
          <w:cols w:equalWidth="0" w:num="1">
            <w:col w:w="11420"/>
          </w:cols>
          <w:pgMar w:left="240" w:top="125"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left="240"/>
              <w:spacing w:after="0"/>
              <w:rPr>
                <w:sz w:val="20"/>
                <w:szCs w:val="20"/>
                <w:color w:val="auto"/>
              </w:rPr>
            </w:pPr>
            <w:r>
              <w:rPr>
                <w:rFonts w:ascii="Arial" w:cs="Arial" w:eastAsia="Arial" w:hAnsi="Arial"/>
                <w:sz w:val="16"/>
                <w:szCs w:val="16"/>
                <w:color w:val="auto"/>
              </w:rPr>
              <w:t>(30)</w:t>
            </w: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432"/>
        </w:trPr>
        <w:tc>
          <w:tcPr>
            <w:tcW w:w="20" w:type="dxa"/>
            <w:vAlign w:val="bottom"/>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SDG&amp;E</w:t>
            </w:r>
          </w:p>
        </w:tc>
        <w:tc>
          <w:tcPr>
            <w:tcW w:w="50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20" w:type="dxa"/>
            <w:vAlign w:val="bottom"/>
            <w:shd w:val="clear" w:color="auto" w:fill="C0C0C0"/>
          </w:tcPr>
          <w:p>
            <w:pPr>
              <w:spacing w:after="0"/>
              <w:rPr>
                <w:sz w:val="13"/>
                <w:szCs w:val="13"/>
                <w:color w:val="auto"/>
              </w:rPr>
            </w:pPr>
          </w:p>
        </w:tc>
        <w:tc>
          <w:tcPr>
            <w:tcW w:w="54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color w:val="auto"/>
              </w:rPr>
              <w:t>Pension Benefits</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Other Postretirement Benefits</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Three months ended March 31,</w:t>
            </w: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800" w:type="dxa"/>
            <w:vAlign w:val="bottom"/>
            <w:gridSpan w:val="3"/>
          </w:tcPr>
          <w:p>
            <w:pPr>
              <w:jc w:val="right"/>
              <w:ind w:right="886"/>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20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1120" w:type="dxa"/>
            <w:vAlign w:val="bottom"/>
          </w:tcPr>
          <w:p>
            <w:pPr>
              <w:jc w:val="right"/>
              <w:ind w:right="966"/>
              <w:spacing w:after="0" w:line="164"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2</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1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center"/>
              <w:ind w:left="240"/>
              <w:spacing w:after="0" w:line="176" w:lineRule="exact"/>
              <w:rPr>
                <w:sz w:val="20"/>
                <w:szCs w:val="20"/>
                <w:color w:val="auto"/>
              </w:rPr>
            </w:pPr>
            <w:r>
              <w:rPr>
                <w:rFonts w:ascii="Arial" w:cs="Arial" w:eastAsia="Arial" w:hAnsi="Arial"/>
                <w:sz w:val="16"/>
                <w:szCs w:val="16"/>
                <w:color w:val="auto"/>
              </w:rPr>
              <w:t>(12)</w:t>
            </w:r>
          </w:p>
        </w:tc>
        <w:tc>
          <w:tcPr>
            <w:tcW w:w="1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left="240"/>
              <w:spacing w:after="0"/>
              <w:rPr>
                <w:sz w:val="20"/>
                <w:szCs w:val="20"/>
                <w:color w:val="auto"/>
              </w:rPr>
            </w:pPr>
            <w:r>
              <w:rPr>
                <w:rFonts w:ascii="Arial" w:cs="Arial" w:eastAsia="Arial" w:hAnsi="Arial"/>
                <w:sz w:val="16"/>
                <w:szCs w:val="16"/>
                <w:color w:val="auto"/>
              </w:rPr>
              <w:t>(10)</w:t>
            </w: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486"/>
        </w:trPr>
        <w:tc>
          <w:tcPr>
            <w:tcW w:w="20" w:type="dxa"/>
            <w:vAlign w:val="bottom"/>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SOCALGAS</w:t>
            </w:r>
          </w:p>
        </w:tc>
        <w:tc>
          <w:tcPr>
            <w:tcW w:w="50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20" w:type="dxa"/>
            <w:vAlign w:val="bottom"/>
            <w:shd w:val="clear" w:color="auto" w:fill="C0C0C0"/>
          </w:tcPr>
          <w:p>
            <w:pPr>
              <w:spacing w:after="0"/>
              <w:rPr>
                <w:sz w:val="13"/>
                <w:szCs w:val="13"/>
                <w:color w:val="auto"/>
              </w:rPr>
            </w:pPr>
          </w:p>
        </w:tc>
        <w:tc>
          <w:tcPr>
            <w:tcW w:w="54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4"/>
                <w:szCs w:val="14"/>
                <w:color w:val="auto"/>
              </w:rPr>
              <w:t>Pension Benefits</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Other Postretirement Benefits</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4"/>
                <w:szCs w:val="14"/>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color w:val="auto"/>
              </w:rPr>
              <w:t>Three months ended March 31,</w:t>
            </w: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96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760" w:type="dxa"/>
            <w:vAlign w:val="bottom"/>
            <w:gridSpan w:val="2"/>
          </w:tcPr>
          <w:p>
            <w:pPr>
              <w:jc w:val="right"/>
              <w:ind w:right="104"/>
              <w:spacing w:after="0" w:line="164"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4"/>
                <w:szCs w:val="14"/>
                <w:color w:val="auto"/>
              </w:rPr>
            </w:pP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13</w:t>
            </w:r>
          </w:p>
        </w:tc>
        <w:tc>
          <w:tcPr>
            <w:tcW w:w="200" w:type="dxa"/>
            <w:vAlign w:val="bottom"/>
          </w:tcPr>
          <w:p>
            <w:pPr>
              <w:jc w:val="center"/>
              <w:ind w:right="39"/>
              <w:spacing w:after="0" w:line="164" w:lineRule="exact"/>
              <w:rPr>
                <w:sz w:val="20"/>
                <w:szCs w:val="20"/>
                <w:color w:val="auto"/>
              </w:rPr>
            </w:pPr>
            <w:r>
              <w:rPr>
                <w:rFonts w:ascii="Arial" w:cs="Arial" w:eastAsia="Arial" w:hAnsi="Arial"/>
                <w:sz w:val="16"/>
                <w:szCs w:val="16"/>
                <w:color w:val="auto"/>
                <w:w w:val="89"/>
              </w:rPr>
              <w:t>$</w:t>
            </w:r>
          </w:p>
        </w:tc>
        <w:tc>
          <w:tcPr>
            <w:tcW w:w="1120" w:type="dxa"/>
            <w:vAlign w:val="bottom"/>
          </w:tcPr>
          <w:p>
            <w:pPr>
              <w:spacing w:after="0"/>
              <w:rPr>
                <w:sz w:val="14"/>
                <w:szCs w:val="14"/>
                <w:color w:val="auto"/>
              </w:rPr>
            </w:pPr>
          </w:p>
        </w:tc>
        <w:tc>
          <w:tcPr>
            <w:tcW w:w="540" w:type="dxa"/>
            <w:vAlign w:val="bottom"/>
          </w:tcPr>
          <w:p>
            <w:pPr>
              <w:jc w:val="right"/>
              <w:spacing w:after="0" w:line="164" w:lineRule="exact"/>
              <w:rPr>
                <w:sz w:val="20"/>
                <w:szCs w:val="20"/>
                <w:color w:val="auto"/>
              </w:rPr>
            </w:pPr>
            <w:r>
              <w:rPr>
                <w:rFonts w:ascii="Arial" w:cs="Arial" w:eastAsia="Arial" w:hAnsi="Arial"/>
                <w:sz w:val="16"/>
                <w:szCs w:val="16"/>
                <w:color w:val="auto"/>
              </w:rPr>
              <w:t>12 $</w:t>
            </w:r>
          </w:p>
        </w:tc>
        <w:tc>
          <w:tcPr>
            <w:tcW w:w="320" w:type="dxa"/>
            <w:vAlign w:val="bottom"/>
          </w:tcPr>
          <w:p>
            <w:pPr>
              <w:spacing w:after="0"/>
              <w:rPr>
                <w:sz w:val="14"/>
                <w:szCs w:val="14"/>
                <w:color w:val="auto"/>
              </w:rPr>
            </w:pP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c>
          <w:tcPr>
            <w:tcW w:w="420" w:type="dxa"/>
            <w:vAlign w:val="bottom"/>
            <w:gridSpan w:val="2"/>
          </w:tcPr>
          <w:p>
            <w:pPr>
              <w:jc w:val="center"/>
              <w:ind w:right="264"/>
              <w:spacing w:after="0" w:line="164"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25</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(22)</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396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ind w:right="79"/>
              <w:spacing w:after="0" w:line="176" w:lineRule="exact"/>
              <w:rPr>
                <w:sz w:val="20"/>
                <w:szCs w:val="20"/>
                <w:color w:val="auto"/>
              </w:rPr>
            </w:pPr>
            <w:r>
              <w:rPr>
                <w:rFonts w:ascii="Arial" w:cs="Arial" w:eastAsia="Arial" w:hAnsi="Arial"/>
                <w:sz w:val="16"/>
                <w:szCs w:val="16"/>
                <w:color w:val="auto"/>
              </w:rPr>
              <w:t>4</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94"/>
        </w:trPr>
        <w:tc>
          <w:tcPr>
            <w:tcW w:w="39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5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jc w:val="center"/>
              <w:ind w:right="3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 $</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420" w:type="dxa"/>
            <w:vAlign w:val="bottom"/>
            <w:gridSpan w:val="2"/>
          </w:tcPr>
          <w:p>
            <w:pPr>
              <w:jc w:val="center"/>
              <w:ind w:right="264"/>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r>
      <w:tr>
        <w:trPr>
          <w:trHeight w:val="27"/>
        </w:trPr>
        <w:tc>
          <w:tcPr>
            <w:tcW w:w="20" w:type="dxa"/>
            <w:vAlign w:val="bottom"/>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560" w:type="dxa"/>
            <w:vAlign w:val="bottom"/>
          </w:tcPr>
          <w:p>
            <w:pPr>
              <w:spacing w:after="0"/>
              <w:rPr>
                <w:sz w:val="14"/>
                <w:szCs w:val="14"/>
                <w:color w:val="auto"/>
              </w:rPr>
            </w:pPr>
          </w:p>
        </w:tc>
        <w:tc>
          <w:tcPr>
            <w:tcW w:w="1700" w:type="dxa"/>
            <w:vAlign w:val="bottom"/>
          </w:tcPr>
          <w:p>
            <w:pPr>
              <w:jc w:val="right"/>
              <w:ind w:right="422"/>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02"/>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81"/>
              <w:spacing w:after="0" w:line="157" w:lineRule="exact"/>
              <w:rPr>
                <w:sz w:val="20"/>
                <w:szCs w:val="20"/>
                <w:color w:val="auto"/>
              </w:rPr>
            </w:pPr>
            <w:r>
              <w:rPr>
                <w:rFonts w:ascii="Arial" w:cs="Arial" w:eastAsia="Arial" w:hAnsi="Arial"/>
                <w:sz w:val="14"/>
                <w:szCs w:val="14"/>
                <w:color w:val="auto"/>
              </w:rPr>
              <w:t>SDG&amp;E</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2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64"/>
        </w:trPr>
        <w:tc>
          <w:tcPr>
            <w:tcW w:w="4040" w:type="dxa"/>
            <w:vAlign w:val="bottom"/>
          </w:tcPr>
          <w:p>
            <w:pPr>
              <w:spacing w:after="0" w:line="164" w:lineRule="exact"/>
              <w:rPr>
                <w:sz w:val="20"/>
                <w:szCs w:val="20"/>
                <w:color w:val="auto"/>
              </w:rPr>
            </w:pPr>
            <w:r>
              <w:rPr>
                <w:rFonts w:ascii="Arial" w:cs="Arial" w:eastAsia="Arial" w:hAnsi="Arial"/>
                <w:sz w:val="16"/>
                <w:szCs w:val="16"/>
                <w:color w:val="auto"/>
              </w:rPr>
              <w:t>Contributions through March 31, 2012:</w:t>
            </w: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line="176" w:lineRule="exact"/>
              <w:rPr>
                <w:sz w:val="20"/>
                <w:szCs w:val="20"/>
                <w:color w:val="auto"/>
              </w:rPr>
            </w:pPr>
            <w:r>
              <w:rPr>
                <w:rFonts w:ascii="Arial" w:cs="Arial" w:eastAsia="Arial" w:hAnsi="Arial"/>
                <w:sz w:val="16"/>
                <w:szCs w:val="16"/>
                <w:color w:val="auto"/>
              </w:rPr>
              <w:t>Pension plans</w:t>
            </w:r>
          </w:p>
        </w:tc>
        <w:tc>
          <w:tcPr>
            <w:tcW w:w="15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7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440" w:type="dxa"/>
            <w:vAlign w:val="bottom"/>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2020" w:type="dxa"/>
            <w:vAlign w:val="bottom"/>
            <w:gridSpan w:val="2"/>
          </w:tcPr>
          <w:p>
            <w:pPr>
              <w:jc w:val="right"/>
              <w:ind w:right="239"/>
              <w:spacing w:after="0" w:line="176" w:lineRule="exact"/>
              <w:rPr>
                <w:sz w:val="20"/>
                <w:szCs w:val="20"/>
                <w:color w:val="auto"/>
              </w:rPr>
            </w:pPr>
            <w:r>
              <w:rPr>
                <w:rFonts w:ascii="Arial" w:cs="Arial" w:eastAsia="Arial" w:hAnsi="Arial"/>
                <w:sz w:val="16"/>
                <w:szCs w:val="16"/>
                <w:color w:val="auto"/>
              </w:rPr>
              <w:t>― $</w:t>
            </w:r>
          </w:p>
        </w:tc>
        <w:tc>
          <w:tcPr>
            <w:tcW w:w="16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line="176" w:lineRule="exact"/>
              <w:rPr>
                <w:sz w:val="20"/>
                <w:szCs w:val="20"/>
                <w:color w:val="auto"/>
              </w:rPr>
            </w:pPr>
            <w:r>
              <w:rPr>
                <w:rFonts w:ascii="Arial" w:cs="Arial" w:eastAsia="Arial" w:hAnsi="Arial"/>
                <w:sz w:val="16"/>
                <w:szCs w:val="16"/>
                <w:color w:val="auto"/>
              </w:rPr>
              <w:t>Other postretirement benefit plans</w:t>
            </w:r>
          </w:p>
        </w:tc>
        <w:tc>
          <w:tcPr>
            <w:tcW w:w="1560" w:type="dxa"/>
            <w:vAlign w:val="bottom"/>
          </w:tcPr>
          <w:p>
            <w:pPr>
              <w:spacing w:after="0"/>
              <w:rPr>
                <w:sz w:val="15"/>
                <w:szCs w:val="15"/>
                <w:color w:val="auto"/>
              </w:rPr>
            </w:pPr>
          </w:p>
        </w:tc>
        <w:tc>
          <w:tcPr>
            <w:tcW w:w="170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440" w:type="dxa"/>
            <w:vAlign w:val="bottom"/>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420" w:type="dxa"/>
            <w:vAlign w:val="bottom"/>
          </w:tcPr>
          <w:p>
            <w:pPr>
              <w:spacing w:after="0"/>
              <w:rPr>
                <w:sz w:val="15"/>
                <w:szCs w:val="15"/>
                <w:color w:val="auto"/>
              </w:rPr>
            </w:pPr>
          </w:p>
        </w:tc>
        <w:tc>
          <w:tcPr>
            <w:tcW w:w="166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6"/>
        </w:trPr>
        <w:tc>
          <w:tcPr>
            <w:tcW w:w="4040" w:type="dxa"/>
            <w:vAlign w:val="bottom"/>
          </w:tcPr>
          <w:p>
            <w:pPr>
              <w:spacing w:after="0" w:line="176" w:lineRule="exact"/>
              <w:rPr>
                <w:sz w:val="20"/>
                <w:szCs w:val="20"/>
                <w:color w:val="auto"/>
              </w:rPr>
            </w:pPr>
            <w:r>
              <w:rPr>
                <w:rFonts w:ascii="Arial" w:cs="Arial" w:eastAsia="Arial" w:hAnsi="Arial"/>
                <w:sz w:val="16"/>
                <w:szCs w:val="16"/>
                <w:color w:val="auto"/>
              </w:rPr>
              <w:t>Total expected contributions in 2012:</w:t>
            </w:r>
          </w:p>
        </w:tc>
        <w:tc>
          <w:tcPr>
            <w:tcW w:w="1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line="176" w:lineRule="exact"/>
              <w:rPr>
                <w:sz w:val="20"/>
                <w:szCs w:val="20"/>
                <w:color w:val="auto"/>
              </w:rPr>
            </w:pPr>
            <w:r>
              <w:rPr>
                <w:rFonts w:ascii="Arial" w:cs="Arial" w:eastAsia="Arial" w:hAnsi="Arial"/>
                <w:sz w:val="16"/>
                <w:szCs w:val="16"/>
                <w:color w:val="auto"/>
              </w:rPr>
              <w:t>Pension plans</w:t>
            </w:r>
          </w:p>
        </w:tc>
        <w:tc>
          <w:tcPr>
            <w:tcW w:w="15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w:t>
            </w:r>
          </w:p>
        </w:tc>
        <w:tc>
          <w:tcPr>
            <w:tcW w:w="1700" w:type="dxa"/>
            <w:vAlign w:val="bottom"/>
          </w:tcPr>
          <w:p>
            <w:pPr>
              <w:jc w:val="right"/>
              <w:spacing w:after="0" w:line="176" w:lineRule="exact"/>
              <w:rPr>
                <w:sz w:val="20"/>
                <w:szCs w:val="20"/>
                <w:color w:val="auto"/>
              </w:rPr>
            </w:pPr>
            <w:r>
              <w:rPr>
                <w:rFonts w:ascii="Arial" w:cs="Arial" w:eastAsia="Arial" w:hAnsi="Arial"/>
                <w:sz w:val="16"/>
                <w:szCs w:val="16"/>
                <w:color w:val="auto"/>
              </w:rPr>
              <w:t>218</w:t>
            </w:r>
          </w:p>
        </w:tc>
        <w:tc>
          <w:tcPr>
            <w:tcW w:w="440" w:type="dxa"/>
            <w:vAlign w:val="bottom"/>
          </w:tcPr>
          <w:p>
            <w:pPr>
              <w:jc w:val="right"/>
              <w:ind w:right="259"/>
              <w:spacing w:after="0" w:line="176" w:lineRule="exact"/>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76"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4"/>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postretirement benefit plans</w:t>
            </w:r>
          </w:p>
        </w:tc>
        <w:tc>
          <w:tcPr>
            <w:tcW w:w="1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the three months ended March 31, 2012 and 2011.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60" w:type="dxa"/>
            <w:vAlign w:val="bottom"/>
            <w:tcBorders>
              <w:bottom w:val="single" w:sz="8" w:color="auto"/>
            </w:tcBorders>
            <w:gridSpan w:val="4"/>
          </w:tcPr>
          <w:p>
            <w:pPr>
              <w:jc w:val="right"/>
              <w:ind w:right="560"/>
              <w:spacing w:after="0" w:line="159" w:lineRule="exact"/>
              <w:rPr>
                <w:sz w:val="20"/>
                <w:szCs w:val="20"/>
                <w:color w:val="auto"/>
              </w:rPr>
            </w:pPr>
            <w:r>
              <w:rPr>
                <w:rFonts w:ascii="Arial" w:cs="Arial" w:eastAsia="Arial" w:hAnsi="Arial"/>
                <w:sz w:val="14"/>
                <w:szCs w:val="14"/>
                <w:color w:val="auto"/>
              </w:rPr>
              <w:t>Three months ended March 31,</w:t>
            </w:r>
          </w:p>
        </w:tc>
      </w:tr>
      <w:tr>
        <w:trPr>
          <w:trHeight w:val="183"/>
        </w:trPr>
        <w:tc>
          <w:tcPr>
            <w:tcW w:w="20" w:type="dxa"/>
            <w:vAlign w:val="bottom"/>
          </w:tcPr>
          <w:p>
            <w:pPr>
              <w:spacing w:after="0"/>
              <w:rPr>
                <w:sz w:val="15"/>
                <w:szCs w:val="15"/>
                <w:color w:val="auto"/>
              </w:rPr>
            </w:pPr>
          </w:p>
        </w:tc>
        <w:tc>
          <w:tcPr>
            <w:tcW w:w="70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2011(1)</w:t>
            </w:r>
          </w:p>
        </w:tc>
      </w:tr>
      <w:tr>
        <w:trPr>
          <w:trHeight w:val="164"/>
        </w:trPr>
        <w:tc>
          <w:tcPr>
            <w:tcW w:w="20" w:type="dxa"/>
            <w:vAlign w:val="bottom"/>
          </w:tcPr>
          <w:p>
            <w:pPr>
              <w:spacing w:after="0"/>
              <w:rPr>
                <w:sz w:val="14"/>
                <w:szCs w:val="14"/>
                <w:color w:val="auto"/>
              </w:rPr>
            </w:pPr>
          </w:p>
        </w:tc>
        <w:tc>
          <w:tcPr>
            <w:tcW w:w="7020" w:type="dxa"/>
            <w:vAlign w:val="bottom"/>
          </w:tcPr>
          <w:p>
            <w:pPr>
              <w:spacing w:after="0" w:line="164" w:lineRule="exact"/>
              <w:rPr>
                <w:sz w:val="20"/>
                <w:szCs w:val="20"/>
                <w:color w:val="auto"/>
              </w:rPr>
            </w:pPr>
            <w:r>
              <w:rPr>
                <w:rFonts w:ascii="Arial" w:cs="Arial" w:eastAsia="Arial" w:hAnsi="Arial"/>
                <w:sz w:val="16"/>
                <w:szCs w:val="16"/>
                <w:color w:val="auto"/>
              </w:rPr>
              <w:t>Numerator:</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7020" w:type="dxa"/>
            <w:vAlign w:val="bottom"/>
          </w:tcPr>
          <w:p>
            <w:pPr>
              <w:ind w:left="160"/>
              <w:spacing w:after="0"/>
              <w:rPr>
                <w:sz w:val="20"/>
                <w:szCs w:val="20"/>
                <w:color w:val="auto"/>
              </w:rPr>
            </w:pPr>
            <w:r>
              <w:rPr>
                <w:rFonts w:ascii="Arial" w:cs="Arial" w:eastAsia="Arial" w:hAnsi="Arial"/>
                <w:sz w:val="16"/>
                <w:szCs w:val="16"/>
                <w:color w:val="auto"/>
              </w:rPr>
              <w:t>Earnings/Income attributable to common shareholders</w:t>
            </w:r>
          </w:p>
        </w:tc>
        <w:tc>
          <w:tcPr>
            <w:tcW w:w="210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332"/>
        </w:trPr>
        <w:tc>
          <w:tcPr>
            <w:tcW w:w="7040" w:type="dxa"/>
            <w:vAlign w:val="bottom"/>
            <w:gridSpan w:val="2"/>
          </w:tcPr>
          <w:p>
            <w:pPr>
              <w:spacing w:after="0"/>
              <w:rPr>
                <w:sz w:val="20"/>
                <w:szCs w:val="20"/>
                <w:color w:val="auto"/>
              </w:rPr>
            </w:pPr>
            <w:r>
              <w:rPr>
                <w:rFonts w:ascii="Arial" w:cs="Arial" w:eastAsia="Arial" w:hAnsi="Arial"/>
                <w:sz w:val="16"/>
                <w:szCs w:val="16"/>
                <w:color w:val="auto"/>
              </w:rPr>
              <w:t>Denominator:</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60"/>
              <w:spacing w:after="0" w:line="176" w:lineRule="exact"/>
              <w:rPr>
                <w:sz w:val="20"/>
                <w:szCs w:val="20"/>
                <w:color w:val="auto"/>
              </w:rPr>
            </w:pPr>
            <w:r>
              <w:rPr>
                <w:rFonts w:ascii="Arial" w:cs="Arial" w:eastAsia="Arial" w:hAnsi="Arial"/>
                <w:sz w:val="16"/>
                <w:szCs w:val="16"/>
                <w:color w:val="auto"/>
              </w:rPr>
              <w:t>Weighted-average common shares outstanding for basic EPS</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240,566</w:t>
            </w:r>
          </w:p>
        </w:tc>
        <w:tc>
          <w:tcPr>
            <w:tcW w:w="36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240,128</w:t>
            </w:r>
          </w:p>
        </w:tc>
      </w:tr>
      <w:tr>
        <w:trPr>
          <w:trHeight w:val="176"/>
        </w:trPr>
        <w:tc>
          <w:tcPr>
            <w:tcW w:w="20" w:type="dxa"/>
            <w:vAlign w:val="bottom"/>
          </w:tcPr>
          <w:p>
            <w:pPr>
              <w:spacing w:after="0"/>
              <w:rPr>
                <w:sz w:val="15"/>
                <w:szCs w:val="15"/>
                <w:color w:val="auto"/>
              </w:rPr>
            </w:pPr>
          </w:p>
        </w:tc>
        <w:tc>
          <w:tcPr>
            <w:tcW w:w="7020" w:type="dxa"/>
            <w:vAlign w:val="bottom"/>
          </w:tcPr>
          <w:p>
            <w:pPr>
              <w:ind w:left="160"/>
              <w:spacing w:after="0" w:line="176" w:lineRule="exact"/>
              <w:rPr>
                <w:sz w:val="20"/>
                <w:szCs w:val="20"/>
                <w:color w:val="auto"/>
              </w:rPr>
            </w:pPr>
            <w:r>
              <w:rPr>
                <w:rFonts w:ascii="Arial" w:cs="Arial" w:eastAsia="Arial" w:hAnsi="Arial"/>
                <w:sz w:val="16"/>
                <w:szCs w:val="16"/>
                <w:color w:val="auto"/>
              </w:rPr>
              <w:t>Dilutive effect of stock options, restricted stock awards and restricted stock units</w:t>
            </w: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3,195</w:t>
            </w:r>
          </w:p>
        </w:tc>
        <w:tc>
          <w:tcPr>
            <w:tcW w:w="36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1,775</w:t>
            </w:r>
          </w:p>
        </w:tc>
      </w:tr>
      <w:tr>
        <w:trPr>
          <w:trHeight w:val="195"/>
        </w:trPr>
        <w:tc>
          <w:tcPr>
            <w:tcW w:w="20" w:type="dxa"/>
            <w:vAlign w:val="bottom"/>
          </w:tcPr>
          <w:p>
            <w:pPr>
              <w:spacing w:after="0"/>
              <w:rPr>
                <w:sz w:val="16"/>
                <w:szCs w:val="16"/>
                <w:color w:val="auto"/>
              </w:rPr>
            </w:pPr>
          </w:p>
        </w:tc>
        <w:tc>
          <w:tcPr>
            <w:tcW w:w="7020" w:type="dxa"/>
            <w:vAlign w:val="bottom"/>
          </w:tcPr>
          <w:p>
            <w:pPr>
              <w:ind w:left="160"/>
              <w:spacing w:after="0"/>
              <w:rPr>
                <w:sz w:val="20"/>
                <w:szCs w:val="20"/>
                <w:color w:val="auto"/>
              </w:rPr>
            </w:pPr>
            <w:r>
              <w:rPr>
                <w:rFonts w:ascii="Arial" w:cs="Arial" w:eastAsia="Arial" w:hAnsi="Arial"/>
                <w:sz w:val="16"/>
                <w:szCs w:val="16"/>
                <w:color w:val="auto"/>
              </w:rPr>
              <w:t>Weighted-average common shares outstanding for diluted EPS</w:t>
            </w: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243,761</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241,903</w:t>
            </w:r>
          </w:p>
        </w:tc>
      </w:tr>
      <w:tr>
        <w:trPr>
          <w:trHeight w:val="359"/>
        </w:trPr>
        <w:tc>
          <w:tcPr>
            <w:tcW w:w="7040" w:type="dxa"/>
            <w:vAlign w:val="bottom"/>
            <w:gridSpan w:val="2"/>
          </w:tcPr>
          <w:p>
            <w:pPr>
              <w:spacing w:after="0"/>
              <w:rPr>
                <w:sz w:val="20"/>
                <w:szCs w:val="20"/>
                <w:color w:val="auto"/>
              </w:rPr>
            </w:pPr>
            <w:r>
              <w:rPr>
                <w:rFonts w:ascii="Arial" w:cs="Arial" w:eastAsia="Arial" w:hAnsi="Arial"/>
                <w:sz w:val="16"/>
                <w:szCs w:val="16"/>
                <w:color w:val="auto"/>
              </w:rPr>
              <w:t>Earnings per share: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60"/>
              <w:spacing w:after="0" w:line="176" w:lineRule="exact"/>
              <w:rPr>
                <w:sz w:val="20"/>
                <w:szCs w:val="20"/>
                <w:color w:val="auto"/>
              </w:rPr>
            </w:pPr>
            <w:r>
              <w:rPr>
                <w:rFonts w:ascii="Arial" w:cs="Arial" w:eastAsia="Arial" w:hAnsi="Arial"/>
                <w:sz w:val="16"/>
                <w:szCs w:val="16"/>
                <w:color w:val="auto"/>
              </w:rPr>
              <w:t>Basic</w:t>
            </w:r>
          </w:p>
        </w:tc>
        <w:tc>
          <w:tcPr>
            <w:tcW w:w="2100" w:type="dxa"/>
            <w:vAlign w:val="bottom"/>
            <w:gridSpan w:val="2"/>
          </w:tcPr>
          <w:p>
            <w:pPr>
              <w:jc w:val="right"/>
              <w:ind w:right="828"/>
              <w:spacing w:after="0" w:line="176"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0.98</w:t>
            </w:r>
          </w:p>
        </w:tc>
        <w:tc>
          <w:tcPr>
            <w:tcW w:w="36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1.06</w:t>
            </w:r>
          </w:p>
        </w:tc>
      </w:tr>
      <w:tr>
        <w:trPr>
          <w:trHeight w:val="195"/>
        </w:trPr>
        <w:tc>
          <w:tcPr>
            <w:tcW w:w="20" w:type="dxa"/>
            <w:vAlign w:val="bottom"/>
          </w:tcPr>
          <w:p>
            <w:pPr>
              <w:spacing w:after="0"/>
              <w:rPr>
                <w:sz w:val="16"/>
                <w:szCs w:val="16"/>
                <w:color w:val="auto"/>
              </w:rPr>
            </w:pPr>
          </w:p>
        </w:tc>
        <w:tc>
          <w:tcPr>
            <w:tcW w:w="7020" w:type="dxa"/>
            <w:vAlign w:val="bottom"/>
          </w:tcPr>
          <w:p>
            <w:pPr>
              <w:ind w:left="160"/>
              <w:spacing w:after="0"/>
              <w:rPr>
                <w:sz w:val="20"/>
                <w:szCs w:val="20"/>
                <w:color w:val="auto"/>
              </w:rPr>
            </w:pPr>
            <w:r>
              <w:rPr>
                <w:rFonts w:ascii="Arial" w:cs="Arial" w:eastAsia="Arial" w:hAnsi="Arial"/>
                <w:sz w:val="16"/>
                <w:szCs w:val="16"/>
                <w:color w:val="auto"/>
              </w:rPr>
              <w:t>Diluted</w:t>
            </w:r>
          </w:p>
        </w:tc>
        <w:tc>
          <w:tcPr>
            <w:tcW w:w="210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0.97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357"/>
        <w:spacing w:after="0"/>
        <w:tabs>
          <w:tab w:leader="none" w:pos="5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effect of a change in accounting principle as we discuss in Note 1.</w:t>
      </w:r>
    </w:p>
    <w:p>
      <w:pPr>
        <w:spacing w:after="0" w:line="2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dilution from common stock options is based on the treasury stock method. Under this method, proceeds based on the exercise price plus unearned compensation and windfall tax benefits recognized and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767,833 and 2,120,225 such antidilutive stock options outstanding during the three months ended March 31, 2012 and 2011, respectively.</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had no stock options outstanding during the three months ended March 31, 2012 and 10,800 stock options outstanding during the three months ended March 31, 2011 that were antidilutive because of the unearned compensation and windfall tax benefits included in the assumed proceeds under the treasury stock method.</w:t>
      </w:r>
    </w:p>
    <w:p>
      <w:pPr>
        <w:sectPr>
          <w:pgSz w:w="11900" w:h="16838" w:orient="portrait"/>
          <w:cols w:equalWidth="0" w:num="1">
            <w:col w:w="11420"/>
          </w:cols>
          <w:pgMar w:left="240" w:top="128" w:right="239" w:bottom="0" w:gutter="0" w:footer="0" w:header="0"/>
        </w:sectPr>
      </w:pPr>
    </w:p>
    <w:bookmarkStart w:id="25" w:name="page26"/>
    <w:bookmarkEnd w:id="25"/>
    <w:p>
      <w:pPr>
        <w:ind w:right="40"/>
        <w:spacing w:after="0" w:line="291" w:lineRule="auto"/>
        <w:rPr>
          <w:sz w:val="20"/>
          <w:szCs w:val="20"/>
          <w:color w:val="auto"/>
        </w:rPr>
      </w:pPr>
      <w:r>
        <w:rPr>
          <w:rFonts w:ascii="Arial" w:cs="Arial" w:eastAsia="Arial" w:hAnsi="Arial"/>
          <w:sz w:val="16"/>
          <w:szCs w:val="16"/>
          <w:color w:val="auto"/>
        </w:rPr>
        <w:t>The dilution from unvested restricted stock awards (RSAs) and restricted stock units (RSUs) is also based on the treasury stock method. Proceeds equal to the unearned compensation and windfall tax benefits recognized and minus tax shortfalls recognized related to the awards and units are assumed to be used to repurchase shares on the open market at the average market price for the period. The windfall tax benefits recognized or tax shortfalls recognized are the difference between tax deductions we would receive upon the assumed vesting of RSAs or RSUs and the deferred income taxes we recorded related to the compensation expense on such awards and units. There were no antidilutive RSUs from the application of unearned compensation in the treasury stock method for the three months ended March 31, 2012 and 997,609 such antidilutive RSUs for the three months ended March 31, 2011. There were 15,932 such antidilutive RSAs for the three months ended March 31, 2012 and none for the three months ended March 31, 2011.</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performance based RSU represents the right to receive between zero and 1.5 shares of Sempra Energy common stock based on Sempra Energy’s four-year cumulative total shareholder return compared to the Standard &amp; Poor’s (S&amp;P) 500 Utilities Index, as follows:</w:t>
      </w:r>
    </w:p>
    <w:p>
      <w:pPr>
        <w:sectPr>
          <w:pgSz w:w="11900" w:h="16838" w:orient="portrait"/>
          <w:cols w:equalWidth="0" w:num="1">
            <w:col w:w="11420"/>
          </w:cols>
          <w:pgMar w:left="240" w:top="125" w:right="239" w:bottom="45"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80"/>
        <w:spacing w:after="0" w:line="238" w:lineRule="auto"/>
        <w:rPr>
          <w:sz w:val="20"/>
          <w:szCs w:val="20"/>
          <w:color w:val="auto"/>
        </w:rPr>
      </w:pPr>
      <w:r>
        <w:rPr>
          <w:rFonts w:ascii="Arial" w:cs="Arial" w:eastAsia="Arial" w:hAnsi="Arial"/>
          <w:sz w:val="14"/>
          <w:szCs w:val="14"/>
          <w:color w:val="auto"/>
        </w:rPr>
        <w:t>Number of Sempra Energy Common Shares Received for Each Restricted Stock Unit(2)</w:t>
      </w:r>
    </w:p>
    <w:p>
      <w:pPr>
        <w:spacing w:after="0" w:line="1" w:lineRule="exact"/>
        <w:rPr>
          <w:sz w:val="20"/>
          <w:szCs w:val="20"/>
          <w:color w:val="auto"/>
        </w:rPr>
      </w:pPr>
    </w:p>
    <w:p>
      <w:pPr>
        <w:sectPr>
          <w:pgSz w:w="11900" w:h="16838" w:orient="portrait"/>
          <w:cols w:equalWidth="0" w:num="2">
            <w:col w:w="6180" w:space="720"/>
            <w:col w:w="4520"/>
          </w:cols>
          <w:pgMar w:left="240" w:top="125" w:right="239" w:bottom="45"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40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75th Percentile or Above</w:t>
            </w:r>
          </w:p>
        </w:tc>
        <w:tc>
          <w:tcPr>
            <w:tcW w:w="6020" w:type="dxa"/>
            <w:vAlign w:val="bottom"/>
            <w:tcBorders>
              <w:top w:val="single" w:sz="8" w:color="auto"/>
            </w:tcBorders>
          </w:tcPr>
          <w:p>
            <w:pPr>
              <w:jc w:val="right"/>
              <w:ind w:right="2099"/>
              <w:spacing w:after="0" w:line="171" w:lineRule="exact"/>
              <w:rPr>
                <w:sz w:val="20"/>
                <w:szCs w:val="20"/>
                <w:color w:val="auto"/>
              </w:rPr>
            </w:pPr>
            <w:r>
              <w:rPr>
                <w:rFonts w:ascii="Arial" w:cs="Arial" w:eastAsia="Arial" w:hAnsi="Arial"/>
                <w:sz w:val="16"/>
                <w:szCs w:val="16"/>
                <w:color w:val="auto"/>
              </w:rPr>
              <w:t>1.5</w:t>
            </w: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6"/>
                <w:szCs w:val="16"/>
                <w:color w:val="auto"/>
              </w:rPr>
              <w:t>50th Percentile</w:t>
            </w:r>
          </w:p>
        </w:tc>
        <w:tc>
          <w:tcPr>
            <w:tcW w:w="6020" w:type="dxa"/>
            <w:vAlign w:val="bottom"/>
          </w:tcPr>
          <w:p>
            <w:pPr>
              <w:jc w:val="right"/>
              <w:ind w:right="2159"/>
              <w:spacing w:after="0" w:line="176" w:lineRule="exact"/>
              <w:rPr>
                <w:sz w:val="20"/>
                <w:szCs w:val="20"/>
                <w:color w:val="auto"/>
              </w:rPr>
            </w:pPr>
            <w:r>
              <w:rPr>
                <w:rFonts w:ascii="Arial" w:cs="Arial" w:eastAsia="Arial" w:hAnsi="Arial"/>
                <w:sz w:val="16"/>
                <w:szCs w:val="16"/>
                <w:color w:val="auto"/>
              </w:rPr>
              <w:t>1</w:t>
            </w:r>
          </w:p>
        </w:tc>
      </w:tr>
      <w:tr>
        <w:trPr>
          <w:trHeight w:val="195"/>
        </w:trPr>
        <w:tc>
          <w:tcPr>
            <w:tcW w:w="5400" w:type="dxa"/>
            <w:vAlign w:val="bottom"/>
          </w:tcPr>
          <w:p>
            <w:pPr>
              <w:spacing w:after="0"/>
              <w:rPr>
                <w:sz w:val="20"/>
                <w:szCs w:val="20"/>
                <w:color w:val="auto"/>
              </w:rPr>
            </w:pPr>
            <w:r>
              <w:rPr>
                <w:rFonts w:ascii="Arial" w:cs="Arial" w:eastAsia="Arial" w:hAnsi="Arial"/>
                <w:sz w:val="16"/>
                <w:szCs w:val="16"/>
                <w:color w:val="auto"/>
              </w:rPr>
              <w:t>35th Percentile or Below</w:t>
            </w:r>
          </w:p>
        </w:tc>
        <w:tc>
          <w:tcPr>
            <w:tcW w:w="6020" w:type="dxa"/>
            <w:vAlign w:val="bottom"/>
          </w:tcPr>
          <w:p>
            <w:pPr>
              <w:ind w:left="36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00" w:hanging="292"/>
        <w:spacing w:after="0"/>
        <w:tabs>
          <w:tab w:leader="none" w:pos="30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restricted stock unit.</w:t>
      </w:r>
    </w:p>
    <w:p>
      <w:pPr>
        <w:spacing w:after="0" w:line="15" w:lineRule="exact"/>
        <w:rPr>
          <w:rFonts w:ascii="Arial" w:cs="Arial" w:eastAsia="Arial" w:hAnsi="Arial"/>
          <w:sz w:val="14"/>
          <w:szCs w:val="14"/>
          <w:i w:val="1"/>
          <w:iCs w:val="1"/>
          <w:color w:val="auto"/>
        </w:rPr>
      </w:pPr>
    </w:p>
    <w:p>
      <w:pPr>
        <w:ind w:right="280" w:firstLine="8"/>
        <w:spacing w:after="0" w:line="258" w:lineRule="auto"/>
        <w:tabs>
          <w:tab w:leader="none" w:pos="296"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may also receive additional shares for dividend equivalents on shares subject to restricted stock units, which are reinvested to purchase additional shares that become subject to the same vesting conditions as the restricted stock units to which the dividends relate.</w:t>
      </w:r>
    </w:p>
    <w:p>
      <w:pPr>
        <w:spacing w:after="0" w:line="39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RSAs have a maximum potential of 100 percent vesting. We include our performance based RSAs and RSUs in potential dilutive shares at zero to 100 percent and zero to 150 percent, respectively, to the extent that they currently meet the performance requirements for vesting, subject to the application of the treasury stock method. Due to market fluctuations of both Sempra Energy stock and the comparative index, dilutive RSA and RSU shares may vary widely from period-to-period. We include our RSAs, which are service based, in potential dilutive shares at 100 percent.</w:t>
      </w:r>
    </w:p>
    <w:p>
      <w:pPr>
        <w:spacing w:after="0" w:line="171"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RSUs and RSAs may be excluded from potential dilutive shares by the application of unearned compensation in the treasury stock method or because performance goals are currently not met. The maximum excluded RSUs and RSAs, assuming performance goals were met at maximum levels, were 3,191,073 and 3,959,911 for the three months ended March 31, 2012 and 2011,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September 2010, we entered into a share repurchase program under which we prepaid $500 million to repurchase shares of our common stock in a share forward transaction. The program was completed in March 2011 with a total of 9,574,435 shares repurchased at an average price of $52.22 per share. Our outstanding shares used to calculate earnings per share were reduced by the number of shares repurchased when they were delivered to us, and the $500 million purchase price was recorded as a reduction in shareholders’ equity upon its prepayment. We received 5,670,006 shares during the quarter ended September 30, 2010; 2,407,994 shares on October 4, 2010 and 1,496,435 shares on March 22, 2011. We discuss the repurchase program further in Note 13 of the Notes to Consolidated Financial Statements in the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discuss our share-based compensation plans in Note 9 of the Notes to Consolidated Financial Statements in the Annual Report. We recorded share-based compensation expense, net of income taxes, of $5 million and $6 million for the three months ended March 31, 2012 and 2011, respectively. Pursuant to our share-based compensation plans, we granted 905,868 RSUs and 15,932 RSAs during the three months ended March 31, 2012, primarily in January.</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3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Capitalized financing costs include capitalized interest costs and, primarily at the California Utilities, an allowance for funds used during construction (AFUDC) related to both debt and equity financing of construction projects. The following table shows capitalized financing costs for the three months ended March 31, 2012 and 2011.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00" w:type="dxa"/>
            <w:vAlign w:val="bottom"/>
            <w:tcBorders>
              <w:bottom w:val="single" w:sz="8" w:color="auto"/>
            </w:tcBorders>
            <w:gridSpan w:val="3"/>
          </w:tcPr>
          <w:p>
            <w:pPr>
              <w:jc w:val="right"/>
              <w:ind w:right="400"/>
              <w:spacing w:after="0" w:line="159" w:lineRule="exact"/>
              <w:rPr>
                <w:sz w:val="20"/>
                <w:szCs w:val="20"/>
                <w:color w:val="auto"/>
              </w:rPr>
            </w:pPr>
            <w:r>
              <w:rPr>
                <w:rFonts w:ascii="Arial" w:cs="Arial" w:eastAsia="Arial" w:hAnsi="Arial"/>
                <w:sz w:val="14"/>
                <w:szCs w:val="14"/>
                <w:color w:val="auto"/>
              </w:rPr>
              <w:t>Three months ended March 31,</w:t>
            </w:r>
          </w:p>
        </w:tc>
        <w:tc>
          <w:tcPr>
            <w:tcW w:w="5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0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0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3720" w:type="dxa"/>
            <w:vAlign w:val="bottom"/>
            <w:gridSpan w:val="2"/>
          </w:tcPr>
          <w:p>
            <w:pPr>
              <w:jc w:val="right"/>
              <w:ind w:right="1281"/>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1500" w:type="dxa"/>
            <w:vAlign w:val="bottom"/>
          </w:tcPr>
          <w:p>
            <w:pPr>
              <w:jc w:val="right"/>
              <w:ind w:right="1320"/>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76"/>
        </w:trPr>
        <w:tc>
          <w:tcPr>
            <w:tcW w:w="20" w:type="dxa"/>
            <w:vAlign w:val="bottom"/>
          </w:tcPr>
          <w:p>
            <w:pPr>
              <w:spacing w:after="0"/>
              <w:rPr>
                <w:sz w:val="15"/>
                <w:szCs w:val="15"/>
                <w:color w:val="auto"/>
              </w:rPr>
            </w:pPr>
          </w:p>
        </w:tc>
        <w:tc>
          <w:tcPr>
            <w:tcW w:w="510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equity</w:t>
            </w:r>
          </w:p>
        </w:tc>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150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94"/>
        </w:trPr>
        <w:tc>
          <w:tcPr>
            <w:tcW w:w="20" w:type="dxa"/>
            <w:vAlign w:val="bottom"/>
          </w:tcPr>
          <w:p>
            <w:pPr>
              <w:spacing w:after="0"/>
              <w:rPr>
                <w:sz w:val="16"/>
                <w:szCs w:val="16"/>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Other capitalized financing costs</w:t>
            </w:r>
          </w:p>
        </w:tc>
        <w:tc>
          <w:tcPr>
            <w:tcW w:w="22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Sempra Energy Consolidated</w:t>
            </w:r>
          </w:p>
        </w:tc>
        <w:tc>
          <w:tcPr>
            <w:tcW w:w="2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81"/>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60</w:t>
            </w:r>
          </w:p>
        </w:tc>
        <w:tc>
          <w:tcPr>
            <w:tcW w:w="1500" w:type="dxa"/>
            <w:vAlign w:val="bottom"/>
            <w:tcBorders>
              <w:bottom w:val="single" w:sz="8" w:color="auto"/>
            </w:tcBorders>
          </w:tcPr>
          <w:p>
            <w:pPr>
              <w:jc w:val="right"/>
              <w:ind w:right="1320"/>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w:t>
            </w:r>
          </w:p>
        </w:tc>
      </w:tr>
      <w:tr>
        <w:trPr>
          <w:trHeight w:val="164"/>
        </w:trPr>
        <w:tc>
          <w:tcPr>
            <w:tcW w:w="20" w:type="dxa"/>
            <w:vAlign w:val="bottom"/>
          </w:tcPr>
          <w:p>
            <w:pPr>
              <w:spacing w:after="0"/>
              <w:rPr>
                <w:sz w:val="14"/>
                <w:szCs w:val="14"/>
                <w:color w:val="auto"/>
              </w:rPr>
            </w:pPr>
          </w:p>
        </w:tc>
        <w:tc>
          <w:tcPr>
            <w:tcW w:w="510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0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3720" w:type="dxa"/>
            <w:vAlign w:val="bottom"/>
            <w:gridSpan w:val="2"/>
          </w:tcPr>
          <w:p>
            <w:pPr>
              <w:jc w:val="right"/>
              <w:ind w:right="1281"/>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1500" w:type="dxa"/>
            <w:vAlign w:val="bottom"/>
          </w:tcPr>
          <w:p>
            <w:pPr>
              <w:jc w:val="right"/>
              <w:ind w:right="1320"/>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94"/>
        </w:trPr>
        <w:tc>
          <w:tcPr>
            <w:tcW w:w="20" w:type="dxa"/>
            <w:vAlign w:val="bottom"/>
          </w:tcPr>
          <w:p>
            <w:pPr>
              <w:spacing w:after="0"/>
              <w:rPr>
                <w:sz w:val="16"/>
                <w:szCs w:val="16"/>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22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SDG&amp;E</w:t>
            </w:r>
          </w:p>
        </w:tc>
        <w:tc>
          <w:tcPr>
            <w:tcW w:w="2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81"/>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w:t>
            </w:r>
          </w:p>
        </w:tc>
        <w:tc>
          <w:tcPr>
            <w:tcW w:w="1500" w:type="dxa"/>
            <w:vAlign w:val="bottom"/>
            <w:tcBorders>
              <w:bottom w:val="single" w:sz="8" w:color="auto"/>
            </w:tcBorders>
          </w:tcPr>
          <w:p>
            <w:pPr>
              <w:jc w:val="right"/>
              <w:ind w:right="1320"/>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w:t>
            </w:r>
          </w:p>
        </w:tc>
      </w:tr>
      <w:tr>
        <w:trPr>
          <w:trHeight w:val="164"/>
        </w:trPr>
        <w:tc>
          <w:tcPr>
            <w:tcW w:w="20" w:type="dxa"/>
            <w:vAlign w:val="bottom"/>
          </w:tcPr>
          <w:p>
            <w:pPr>
              <w:spacing w:after="0"/>
              <w:rPr>
                <w:sz w:val="14"/>
                <w:szCs w:val="14"/>
                <w:color w:val="auto"/>
              </w:rPr>
            </w:pPr>
          </w:p>
        </w:tc>
        <w:tc>
          <w:tcPr>
            <w:tcW w:w="510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0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3720" w:type="dxa"/>
            <w:vAlign w:val="bottom"/>
            <w:gridSpan w:val="2"/>
          </w:tcPr>
          <w:p>
            <w:pPr>
              <w:jc w:val="right"/>
              <w:ind w:right="1281"/>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500" w:type="dxa"/>
            <w:vAlign w:val="bottom"/>
          </w:tcPr>
          <w:p>
            <w:pPr>
              <w:jc w:val="right"/>
              <w:ind w:right="1320"/>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20" w:type="dxa"/>
            <w:vAlign w:val="bottom"/>
          </w:tcPr>
          <w:p>
            <w:pPr>
              <w:spacing w:after="0"/>
              <w:rPr>
                <w:sz w:val="16"/>
                <w:szCs w:val="16"/>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22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SoCalGas</w:t>
            </w:r>
          </w:p>
        </w:tc>
        <w:tc>
          <w:tcPr>
            <w:tcW w:w="2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81"/>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c>
          <w:tcPr>
            <w:tcW w:w="1500" w:type="dxa"/>
            <w:vAlign w:val="bottom"/>
            <w:tcBorders>
              <w:bottom w:val="single" w:sz="8" w:color="auto"/>
            </w:tcBorders>
          </w:tcPr>
          <w:p>
            <w:pPr>
              <w:jc w:val="right"/>
              <w:ind w:right="1320"/>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amounts for comprehensive income in the Condensed Consolidated Statements of Comprehensive Income are net of income tax expense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7305"/>
                    </a:xfrm>
                    <a:prstGeom prst="rect">
                      <a:avLst/>
                    </a:prstGeom>
                    <a:noFill/>
                  </pic:spPr>
                </pic:pic>
              </a:graphicData>
            </a:graphic>
          </wp:anchor>
        </w:drawing>
      </w:r>
    </w:p>
    <w:p>
      <w:pPr>
        <w:sectPr>
          <w:pgSz w:w="11900" w:h="16838" w:orient="portrait"/>
          <w:cols w:equalWidth="0" w:num="1">
            <w:col w:w="11420"/>
          </w:cols>
          <w:pgMar w:left="240" w:top="125" w:right="239" w:bottom="45" w:gutter="0" w:footer="0" w:header="0"/>
          <w:type w:val="continuous"/>
        </w:sectPr>
      </w:pPr>
    </w:p>
    <w:bookmarkStart w:id="26" w:name="page27"/>
    <w:bookmarkEnd w:id="26"/>
    <w:p>
      <w:pPr>
        <w:spacing w:after="0" w:line="5" w:lineRule="exact"/>
        <w:rPr>
          <w:sz w:val="20"/>
          <w:szCs w:val="20"/>
          <w:color w:val="auto"/>
        </w:rPr>
      </w:pPr>
    </w:p>
    <w:p>
      <w:pPr>
        <w:ind w:right="4420"/>
        <w:spacing w:after="0" w:line="252"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Three months ended March 31,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66"/>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center"/>
              <w:ind w:left="86"/>
              <w:spacing w:after="0"/>
              <w:rPr>
                <w:sz w:val="20"/>
                <w:szCs w:val="20"/>
                <w:color w:val="auto"/>
              </w:rPr>
            </w:pPr>
            <w:r>
              <w:rPr>
                <w:rFonts w:ascii="Arial" w:cs="Arial" w:eastAsia="Arial" w:hAnsi="Arial"/>
                <w:sz w:val="14"/>
                <w:szCs w:val="14"/>
                <w:color w:val="auto"/>
              </w:rPr>
              <w:t>Non-</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left="86"/>
              <w:spacing w:after="0"/>
              <w:rPr>
                <w:sz w:val="20"/>
                <w:szCs w:val="20"/>
                <w:color w:val="auto"/>
              </w:rPr>
            </w:pPr>
            <w:r>
              <w:rPr>
                <w:rFonts w:ascii="Arial" w:cs="Arial" w:eastAsia="Arial" w:hAnsi="Arial"/>
                <w:sz w:val="14"/>
                <w:szCs w:val="14"/>
                <w:color w:val="auto"/>
                <w:w w:val="98"/>
              </w:rPr>
              <w:t>Non-</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20" w:type="dxa"/>
            <w:vAlign w:val="bottom"/>
          </w:tcPr>
          <w:p>
            <w:pPr>
              <w:jc w:val="center"/>
              <w:ind w:left="145"/>
              <w:spacing w:after="0"/>
              <w:rPr>
                <w:sz w:val="20"/>
                <w:szCs w:val="20"/>
                <w:color w:val="auto"/>
              </w:rPr>
            </w:pPr>
            <w:r>
              <w:rPr>
                <w:rFonts w:ascii="Arial" w:cs="Arial" w:eastAsia="Arial" w:hAnsi="Arial"/>
                <w:sz w:val="14"/>
                <w:szCs w:val="14"/>
                <w:color w:val="auto"/>
              </w:rPr>
              <w:t>Sempra</w:t>
            </w:r>
          </w:p>
        </w:tc>
        <w:tc>
          <w:tcPr>
            <w:tcW w:w="280" w:type="dxa"/>
            <w:vAlign w:val="bottom"/>
          </w:tcPr>
          <w:p>
            <w:pPr>
              <w:spacing w:after="0"/>
              <w:rPr>
                <w:sz w:val="17"/>
                <w:szCs w:val="17"/>
                <w:color w:val="auto"/>
              </w:rPr>
            </w:pPr>
          </w:p>
        </w:tc>
        <w:tc>
          <w:tcPr>
            <w:tcW w:w="840" w:type="dxa"/>
            <w:vAlign w:val="bottom"/>
          </w:tcPr>
          <w:p>
            <w:pPr>
              <w:jc w:val="center"/>
              <w:ind w:left="106"/>
              <w:spacing w:after="0"/>
              <w:rPr>
                <w:sz w:val="20"/>
                <w:szCs w:val="20"/>
                <w:color w:val="auto"/>
              </w:rPr>
            </w:pPr>
            <w:r>
              <w:rPr>
                <w:rFonts w:ascii="Arial" w:cs="Arial" w:eastAsia="Arial" w:hAnsi="Arial"/>
                <w:sz w:val="14"/>
                <w:szCs w:val="14"/>
                <w:color w:val="auto"/>
              </w:rPr>
              <w:t>controlling</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jc w:val="center"/>
              <w:ind w:left="165"/>
              <w:spacing w:after="0"/>
              <w:rPr>
                <w:sz w:val="20"/>
                <w:szCs w:val="20"/>
                <w:color w:val="auto"/>
              </w:rPr>
            </w:pPr>
            <w:r>
              <w:rPr>
                <w:rFonts w:ascii="Arial" w:cs="Arial" w:eastAsia="Arial" w:hAnsi="Arial"/>
                <w:sz w:val="14"/>
                <w:szCs w:val="14"/>
                <w:color w:val="auto"/>
              </w:rPr>
              <w:t>Sempra</w:t>
            </w:r>
          </w:p>
        </w:tc>
        <w:tc>
          <w:tcPr>
            <w:tcW w:w="240" w:type="dxa"/>
            <w:vAlign w:val="bottom"/>
          </w:tcPr>
          <w:p>
            <w:pPr>
              <w:spacing w:after="0"/>
              <w:rPr>
                <w:sz w:val="17"/>
                <w:szCs w:val="17"/>
                <w:color w:val="auto"/>
              </w:rPr>
            </w:pPr>
          </w:p>
        </w:tc>
        <w:tc>
          <w:tcPr>
            <w:tcW w:w="860" w:type="dxa"/>
            <w:vAlign w:val="bottom"/>
          </w:tcPr>
          <w:p>
            <w:pPr>
              <w:jc w:val="center"/>
              <w:ind w:left="86"/>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45"/>
              <w:spacing w:after="0"/>
              <w:rPr>
                <w:sz w:val="20"/>
                <w:szCs w:val="20"/>
                <w:color w:val="auto"/>
              </w:rPr>
            </w:pPr>
            <w:r>
              <w:rPr>
                <w:rFonts w:ascii="Arial" w:cs="Arial" w:eastAsia="Arial" w:hAnsi="Arial"/>
                <w:sz w:val="14"/>
                <w:szCs w:val="14"/>
                <w:color w:val="auto"/>
              </w:rPr>
              <w:t>Energy</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86"/>
              <w:spacing w:after="0"/>
              <w:rPr>
                <w:sz w:val="20"/>
                <w:szCs w:val="20"/>
                <w:color w:val="auto"/>
              </w:rPr>
            </w:pPr>
            <w:r>
              <w:rPr>
                <w:rFonts w:ascii="Arial" w:cs="Arial" w:eastAsia="Arial" w:hAnsi="Arial"/>
                <w:sz w:val="14"/>
                <w:szCs w:val="14"/>
                <w:color w:val="auto"/>
              </w:rPr>
              <w:t>Interests</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color w:val="auto"/>
              </w:rPr>
              <w:t>Energy</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86"/>
              <w:spacing w:after="0"/>
              <w:rPr>
                <w:sz w:val="20"/>
                <w:szCs w:val="20"/>
                <w:color w:val="auto"/>
              </w:rPr>
            </w:pPr>
            <w:r>
              <w:rPr>
                <w:rFonts w:ascii="Arial" w:cs="Arial" w:eastAsia="Arial" w:hAnsi="Arial"/>
                <w:sz w:val="14"/>
                <w:szCs w:val="14"/>
                <w:color w:val="auto"/>
              </w:rPr>
              <w:t>Interests</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43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320" w:type="dxa"/>
            <w:vAlign w:val="bottom"/>
          </w:tcPr>
          <w:p>
            <w:pPr>
              <w:ind w:left="160"/>
              <w:spacing w:after="0" w:line="176" w:lineRule="exact"/>
              <w:rPr>
                <w:sz w:val="20"/>
                <w:szCs w:val="20"/>
                <w:color w:val="auto"/>
              </w:rPr>
            </w:pPr>
            <w:r>
              <w:rPr>
                <w:rFonts w:ascii="Arial" w:cs="Arial" w:eastAsia="Arial" w:hAnsi="Arial"/>
                <w:sz w:val="16"/>
                <w:szCs w:val="16"/>
                <w:color w:val="auto"/>
              </w:rPr>
              <w:t>Net actuarial gain</w:t>
            </w:r>
          </w:p>
        </w:tc>
        <w:tc>
          <w:tcPr>
            <w:tcW w:w="920" w:type="dxa"/>
            <w:vAlign w:val="bottom"/>
          </w:tcPr>
          <w:p>
            <w:pPr>
              <w:jc w:val="right"/>
              <w:ind w:right="605"/>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w:t>
            </w:r>
          </w:p>
        </w:tc>
        <w:tc>
          <w:tcPr>
            <w:tcW w:w="840" w:type="dxa"/>
            <w:vAlign w:val="bottom"/>
          </w:tcPr>
          <w:p>
            <w:pPr>
              <w:jc w:val="right"/>
              <w:ind w:right="586"/>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ind w:left="20"/>
              <w:spacing w:after="0" w:line="176" w:lineRule="exact"/>
              <w:rPr>
                <w:sz w:val="20"/>
                <w:szCs w:val="20"/>
                <w:color w:val="auto"/>
              </w:rPr>
            </w:pPr>
            <w:r>
              <w:rPr>
                <w:rFonts w:ascii="Arial" w:cs="Arial" w:eastAsia="Arial" w:hAnsi="Arial"/>
                <w:sz w:val="16"/>
                <w:szCs w:val="16"/>
                <w:color w:val="auto"/>
              </w:rPr>
              <w:t>―  $</w:t>
            </w:r>
          </w:p>
        </w:tc>
        <w:tc>
          <w:tcPr>
            <w:tcW w:w="1060" w:type="dxa"/>
            <w:vAlign w:val="bottom"/>
          </w:tcPr>
          <w:p>
            <w:pPr>
              <w:jc w:val="right"/>
              <w:ind w:right="143"/>
              <w:spacing w:after="0" w:line="176" w:lineRule="exact"/>
              <w:rPr>
                <w:sz w:val="20"/>
                <w:szCs w:val="20"/>
                <w:color w:val="auto"/>
              </w:rPr>
            </w:pPr>
            <w:r>
              <w:rPr>
                <w:rFonts w:ascii="Arial" w:cs="Arial" w:eastAsia="Arial" w:hAnsi="Arial"/>
                <w:sz w:val="16"/>
                <w:szCs w:val="16"/>
                <w:color w:val="auto"/>
              </w:rPr>
              <w:t>1</w:t>
            </w:r>
          </w:p>
        </w:tc>
        <w:tc>
          <w:tcPr>
            <w:tcW w:w="1020" w:type="dxa"/>
            <w:vAlign w:val="bottom"/>
          </w:tcPr>
          <w:p>
            <w:pPr>
              <w:jc w:val="right"/>
              <w:ind w:right="625"/>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w:t>
            </w:r>
          </w:p>
        </w:tc>
        <w:tc>
          <w:tcPr>
            <w:tcW w:w="860" w:type="dxa"/>
            <w:vAlign w:val="bottom"/>
          </w:tcPr>
          <w:p>
            <w:pPr>
              <w:jc w:val="right"/>
              <w:ind w:right="606"/>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ind w:left="20"/>
              <w:spacing w:after="0" w:line="176" w:lineRule="exact"/>
              <w:rPr>
                <w:sz w:val="20"/>
                <w:szCs w:val="20"/>
                <w:color w:val="auto"/>
              </w:rPr>
            </w:pPr>
            <w:r>
              <w:rPr>
                <w:rFonts w:ascii="Arial" w:cs="Arial" w:eastAsia="Arial" w:hAnsi="Arial"/>
                <w:sz w:val="16"/>
                <w:szCs w:val="16"/>
                <w:color w:val="auto"/>
              </w:rPr>
              <w:t>―  $</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Financial instruments</w:t>
            </w: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3</w:t>
            </w: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Income tax amounts associated with other comprehensive income during the three months ended March 31, 2012 and 2011 at SDG&amp;E and SoCalGas were negligible.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two tables provide a reconciliation of Sempra Energy’s and SDG&amp;E’s shareholders’ equity and noncontrolling interests for the three months ended March 31, 2012 and 2011.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right="61"/>
              <w:spacing w:after="0"/>
              <w:rPr>
                <w:sz w:val="20"/>
                <w:szCs w:val="20"/>
                <w:color w:val="auto"/>
              </w:rPr>
            </w:pPr>
            <w:r>
              <w:rPr>
                <w:rFonts w:ascii="Arial" w:cs="Arial" w:eastAsia="Arial" w:hAnsi="Arial"/>
                <w:sz w:val="14"/>
                <w:szCs w:val="14"/>
                <w:color w:val="auto"/>
              </w:rPr>
              <w:t>Sempra</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Arial" w:cs="Arial" w:eastAsia="Arial" w:hAnsi="Arial"/>
                <w:sz w:val="14"/>
                <w:szCs w:val="14"/>
                <w:color w:val="auto"/>
              </w:rPr>
              <w:t>Energy</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color w:val="auto"/>
              </w:rPr>
              <w:t>Non-</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ind w:right="81"/>
              <w:spacing w:after="0"/>
              <w:rPr>
                <w:sz w:val="20"/>
                <w:szCs w:val="20"/>
                <w:color w:val="auto"/>
              </w:rPr>
            </w:pPr>
            <w:r>
              <w:rPr>
                <w:rFonts w:ascii="Arial" w:cs="Arial" w:eastAsia="Arial" w:hAnsi="Arial"/>
                <w:sz w:val="14"/>
                <w:szCs w:val="14"/>
                <w:color w:val="auto"/>
              </w:rPr>
              <w:t>Shareholders’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8"/>
        </w:trPr>
        <w:tc>
          <w:tcPr>
            <w:tcW w:w="20" w:type="dxa"/>
            <w:vAlign w:val="bottom"/>
          </w:tcPr>
          <w:p>
            <w:pPr>
              <w:spacing w:after="0"/>
              <w:rPr>
                <w:sz w:val="14"/>
                <w:szCs w:val="14"/>
                <w:color w:val="auto"/>
              </w:rPr>
            </w:pPr>
          </w:p>
        </w:tc>
        <w:tc>
          <w:tcPr>
            <w:tcW w:w="5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rPr>
              <w:t>Interests</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5700" w:type="dxa"/>
            <w:vAlign w:val="bottom"/>
          </w:tcPr>
          <w:p>
            <w:pPr>
              <w:spacing w:after="0" w:line="164" w:lineRule="exact"/>
              <w:rPr>
                <w:sz w:val="20"/>
                <w:szCs w:val="20"/>
                <w:color w:val="auto"/>
              </w:rPr>
            </w:pPr>
            <w:r>
              <w:rPr>
                <w:rFonts w:ascii="Arial" w:cs="Arial" w:eastAsia="Arial" w:hAnsi="Arial"/>
                <w:sz w:val="16"/>
                <w:szCs w:val="16"/>
                <w:color w:val="auto"/>
              </w:rPr>
              <w:t>Balance at December 31, 2011</w:t>
            </w:r>
          </w:p>
        </w:tc>
        <w:tc>
          <w:tcPr>
            <w:tcW w:w="340" w:type="dxa"/>
            <w:vAlign w:val="bottom"/>
          </w:tcPr>
          <w:p>
            <w:pPr>
              <w:jc w:val="right"/>
              <w:ind w:right="159"/>
              <w:spacing w:after="0" w:line="164" w:lineRule="exact"/>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4"/>
                <w:szCs w:val="14"/>
                <w:color w:val="auto"/>
              </w:rPr>
            </w:pP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9,775</w:t>
            </w:r>
          </w:p>
        </w:tc>
        <w:tc>
          <w:tcPr>
            <w:tcW w:w="180" w:type="dxa"/>
            <w:vAlign w:val="bottom"/>
          </w:tcPr>
          <w:p>
            <w:pPr>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Arial" w:cs="Arial" w:eastAsia="Arial" w:hAnsi="Arial"/>
                <w:sz w:val="16"/>
                <w:szCs w:val="16"/>
                <w:color w:val="auto"/>
              </w:rPr>
              <w:t>403</w:t>
            </w:r>
          </w:p>
        </w:tc>
        <w:tc>
          <w:tcPr>
            <w:tcW w:w="540" w:type="dxa"/>
            <w:vAlign w:val="bottom"/>
            <w:gridSpan w:val="2"/>
          </w:tcPr>
          <w:p>
            <w:pPr>
              <w:jc w:val="right"/>
              <w:ind w:right="379"/>
              <w:spacing w:after="0" w:line="164"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10,178</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326</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Preferred dividends of subsidiaries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(144)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(144)</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Issuance of common stock</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released from ESOP</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94"/>
        </w:trPr>
        <w:tc>
          <w:tcPr>
            <w:tcW w:w="572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Balance at March 31, 2012</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9,952</w:t>
            </w:r>
          </w:p>
        </w:tc>
        <w:tc>
          <w:tcPr>
            <w:tcW w:w="18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418</w:t>
            </w:r>
          </w:p>
        </w:tc>
        <w:tc>
          <w:tcPr>
            <w:tcW w:w="540" w:type="dxa"/>
            <w:vAlign w:val="bottom"/>
            <w:gridSpan w:val="2"/>
          </w:tcPr>
          <w:p>
            <w:pPr>
              <w:jc w:val="right"/>
              <w:ind w:right="37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10,370</w:t>
            </w:r>
          </w:p>
        </w:tc>
      </w:tr>
      <w:tr>
        <w:trPr>
          <w:trHeight w:val="164"/>
        </w:trPr>
        <w:tc>
          <w:tcPr>
            <w:tcW w:w="20" w:type="dxa"/>
            <w:vAlign w:val="bottom"/>
          </w:tcPr>
          <w:p>
            <w:pPr>
              <w:spacing w:after="0"/>
              <w:rPr>
                <w:sz w:val="14"/>
                <w:szCs w:val="14"/>
                <w:color w:val="auto"/>
              </w:rPr>
            </w:pPr>
          </w:p>
        </w:tc>
        <w:tc>
          <w:tcPr>
            <w:tcW w:w="57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at December 31, 2010</w:t>
            </w:r>
          </w:p>
        </w:tc>
        <w:tc>
          <w:tcPr>
            <w:tcW w:w="340" w:type="dxa"/>
            <w:vAlign w:val="bottom"/>
            <w:tcBorders>
              <w:top w:val="single" w:sz="8" w:color="auto"/>
            </w:tcBorders>
          </w:tcPr>
          <w:p>
            <w:pPr>
              <w:jc w:val="right"/>
              <w:ind w:right="159"/>
              <w:spacing w:after="0" w:line="164" w:lineRule="exact"/>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8,990</w:t>
            </w:r>
          </w:p>
        </w:tc>
        <w:tc>
          <w:tcPr>
            <w:tcW w:w="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211</w:t>
            </w:r>
          </w:p>
        </w:tc>
        <w:tc>
          <w:tcPr>
            <w:tcW w:w="540" w:type="dxa"/>
            <w:vAlign w:val="bottom"/>
            <w:tcBorders>
              <w:top w:val="single" w:sz="8" w:color="auto"/>
            </w:tcBorders>
            <w:gridSpan w:val="2"/>
          </w:tcPr>
          <w:p>
            <w:pPr>
              <w:jc w:val="right"/>
              <w:ind w:right="379"/>
              <w:spacing w:after="0" w:line="164"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9,201</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254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259</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Preferred dividends of subsidiaries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Issuance of common stock</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Tax benefit related to share-based compensation</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released from ESOP</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r>
      <w:tr>
        <w:trPr>
          <w:trHeight w:val="194"/>
        </w:trPr>
        <w:tc>
          <w:tcPr>
            <w:tcW w:w="572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interests</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Balance at March 31, 2011</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9,145</w:t>
            </w:r>
          </w:p>
        </w:tc>
        <w:tc>
          <w:tcPr>
            <w:tcW w:w="18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6"/>
                <w:szCs w:val="16"/>
                <w:color w:val="auto"/>
              </w:rPr>
              <w:t>217</w:t>
            </w:r>
          </w:p>
        </w:tc>
        <w:tc>
          <w:tcPr>
            <w:tcW w:w="540" w:type="dxa"/>
            <w:vAlign w:val="bottom"/>
            <w:gridSpan w:val="2"/>
          </w:tcPr>
          <w:p>
            <w:pPr>
              <w:jc w:val="right"/>
              <w:ind w:right="37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9,362</w:t>
            </w:r>
          </w:p>
        </w:tc>
      </w:tr>
      <w:tr>
        <w:trPr>
          <w:trHeight w:val="729"/>
        </w:trPr>
        <w:tc>
          <w:tcPr>
            <w:tcW w:w="20" w:type="dxa"/>
            <w:vAlign w:val="bottom"/>
          </w:tcPr>
          <w:p>
            <w:pPr>
              <w:spacing w:after="0"/>
              <w:rPr>
                <w:sz w:val="24"/>
                <w:szCs w:val="24"/>
                <w:color w:val="auto"/>
              </w:rPr>
            </w:pPr>
          </w:p>
        </w:tc>
        <w:tc>
          <w:tcPr>
            <w:tcW w:w="57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70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SHAREHOLDER’S EQUITY AND NONCONTROLLING INTEREST</w:t>
            </w:r>
          </w:p>
        </w:tc>
        <w:tc>
          <w:tcPr>
            <w:tcW w:w="340" w:type="dxa"/>
            <w:vAlign w:val="bottom"/>
            <w:shd w:val="clear" w:color="auto" w:fill="C0C0C0"/>
          </w:tcPr>
          <w:p>
            <w:pPr>
              <w:spacing w:after="0"/>
              <w:rPr>
                <w:sz w:val="13"/>
                <w:szCs w:val="13"/>
                <w:color w:val="auto"/>
              </w:rPr>
            </w:pPr>
          </w:p>
        </w:tc>
        <w:tc>
          <w:tcPr>
            <w:tcW w:w="280" w:type="dxa"/>
            <w:vAlign w:val="bottom"/>
            <w:shd w:val="clear" w:color="auto" w:fill="C0C0C0"/>
          </w:tcPr>
          <w:p>
            <w:pPr>
              <w:spacing w:after="0"/>
              <w:rPr>
                <w:sz w:val="13"/>
                <w:szCs w:val="13"/>
                <w:color w:val="auto"/>
              </w:rPr>
            </w:pPr>
          </w:p>
        </w:tc>
        <w:tc>
          <w:tcPr>
            <w:tcW w:w="1440" w:type="dxa"/>
            <w:vAlign w:val="bottom"/>
            <w:shd w:val="clear" w:color="auto" w:fill="C0C0C0"/>
          </w:tcPr>
          <w:p>
            <w:pPr>
              <w:spacing w:after="0"/>
              <w:rPr>
                <w:sz w:val="13"/>
                <w:szCs w:val="13"/>
                <w:color w:val="auto"/>
              </w:rPr>
            </w:pPr>
          </w:p>
        </w:tc>
        <w:tc>
          <w:tcPr>
            <w:tcW w:w="180" w:type="dxa"/>
            <w:vAlign w:val="bottom"/>
            <w:shd w:val="clear" w:color="auto" w:fill="C0C0C0"/>
          </w:tcPr>
          <w:p>
            <w:pPr>
              <w:spacing w:after="0"/>
              <w:rPr>
                <w:sz w:val="13"/>
                <w:szCs w:val="13"/>
                <w:color w:val="auto"/>
              </w:rPr>
            </w:pPr>
          </w:p>
        </w:tc>
        <w:tc>
          <w:tcPr>
            <w:tcW w:w="380" w:type="dxa"/>
            <w:vAlign w:val="bottom"/>
            <w:shd w:val="clear" w:color="auto" w:fill="C0C0C0"/>
          </w:tcPr>
          <w:p>
            <w:pPr>
              <w:spacing w:after="0"/>
              <w:rPr>
                <w:sz w:val="13"/>
                <w:szCs w:val="13"/>
                <w:color w:val="auto"/>
              </w:rPr>
            </w:pPr>
          </w:p>
        </w:tc>
        <w:tc>
          <w:tcPr>
            <w:tcW w:w="1340" w:type="dxa"/>
            <w:vAlign w:val="bottom"/>
            <w:shd w:val="clear" w:color="auto" w:fill="C0C0C0"/>
          </w:tcPr>
          <w:p>
            <w:pPr>
              <w:spacing w:after="0"/>
              <w:rPr>
                <w:sz w:val="13"/>
                <w:szCs w:val="13"/>
                <w:color w:val="auto"/>
              </w:rPr>
            </w:pPr>
          </w:p>
        </w:tc>
        <w:tc>
          <w:tcPr>
            <w:tcW w:w="40" w:type="dxa"/>
            <w:vAlign w:val="bottom"/>
            <w:shd w:val="clear" w:color="auto" w:fill="C0C0C0"/>
          </w:tcPr>
          <w:p>
            <w:pPr>
              <w:spacing w:after="0"/>
              <w:rPr>
                <w:sz w:val="13"/>
                <w:szCs w:val="13"/>
                <w:color w:val="auto"/>
              </w:rPr>
            </w:pPr>
          </w:p>
        </w:tc>
        <w:tc>
          <w:tcPr>
            <w:tcW w:w="500" w:type="dxa"/>
            <w:vAlign w:val="bottom"/>
            <w:shd w:val="clear" w:color="auto" w:fill="C0C0C0"/>
          </w:tcPr>
          <w:p>
            <w:pPr>
              <w:spacing w:after="0"/>
              <w:rPr>
                <w:sz w:val="13"/>
                <w:szCs w:val="13"/>
                <w:color w:val="auto"/>
              </w:rPr>
            </w:pPr>
          </w:p>
        </w:tc>
        <w:tc>
          <w:tcPr>
            <w:tcW w:w="120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70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144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120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center"/>
              <w:ind w:left="221"/>
              <w:spacing w:after="0"/>
              <w:rPr>
                <w:sz w:val="20"/>
                <w:szCs w:val="20"/>
                <w:color w:val="auto"/>
              </w:rPr>
            </w:pPr>
            <w:r>
              <w:rPr>
                <w:rFonts w:ascii="Arial" w:cs="Arial" w:eastAsia="Arial" w:hAnsi="Arial"/>
                <w:sz w:val="14"/>
                <w:szCs w:val="14"/>
                <w:color w:val="auto"/>
              </w:rPr>
              <w:t>SDG&amp;E</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center"/>
              <w:ind w:left="20"/>
              <w:spacing w:after="0"/>
              <w:rPr>
                <w:sz w:val="20"/>
                <w:szCs w:val="20"/>
                <w:color w:val="auto"/>
              </w:rPr>
            </w:pPr>
            <w:r>
              <w:rPr>
                <w:rFonts w:ascii="Arial" w:cs="Arial" w:eastAsia="Arial" w:hAnsi="Arial"/>
                <w:sz w:val="14"/>
                <w:szCs w:val="14"/>
                <w:color w:val="auto"/>
              </w:rPr>
              <w:t>Non-</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ind w:left="221"/>
              <w:spacing w:after="0"/>
              <w:rPr>
                <w:sz w:val="20"/>
                <w:szCs w:val="20"/>
                <w:color w:val="auto"/>
              </w:rPr>
            </w:pPr>
            <w:r>
              <w:rPr>
                <w:rFonts w:ascii="Arial" w:cs="Arial" w:eastAsia="Arial" w:hAnsi="Arial"/>
                <w:sz w:val="14"/>
                <w:szCs w:val="14"/>
                <w:color w:val="auto"/>
              </w:rPr>
              <w:t>Shareholder’s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8"/>
        </w:trPr>
        <w:tc>
          <w:tcPr>
            <w:tcW w:w="20" w:type="dxa"/>
            <w:vAlign w:val="bottom"/>
          </w:tcPr>
          <w:p>
            <w:pPr>
              <w:spacing w:after="0"/>
              <w:rPr>
                <w:sz w:val="14"/>
                <w:szCs w:val="14"/>
                <w:color w:val="auto"/>
              </w:rPr>
            </w:pPr>
          </w:p>
        </w:tc>
        <w:tc>
          <w:tcPr>
            <w:tcW w:w="5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color w:val="auto"/>
              </w:rPr>
              <w:t>Interest</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5700" w:type="dxa"/>
            <w:vAlign w:val="bottom"/>
          </w:tcPr>
          <w:p>
            <w:pPr>
              <w:spacing w:after="0" w:line="164" w:lineRule="exact"/>
              <w:rPr>
                <w:sz w:val="20"/>
                <w:szCs w:val="20"/>
                <w:color w:val="auto"/>
              </w:rPr>
            </w:pPr>
            <w:r>
              <w:rPr>
                <w:rFonts w:ascii="Arial" w:cs="Arial" w:eastAsia="Arial" w:hAnsi="Arial"/>
                <w:sz w:val="16"/>
                <w:szCs w:val="16"/>
                <w:color w:val="auto"/>
              </w:rPr>
              <w:t>Balance at December 31, 2011</w:t>
            </w:r>
          </w:p>
        </w:tc>
        <w:tc>
          <w:tcPr>
            <w:tcW w:w="620" w:type="dxa"/>
            <w:vAlign w:val="bottom"/>
            <w:gridSpan w:val="2"/>
          </w:tcPr>
          <w:p>
            <w:pPr>
              <w:jc w:val="right"/>
              <w:ind w:right="124"/>
              <w:spacing w:after="0" w:line="164" w:lineRule="exact"/>
              <w:rPr>
                <w:sz w:val="20"/>
                <w:szCs w:val="20"/>
                <w:color w:val="auto"/>
              </w:rPr>
            </w:pPr>
            <w:r>
              <w:rPr>
                <w:rFonts w:ascii="Arial" w:cs="Arial" w:eastAsia="Arial" w:hAnsi="Arial"/>
                <w:sz w:val="16"/>
                <w:szCs w:val="16"/>
                <w:color w:val="auto"/>
              </w:rPr>
              <w:t>$</w:t>
            </w:r>
          </w:p>
        </w:tc>
        <w:tc>
          <w:tcPr>
            <w:tcW w:w="16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3,739</w:t>
            </w:r>
          </w:p>
        </w:tc>
        <w:tc>
          <w:tcPr>
            <w:tcW w:w="380" w:type="dxa"/>
            <w:vAlign w:val="bottom"/>
          </w:tcPr>
          <w:p>
            <w:pPr>
              <w:jc w:val="right"/>
              <w:ind w:right="199"/>
              <w:spacing w:after="0" w:line="164" w:lineRule="exact"/>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102</w:t>
            </w:r>
          </w:p>
        </w:tc>
        <w:tc>
          <w:tcPr>
            <w:tcW w:w="500" w:type="dxa"/>
            <w:vAlign w:val="bottom"/>
          </w:tcPr>
          <w:p>
            <w:pPr>
              <w:jc w:val="right"/>
              <w:ind w:right="299"/>
              <w:spacing w:after="0" w:line="164"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3,841</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106</w:t>
            </w:r>
          </w:p>
        </w:tc>
        <w:tc>
          <w:tcPr>
            <w:tcW w:w="380" w:type="dxa"/>
            <w:vAlign w:val="bottom"/>
          </w:tcPr>
          <w:p>
            <w:pPr>
              <w:spacing w:after="0"/>
              <w:rPr>
                <w:sz w:val="15"/>
                <w:szCs w:val="15"/>
                <w:color w:val="auto"/>
              </w:rPr>
            </w:pPr>
          </w:p>
        </w:tc>
        <w:tc>
          <w:tcPr>
            <w:tcW w:w="13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w:t>
            </w: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r>
      <w:tr>
        <w:trPr>
          <w:trHeight w:val="194"/>
        </w:trPr>
        <w:tc>
          <w:tcPr>
            <w:tcW w:w="5720" w:type="dxa"/>
            <w:vAlign w:val="bottom"/>
            <w:gridSpan w:val="2"/>
          </w:tcPr>
          <w:p>
            <w:pPr>
              <w:spacing w:after="0"/>
              <w:rPr>
                <w:sz w:val="20"/>
                <w:szCs w:val="20"/>
                <w:color w:val="auto"/>
              </w:rPr>
            </w:pPr>
            <w:r>
              <w:rPr>
                <w:rFonts w:ascii="Arial" w:cs="Arial" w:eastAsia="Arial" w:hAnsi="Arial"/>
                <w:sz w:val="16"/>
                <w:szCs w:val="16"/>
                <w:color w:val="auto"/>
              </w:rPr>
              <w:t>Preferred stock dividends declared</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420"/>
              <w:spacing w:after="0"/>
              <w:rPr>
                <w:sz w:val="20"/>
                <w:szCs w:val="20"/>
                <w:color w:val="auto"/>
              </w:rPr>
            </w:pPr>
            <w:r>
              <w:rPr>
                <w:rFonts w:ascii="Arial" w:cs="Arial" w:eastAsia="Arial" w:hAnsi="Arial"/>
                <w:sz w:val="16"/>
                <w:szCs w:val="16"/>
                <w:color w:val="auto"/>
                <w:w w:val="91"/>
              </w:rPr>
              <w:t>(1)</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Balance at March 31, 2012</w:t>
            </w:r>
          </w:p>
        </w:tc>
        <w:tc>
          <w:tcPr>
            <w:tcW w:w="34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3,844</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108</w:t>
            </w:r>
          </w:p>
        </w:tc>
        <w:tc>
          <w:tcPr>
            <w:tcW w:w="50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3,952</w:t>
            </w:r>
          </w:p>
        </w:tc>
      </w:tr>
      <w:tr>
        <w:trPr>
          <w:trHeight w:val="164"/>
        </w:trPr>
        <w:tc>
          <w:tcPr>
            <w:tcW w:w="20" w:type="dxa"/>
            <w:vAlign w:val="bottom"/>
          </w:tcPr>
          <w:p>
            <w:pPr>
              <w:spacing w:after="0"/>
              <w:rPr>
                <w:sz w:val="14"/>
                <w:szCs w:val="14"/>
                <w:color w:val="auto"/>
              </w:rPr>
            </w:pPr>
          </w:p>
        </w:tc>
        <w:tc>
          <w:tcPr>
            <w:tcW w:w="57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at December 31, 2010</w:t>
            </w:r>
          </w:p>
        </w:tc>
        <w:tc>
          <w:tcPr>
            <w:tcW w:w="620" w:type="dxa"/>
            <w:vAlign w:val="bottom"/>
            <w:tcBorders>
              <w:top w:val="single" w:sz="8" w:color="auto"/>
            </w:tcBorders>
            <w:gridSpan w:val="2"/>
          </w:tcPr>
          <w:p>
            <w:pPr>
              <w:jc w:val="right"/>
              <w:ind w:right="124"/>
              <w:spacing w:after="0" w:line="164" w:lineRule="exact"/>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gridSpan w:val="2"/>
          </w:tcPr>
          <w:p>
            <w:pPr>
              <w:jc w:val="right"/>
              <w:spacing w:after="0" w:line="164" w:lineRule="exact"/>
              <w:rPr>
                <w:sz w:val="20"/>
                <w:szCs w:val="20"/>
                <w:color w:val="auto"/>
              </w:rPr>
            </w:pPr>
            <w:r>
              <w:rPr>
                <w:rFonts w:ascii="Arial" w:cs="Arial" w:eastAsia="Arial" w:hAnsi="Arial"/>
                <w:sz w:val="16"/>
                <w:szCs w:val="16"/>
                <w:color w:val="auto"/>
              </w:rPr>
              <w:t>3,108</w:t>
            </w:r>
          </w:p>
        </w:tc>
        <w:tc>
          <w:tcPr>
            <w:tcW w:w="380" w:type="dxa"/>
            <w:vAlign w:val="bottom"/>
            <w:tcBorders>
              <w:top w:val="single" w:sz="8" w:color="auto"/>
            </w:tcBorders>
          </w:tcPr>
          <w:p>
            <w:pPr>
              <w:jc w:val="right"/>
              <w:ind w:right="199"/>
              <w:spacing w:after="0" w:line="164" w:lineRule="exact"/>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gridSpan w:val="2"/>
          </w:tcPr>
          <w:p>
            <w:pPr>
              <w:jc w:val="right"/>
              <w:spacing w:after="0" w:line="164" w:lineRule="exact"/>
              <w:rPr>
                <w:sz w:val="20"/>
                <w:szCs w:val="20"/>
                <w:color w:val="auto"/>
              </w:rPr>
            </w:pPr>
            <w:r>
              <w:rPr>
                <w:rFonts w:ascii="Arial" w:cs="Arial" w:eastAsia="Arial" w:hAnsi="Arial"/>
                <w:sz w:val="16"/>
                <w:szCs w:val="16"/>
                <w:color w:val="auto"/>
              </w:rPr>
              <w:t>113</w:t>
            </w:r>
          </w:p>
        </w:tc>
        <w:tc>
          <w:tcPr>
            <w:tcW w:w="500" w:type="dxa"/>
            <w:vAlign w:val="bottom"/>
            <w:tcBorders>
              <w:top w:val="single" w:sz="8" w:color="auto"/>
            </w:tcBorders>
          </w:tcPr>
          <w:p>
            <w:pPr>
              <w:jc w:val="right"/>
              <w:ind w:right="299"/>
              <w:spacing w:after="0" w:line="164"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3,221</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90</w:t>
            </w:r>
          </w:p>
        </w:tc>
        <w:tc>
          <w:tcPr>
            <w:tcW w:w="380" w:type="dxa"/>
            <w:vAlign w:val="bottom"/>
          </w:tcPr>
          <w:p>
            <w:pPr>
              <w:spacing w:after="0"/>
              <w:rPr>
                <w:sz w:val="15"/>
                <w:szCs w:val="15"/>
                <w:color w:val="auto"/>
              </w:rPr>
            </w:pPr>
          </w:p>
        </w:tc>
        <w:tc>
          <w:tcPr>
            <w:tcW w:w="13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w:t>
            </w: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95</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Preferred stock dividends declared</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ind w:left="1420"/>
              <w:spacing w:after="0" w:line="176" w:lineRule="exact"/>
              <w:rPr>
                <w:sz w:val="20"/>
                <w:szCs w:val="20"/>
                <w:color w:val="auto"/>
              </w:rPr>
            </w:pPr>
            <w:r>
              <w:rPr>
                <w:rFonts w:ascii="Arial" w:cs="Arial" w:eastAsia="Arial" w:hAnsi="Arial"/>
                <w:sz w:val="16"/>
                <w:szCs w:val="16"/>
                <w:color w:val="auto"/>
                <w:w w:val="91"/>
              </w:rPr>
              <w:t>(1)</w:t>
            </w:r>
          </w:p>
        </w:tc>
        <w:tc>
          <w:tcPr>
            <w:tcW w:w="380" w:type="dxa"/>
            <w:vAlign w:val="bottom"/>
          </w:tcPr>
          <w:p>
            <w:pPr>
              <w:spacing w:after="0"/>
              <w:rPr>
                <w:sz w:val="15"/>
                <w:szCs w:val="15"/>
                <w:color w:val="auto"/>
              </w:rPr>
            </w:pPr>
          </w:p>
        </w:tc>
        <w:tc>
          <w:tcPr>
            <w:tcW w:w="13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Capital contribution</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200</w:t>
            </w:r>
          </w:p>
        </w:tc>
        <w:tc>
          <w:tcPr>
            <w:tcW w:w="380" w:type="dxa"/>
            <w:vAlign w:val="bottom"/>
          </w:tcPr>
          <w:p>
            <w:pPr>
              <w:spacing w:after="0"/>
              <w:rPr>
                <w:sz w:val="15"/>
                <w:szCs w:val="15"/>
                <w:color w:val="auto"/>
              </w:rPr>
            </w:pPr>
          </w:p>
        </w:tc>
        <w:tc>
          <w:tcPr>
            <w:tcW w:w="13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r>
      <w:tr>
        <w:trPr>
          <w:trHeight w:val="194"/>
        </w:trPr>
        <w:tc>
          <w:tcPr>
            <w:tcW w:w="572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6"/>
        </w:trPr>
        <w:tc>
          <w:tcPr>
            <w:tcW w:w="5720" w:type="dxa"/>
            <w:vAlign w:val="bottom"/>
            <w:gridSpan w:val="2"/>
          </w:tcPr>
          <w:p>
            <w:pPr>
              <w:spacing w:after="0" w:line="176" w:lineRule="exact"/>
              <w:rPr>
                <w:sz w:val="20"/>
                <w:szCs w:val="20"/>
                <w:color w:val="auto"/>
              </w:rPr>
            </w:pPr>
            <w:r>
              <w:rPr>
                <w:rFonts w:ascii="Arial" w:cs="Arial" w:eastAsia="Arial" w:hAnsi="Arial"/>
                <w:sz w:val="16"/>
                <w:szCs w:val="16"/>
                <w:color w:val="auto"/>
              </w:rPr>
              <w:t>Balance at March 31, 2011</w:t>
            </w:r>
          </w:p>
        </w:tc>
        <w:tc>
          <w:tcPr>
            <w:tcW w:w="34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3,397</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119</w:t>
            </w:r>
          </w:p>
        </w:tc>
        <w:tc>
          <w:tcPr>
            <w:tcW w:w="50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3,516</w:t>
            </w:r>
          </w:p>
        </w:tc>
      </w:tr>
      <w:tr>
        <w:trPr>
          <w:trHeight w:val="27"/>
        </w:trPr>
        <w:tc>
          <w:tcPr>
            <w:tcW w:w="20" w:type="dxa"/>
            <w:vAlign w:val="bottom"/>
          </w:tcPr>
          <w:p>
            <w:pPr>
              <w:spacing w:after="0"/>
              <w:rPr>
                <w:sz w:val="2"/>
                <w:szCs w:val="2"/>
                <w:color w:val="auto"/>
              </w:rPr>
            </w:pPr>
          </w:p>
        </w:tc>
        <w:tc>
          <w:tcPr>
            <w:tcW w:w="5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Net income or loss attributable to the noncontrolling interests is separately identified on the Condensed Consolidated Statements of Operations, and comprehensive income attributable to the noncontrolling interests is separately identified on the Condensed Consolidated Statements of Comprehensive Income.</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preferred stock of SoCalGas is presented at Sempra Energy as a noncontrolling interest at March 31, 2012 and December 31, 2011. The preferred stock of SDG&amp;E is contingently redeemable preferred stock. At Sempra Energy, the preferred stock dividends of both SDG&amp;E and SoCalGas are charges against income related to noncontrolling interests. We provide additional information concerning preferred stock in Note 12 of the Notes to Consolidated Financial Statements in the Annual Report. At March 31, 2012 and December 31, 2011, Sempra Energy Consolidated reported the following other noncontrolling ownership interests held by others: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INTERESTS HELD 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Percent Ownership Held</w:t>
      </w:r>
    </w:p>
    <w:p>
      <w:pPr>
        <w:sectPr>
          <w:pgSz w:w="11900" w:h="16844" w:orient="portrait"/>
          <w:cols w:equalWidth="0" w:num="1">
            <w:col w:w="11420"/>
          </w:cols>
          <w:pgMar w:left="240" w:top="108" w:right="239" w:bottom="0" w:gutter="0" w:footer="0" w:header="0"/>
        </w:sectPr>
      </w:pPr>
    </w:p>
    <w:p>
      <w:pPr>
        <w:spacing w:after="0" w:line="11"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March 31,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December 31, 2011</w:t>
      </w:r>
    </w:p>
    <w:p>
      <w:pPr>
        <w:sectPr>
          <w:pgSz w:w="11900" w:h="16844" w:orient="portrait"/>
          <w:cols w:equalWidth="0" w:num="3">
            <w:col w:w="6800" w:space="720"/>
            <w:col w:w="1540" w:space="720"/>
            <w:col w:w="1640"/>
          </w:cols>
          <w:pgMar w:left="240" w:top="108" w:right="239" w:bottom="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20"/>
                <w:szCs w:val="20"/>
                <w:color w:val="auto"/>
              </w:rPr>
            </w:pPr>
            <w:r>
              <w:rPr>
                <w:rFonts w:ascii="Arial" w:cs="Arial" w:eastAsia="Arial" w:hAnsi="Arial"/>
                <w:sz w:val="16"/>
                <w:szCs w:val="16"/>
                <w:color w:val="auto"/>
              </w:rPr>
              <w:t>Bay Gas Storage, Ltd.(1)</w:t>
            </w:r>
          </w:p>
        </w:tc>
        <w:tc>
          <w:tcPr>
            <w:tcW w:w="2300" w:type="dxa"/>
            <w:vAlign w:val="bottom"/>
          </w:tcPr>
          <w:p>
            <w:pPr>
              <w:jc w:val="right"/>
              <w:ind w:right="199"/>
              <w:spacing w:after="0"/>
              <w:rPr>
                <w:sz w:val="20"/>
                <w:szCs w:val="20"/>
                <w:color w:val="auto"/>
              </w:rPr>
            </w:pPr>
            <w:r>
              <w:rPr>
                <w:rFonts w:ascii="Arial" w:cs="Arial" w:eastAsia="Arial" w:hAnsi="Arial"/>
                <w:sz w:val="16"/>
                <w:szCs w:val="16"/>
                <w:color w:val="auto"/>
              </w:rPr>
              <w:t>9 %</w:t>
            </w:r>
          </w:p>
        </w:tc>
        <w:tc>
          <w:tcPr>
            <w:tcW w:w="12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12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Southern Gas Transmission Company(1)</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49</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Liberty Gas Storage, LLC(1)</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25</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9</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Tecsur</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10</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Luz del Sur</w:t>
            </w:r>
          </w:p>
        </w:tc>
        <w:tc>
          <w:tcPr>
            <w:tcW w:w="230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20</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222</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216</w:t>
            </w: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6"/>
                <w:szCs w:val="16"/>
                <w:color w:val="auto"/>
              </w:rPr>
              <w:t>Chilquinta Energía subsidiaries</w:t>
            </w:r>
          </w:p>
        </w:tc>
        <w:tc>
          <w:tcPr>
            <w:tcW w:w="230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15 - 43</w:t>
            </w:r>
          </w:p>
        </w:tc>
        <w:tc>
          <w:tcPr>
            <w:tcW w:w="1240" w:type="dxa"/>
            <w:vAlign w:val="bottom"/>
          </w:tcPr>
          <w:p>
            <w:pPr>
              <w:spacing w:after="0"/>
              <w:rPr>
                <w:sz w:val="15"/>
                <w:szCs w:val="15"/>
                <w:color w:val="auto"/>
              </w:rPr>
            </w:pPr>
          </w:p>
        </w:tc>
        <w:tc>
          <w:tcPr>
            <w:tcW w:w="12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37</w:t>
            </w:r>
          </w:p>
        </w:tc>
        <w:tc>
          <w:tcPr>
            <w:tcW w:w="1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r>
      <w:tr>
        <w:trPr>
          <w:trHeight w:val="194"/>
        </w:trPr>
        <w:tc>
          <w:tcPr>
            <w:tcW w:w="4320" w:type="dxa"/>
            <w:vAlign w:val="bottom"/>
          </w:tcPr>
          <w:p>
            <w:pPr>
              <w:spacing w:after="0"/>
              <w:rPr>
                <w:sz w:val="20"/>
                <w:szCs w:val="20"/>
                <w:color w:val="auto"/>
              </w:rPr>
            </w:pPr>
            <w:r>
              <w:rPr>
                <w:rFonts w:ascii="Arial" w:cs="Arial" w:eastAsia="Arial" w:hAnsi="Arial"/>
                <w:sz w:val="16"/>
                <w:szCs w:val="16"/>
                <w:color w:val="auto"/>
              </w:rPr>
              <w:t>Otay Mesa VIE (at SDG&amp;E)</w:t>
            </w:r>
          </w:p>
        </w:tc>
        <w:tc>
          <w:tcPr>
            <w:tcW w:w="2300" w:type="dxa"/>
            <w:vAlign w:val="bottom"/>
          </w:tcPr>
          <w:p>
            <w:pPr>
              <w:jc w:val="right"/>
              <w:ind w:right="399"/>
              <w:spacing w:after="0"/>
              <w:rPr>
                <w:sz w:val="20"/>
                <w:szCs w:val="20"/>
                <w:color w:val="auto"/>
              </w:rPr>
            </w:pPr>
            <w:r>
              <w:rPr>
                <w:rFonts w:ascii="Arial" w:cs="Arial" w:eastAsia="Arial" w:hAnsi="Arial"/>
                <w:sz w:val="16"/>
                <w:szCs w:val="16"/>
                <w:color w:val="auto"/>
              </w:rPr>
              <w:t>100</w:t>
            </w:r>
          </w:p>
        </w:tc>
        <w:tc>
          <w:tcPr>
            <w:tcW w:w="1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108</w:t>
            </w: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195"/>
        </w:trPr>
        <w:tc>
          <w:tcPr>
            <w:tcW w:w="4320" w:type="dxa"/>
            <w:vAlign w:val="bottom"/>
          </w:tcPr>
          <w:p>
            <w:pPr>
              <w:ind w:left="280"/>
              <w:spacing w:after="0"/>
              <w:rPr>
                <w:sz w:val="20"/>
                <w:szCs w:val="20"/>
                <w:color w:val="auto"/>
              </w:rPr>
            </w:pPr>
            <w:r>
              <w:rPr>
                <w:rFonts w:ascii="Arial" w:cs="Arial" w:eastAsia="Arial" w:hAnsi="Arial"/>
                <w:sz w:val="16"/>
                <w:szCs w:val="16"/>
                <w:color w:val="auto"/>
              </w:rPr>
              <w:t>Total Sempra Energy</w:t>
            </w:r>
          </w:p>
        </w:tc>
        <w:tc>
          <w:tcPr>
            <w:tcW w:w="2300" w:type="dxa"/>
            <w:vAlign w:val="bottom"/>
          </w:tcPr>
          <w:p>
            <w:pPr>
              <w:spacing w:after="0"/>
              <w:rPr>
                <w:sz w:val="16"/>
                <w:szCs w:val="16"/>
                <w:color w:val="auto"/>
              </w:rPr>
            </w:pPr>
          </w:p>
        </w:tc>
        <w:tc>
          <w:tcPr>
            <w:tcW w:w="12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398</w:t>
            </w:r>
          </w:p>
        </w:tc>
        <w:tc>
          <w:tcPr>
            <w:tcW w:w="112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hanging="343"/>
        <w:spacing w:after="0"/>
        <w:tabs>
          <w:tab w:leader="none" w:pos="56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Part of Sempra Natural Gas.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Sempra South American Utilities has a U.S. dollar-denominated loan to Camuzzi Gas del Sur S.A., an affiliate of the segment’s Argentine investments, which we discuss in Note 4 of the Notes to Consolidated Financial Statements in the Annual Report. The loan has an $18 million principal balance outstanding plus $6 million of accumulated interest at a variable interest rate (7.58 percent as of March 31, 2012). In June 2011, the maturity date of the loan was extended from June 2011 to June 30, 2012. The loan was fully reserved at March 31, 2012 and December 31, 2011.</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w:t>
      </w:r>
    </w:p>
    <w:p>
      <w:pPr>
        <w:spacing w:after="0" w:line="2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Sempra Energy, at Parent and Other, has an investment in bonds issued by Chilquinta Energía that we discuss in Note 5 of the Notes to Consolidated Financial Statements in the Annual Report.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40" w:type="dxa"/>
            <w:vAlign w:val="bottom"/>
          </w:tcPr>
          <w:p>
            <w:pPr>
              <w:jc w:val="right"/>
              <w:ind w:right="1"/>
              <w:spacing w:after="0"/>
              <w:rPr>
                <w:sz w:val="20"/>
                <w:szCs w:val="20"/>
                <w:color w:val="auto"/>
              </w:rPr>
            </w:pPr>
            <w:r>
              <w:rPr>
                <w:rFonts w:ascii="Arial" w:cs="Arial" w:eastAsia="Arial" w:hAnsi="Arial"/>
                <w:sz w:val="14"/>
                <w:szCs w:val="14"/>
                <w:color w:val="auto"/>
              </w:rPr>
              <w:t>March 31,</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ind w:right="300"/>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7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780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6"/>
        </w:trPr>
        <w:tc>
          <w:tcPr>
            <w:tcW w:w="782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800" w:type="dxa"/>
            <w:vAlign w:val="bottom"/>
          </w:tcPr>
          <w:p>
            <w:pPr>
              <w:ind w:left="160"/>
              <w:spacing w:after="0" w:line="176" w:lineRule="exact"/>
              <w:rPr>
                <w:sz w:val="20"/>
                <w:szCs w:val="20"/>
                <w:color w:val="auto"/>
              </w:rPr>
            </w:pPr>
            <w:r>
              <w:rPr>
                <w:rFonts w:ascii="Arial" w:cs="Arial" w:eastAsia="Arial" w:hAnsi="Arial"/>
                <w:sz w:val="16"/>
                <w:szCs w:val="16"/>
                <w:color w:val="auto"/>
              </w:rPr>
              <w:t>Due from SoCalGas</w:t>
            </w:r>
          </w:p>
        </w:tc>
        <w:tc>
          <w:tcPr>
            <w:tcW w:w="1240" w:type="dxa"/>
            <w:vAlign w:val="bottom"/>
          </w:tcPr>
          <w:p>
            <w:pPr>
              <w:jc w:val="right"/>
              <w:ind w:right="1061"/>
              <w:spacing w:after="0" w:line="176"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20" w:type="dxa"/>
            <w:vAlign w:val="bottom"/>
          </w:tcPr>
          <w:p>
            <w:pPr>
              <w:spacing w:after="0"/>
              <w:rPr>
                <w:sz w:val="16"/>
                <w:szCs w:val="16"/>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from various affiliates</w:t>
            </w:r>
          </w:p>
        </w:tc>
        <w:tc>
          <w:tcPr>
            <w:tcW w:w="1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40" w:type="dxa"/>
            <w:vAlign w:val="bottom"/>
            <w:tcBorders>
              <w:bottom w:val="single" w:sz="8" w:color="auto"/>
            </w:tcBorders>
          </w:tcPr>
          <w:p>
            <w:pPr>
              <w:jc w:val="right"/>
              <w:ind w:right="1061"/>
              <w:spacing w:after="0" w:line="176"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67</w:t>
            </w:r>
          </w:p>
        </w:tc>
      </w:tr>
      <w:tr>
        <w:trPr>
          <w:trHeight w:val="340"/>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to Sempra Energy</w:t>
            </w:r>
          </w:p>
        </w:tc>
        <w:tc>
          <w:tcPr>
            <w:tcW w:w="1240" w:type="dxa"/>
            <w:vAlign w:val="bottom"/>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94"/>
        </w:trPr>
        <w:tc>
          <w:tcPr>
            <w:tcW w:w="20" w:type="dxa"/>
            <w:vAlign w:val="bottom"/>
          </w:tcPr>
          <w:p>
            <w:pPr>
              <w:spacing w:after="0"/>
              <w:rPr>
                <w:sz w:val="16"/>
                <w:szCs w:val="16"/>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to SoCalGas</w:t>
            </w:r>
          </w:p>
        </w:tc>
        <w:tc>
          <w:tcPr>
            <w:tcW w:w="1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40" w:type="dxa"/>
            <w:vAlign w:val="bottom"/>
            <w:tcBorders>
              <w:bottom w:val="single" w:sz="8" w:color="auto"/>
            </w:tcBorders>
          </w:tcPr>
          <w:p>
            <w:pPr>
              <w:jc w:val="right"/>
              <w:ind w:right="1061"/>
              <w:spacing w:after="0" w:line="176"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36</w:t>
            </w:r>
          </w:p>
        </w:tc>
        <w:tc>
          <w:tcPr>
            <w:tcW w:w="3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r>
      <w:tr>
        <w:trPr>
          <w:trHeight w:val="385"/>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Income taxes due from Sempra Energy(1)</w:t>
            </w: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367"/>
        </w:trPr>
        <w:tc>
          <w:tcPr>
            <w:tcW w:w="782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782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800" w:type="dxa"/>
            <w:vAlign w:val="bottom"/>
          </w:tcPr>
          <w:p>
            <w:pPr>
              <w:ind w:left="160"/>
              <w:spacing w:after="0" w:line="176" w:lineRule="exact"/>
              <w:rPr>
                <w:sz w:val="20"/>
                <w:szCs w:val="20"/>
                <w:color w:val="auto"/>
              </w:rPr>
            </w:pPr>
            <w:r>
              <w:rPr>
                <w:rFonts w:ascii="Arial" w:cs="Arial" w:eastAsia="Arial" w:hAnsi="Arial"/>
                <w:sz w:val="16"/>
                <w:szCs w:val="16"/>
                <w:color w:val="auto"/>
              </w:rPr>
              <w:t>Due from Sempra Energy</w:t>
            </w:r>
          </w:p>
        </w:tc>
        <w:tc>
          <w:tcPr>
            <w:tcW w:w="1240" w:type="dxa"/>
            <w:vAlign w:val="bottom"/>
          </w:tcPr>
          <w:p>
            <w:pPr>
              <w:jc w:val="right"/>
              <w:ind w:right="1061"/>
              <w:spacing w:after="0" w:line="176"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218</w:t>
            </w:r>
          </w:p>
        </w:tc>
        <w:tc>
          <w:tcPr>
            <w:tcW w:w="3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r>
      <w:tr>
        <w:trPr>
          <w:trHeight w:val="176"/>
        </w:trPr>
        <w:tc>
          <w:tcPr>
            <w:tcW w:w="20" w:type="dxa"/>
            <w:vAlign w:val="bottom"/>
          </w:tcPr>
          <w:p>
            <w:pPr>
              <w:spacing w:after="0"/>
              <w:rPr>
                <w:sz w:val="15"/>
                <w:szCs w:val="15"/>
                <w:color w:val="auto"/>
              </w:rPr>
            </w:pPr>
          </w:p>
        </w:tc>
        <w:tc>
          <w:tcPr>
            <w:tcW w:w="7800" w:type="dxa"/>
            <w:vAlign w:val="bottom"/>
          </w:tcPr>
          <w:p>
            <w:pPr>
              <w:ind w:left="160"/>
              <w:spacing w:after="0" w:line="176" w:lineRule="exact"/>
              <w:rPr>
                <w:sz w:val="20"/>
                <w:szCs w:val="20"/>
                <w:color w:val="auto"/>
              </w:rPr>
            </w:pPr>
            <w:r>
              <w:rPr>
                <w:rFonts w:ascii="Arial" w:cs="Arial" w:eastAsia="Arial" w:hAnsi="Arial"/>
                <w:sz w:val="16"/>
                <w:szCs w:val="16"/>
                <w:color w:val="auto"/>
              </w:rPr>
              <w:t>Due from SDG&amp;E</w:t>
            </w:r>
          </w:p>
        </w:tc>
        <w:tc>
          <w:tcPr>
            <w:tcW w:w="1240" w:type="dxa"/>
            <w:vAlign w:val="bottom"/>
          </w:tcPr>
          <w:p>
            <w:pPr>
              <w:spacing w:after="0"/>
              <w:rPr>
                <w:sz w:val="15"/>
                <w:szCs w:val="15"/>
                <w:color w:val="auto"/>
              </w:rPr>
            </w:pPr>
          </w:p>
        </w:tc>
        <w:tc>
          <w:tcPr>
            <w:tcW w:w="56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11</w:t>
            </w:r>
          </w:p>
        </w:tc>
        <w:tc>
          <w:tcPr>
            <w:tcW w:w="38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from various affiliates</w:t>
            </w:r>
          </w:p>
        </w:tc>
        <w:tc>
          <w:tcPr>
            <w:tcW w:w="1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40" w:type="dxa"/>
            <w:vAlign w:val="bottom"/>
            <w:tcBorders>
              <w:bottom w:val="single" w:sz="8" w:color="auto"/>
            </w:tcBorders>
          </w:tcPr>
          <w:p>
            <w:pPr>
              <w:jc w:val="right"/>
              <w:ind w:right="1061"/>
              <w:spacing w:after="0" w:line="176"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229</w:t>
            </w:r>
          </w:p>
        </w:tc>
        <w:tc>
          <w:tcPr>
            <w:tcW w:w="3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w:t>
            </w:r>
          </w:p>
        </w:tc>
      </w:tr>
      <w:tr>
        <w:trPr>
          <w:trHeight w:val="358"/>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to SDG&amp;E</w:t>
            </w:r>
          </w:p>
        </w:tc>
        <w:tc>
          <w:tcPr>
            <w:tcW w:w="12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386"/>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Income taxes due (to) from Sempra Energy(1)</w:t>
            </w:r>
          </w:p>
        </w:tc>
        <w:tc>
          <w:tcPr>
            <w:tcW w:w="1240" w:type="dxa"/>
            <w:vAlign w:val="bottom"/>
          </w:tcPr>
          <w:p>
            <w:pPr>
              <w:jc w:val="right"/>
              <w:ind w:right="10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right="360" w:hanging="317"/>
        <w:spacing w:after="0" w:line="279" w:lineRule="auto"/>
        <w:tabs>
          <w:tab w:leader="none" w:pos="4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00" w:lineRule="exact"/>
        <w:rPr>
          <w:sz w:val="20"/>
          <w:szCs w:val="20"/>
          <w:color w:val="auto"/>
        </w:rPr>
      </w:pPr>
    </w:p>
    <w:p>
      <w:pPr>
        <w:spacing w:after="0" w:line="265" w:lineRule="exact"/>
        <w:rPr>
          <w:sz w:val="20"/>
          <w:szCs w:val="20"/>
          <w:color w:val="auto"/>
        </w:rPr>
      </w:pPr>
    </w:p>
    <w:p>
      <w:pPr>
        <w:ind w:right="5240"/>
        <w:spacing w:after="0" w:line="261" w:lineRule="auto"/>
        <w:rPr>
          <w:sz w:val="20"/>
          <w:szCs w:val="20"/>
          <w:color w:val="auto"/>
        </w:rPr>
      </w:pPr>
      <w:r>
        <w:rPr>
          <w:rFonts w:ascii="Arial" w:cs="Arial" w:eastAsia="Arial" w:hAnsi="Arial"/>
          <w:sz w:val="16"/>
          <w:szCs w:val="16"/>
          <w:b w:val="1"/>
          <w:bCs w:val="1"/>
          <w:color w:val="auto"/>
        </w:rPr>
        <w:t xml:space="preserve">REVENUES FROM UNCONSOLIDATED AFFILIATES AT SDG&amp;E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 March 31,</w:t>
            </w:r>
          </w:p>
        </w:tc>
        <w:tc>
          <w:tcPr>
            <w:tcW w:w="14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color w:val="auto"/>
                <w:w w:val="96"/>
              </w:rPr>
              <w:t>2011</w:t>
            </w:r>
          </w:p>
        </w:tc>
      </w:tr>
      <w:tr>
        <w:trPr>
          <w:trHeight w:val="164"/>
        </w:trPr>
        <w:tc>
          <w:tcPr>
            <w:tcW w:w="20" w:type="dxa"/>
            <w:vAlign w:val="bottom"/>
          </w:tcPr>
          <w:p>
            <w:pPr>
              <w:spacing w:after="0"/>
              <w:rPr>
                <w:sz w:val="14"/>
                <w:szCs w:val="14"/>
                <w:color w:val="auto"/>
              </w:rPr>
            </w:pPr>
          </w:p>
        </w:tc>
        <w:tc>
          <w:tcPr>
            <w:tcW w:w="6560" w:type="dxa"/>
            <w:vAlign w:val="bottom"/>
          </w:tcPr>
          <w:p>
            <w:pPr>
              <w:spacing w:after="0" w:line="164" w:lineRule="exact"/>
              <w:rPr>
                <w:sz w:val="20"/>
                <w:szCs w:val="20"/>
                <w:color w:val="auto"/>
              </w:rPr>
            </w:pPr>
            <w:r>
              <w:rPr>
                <w:rFonts w:ascii="Arial" w:cs="Arial" w:eastAsia="Arial" w:hAnsi="Arial"/>
                <w:sz w:val="16"/>
                <w:szCs w:val="16"/>
                <w:color w:val="auto"/>
              </w:rPr>
              <w:t>SDG&amp;E</w:t>
            </w:r>
          </w:p>
        </w:tc>
        <w:tc>
          <w:tcPr>
            <w:tcW w:w="1380" w:type="dxa"/>
            <w:vAlign w:val="bottom"/>
          </w:tcPr>
          <w:p>
            <w:pPr>
              <w:jc w:val="right"/>
              <w:ind w:right="1226"/>
              <w:spacing w:after="0" w:line="164"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c>
          <w:tcPr>
            <w:tcW w:w="1060" w:type="dxa"/>
            <w:vAlign w:val="bottom"/>
          </w:tcPr>
          <w:p>
            <w:pPr>
              <w:jc w:val="right"/>
              <w:ind w:right="859"/>
              <w:spacing w:after="0" w:line="164"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2</w:t>
            </w:r>
          </w:p>
        </w:tc>
      </w:tr>
      <w:tr>
        <w:trPr>
          <w:trHeight w:val="194"/>
        </w:trPr>
        <w:tc>
          <w:tcPr>
            <w:tcW w:w="6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ectPr>
          <w:pgSz w:w="11900" w:h="16838" w:orient="portrait"/>
          <w:cols w:equalWidth="0" w:num="1">
            <w:col w:w="11420"/>
          </w:cols>
          <w:pgMar w:left="240" w:top="119" w:right="239" w:bottom="0" w:gutter="0" w:footer="0" w:header="0"/>
        </w:sectPr>
      </w:pPr>
    </w:p>
    <w:p>
      <w:pPr>
        <w:spacing w:after="0" w:line="20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Several of our segments have engaged in transactions with RBS Sempra Commodities. As a result of the divestiture of substantially all of RBS Sempra Commodities’ businesses, transactions between our segments and RBS Sempra Commodities were assigned over time to the buyers of the joint venture</w:t>
      </w:r>
    </w:p>
    <w:p>
      <w:pPr>
        <w:sectPr>
          <w:pgSz w:w="11900" w:h="16838" w:orient="portrait"/>
          <w:cols w:equalWidth="0" w:num="1">
            <w:col w:w="11420"/>
          </w:cols>
          <w:pgMar w:left="240" w:top="119"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color w:val="auto"/>
        </w:rPr>
        <w:t>businesses. The assignments of the related contracts were substantially completed by May 1, 2011. Amounts in our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related to these transactions are as follows: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RECORDED FOR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WITH RBS SEMPRA COMMODITIES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6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Three months ended March 31, 2011</w:t>
            </w:r>
          </w:p>
        </w:tc>
        <w:tc>
          <w:tcPr>
            <w:tcW w:w="380" w:type="dxa"/>
            <w:vAlign w:val="bottom"/>
            <w:tcBorders>
              <w:bottom w:val="single" w:sz="8" w:color="auto"/>
            </w:tcBorders>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Revenues:</w:t>
            </w:r>
          </w:p>
        </w:tc>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60"/>
              <w:spacing w:after="0" w:line="176" w:lineRule="exact"/>
              <w:rPr>
                <w:sz w:val="20"/>
                <w:szCs w:val="20"/>
                <w:color w:val="auto"/>
              </w:rPr>
            </w:pPr>
            <w:r>
              <w:rPr>
                <w:rFonts w:ascii="Arial" w:cs="Arial" w:eastAsia="Arial" w:hAnsi="Arial"/>
                <w:sz w:val="16"/>
                <w:szCs w:val="16"/>
                <w:color w:val="auto"/>
              </w:rPr>
              <w:t>Sempra Mexico</w:t>
            </w:r>
          </w:p>
        </w:tc>
        <w:tc>
          <w:tcPr>
            <w:tcW w:w="5960" w:type="dxa"/>
            <w:vAlign w:val="bottom"/>
          </w:tcPr>
          <w:p>
            <w:pPr>
              <w:jc w:val="right"/>
              <w:ind w:right="1262"/>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r>
      <w:tr>
        <w:trPr>
          <w:trHeight w:val="195"/>
        </w:trPr>
        <w:tc>
          <w:tcPr>
            <w:tcW w:w="20" w:type="dxa"/>
            <w:vAlign w:val="bottom"/>
          </w:tcPr>
          <w:p>
            <w:pPr>
              <w:spacing w:after="0"/>
              <w:rPr>
                <w:sz w:val="16"/>
                <w:szCs w:val="16"/>
                <w:color w:val="auto"/>
              </w:rPr>
            </w:pPr>
          </w:p>
        </w:tc>
        <w:tc>
          <w:tcPr>
            <w:tcW w:w="5060" w:type="dxa"/>
            <w:vAlign w:val="bottom"/>
          </w:tcPr>
          <w:p>
            <w:pPr>
              <w:ind w:left="160"/>
              <w:spacing w:after="0"/>
              <w:rPr>
                <w:sz w:val="20"/>
                <w:szCs w:val="20"/>
                <w:color w:val="auto"/>
              </w:rPr>
            </w:pPr>
            <w:r>
              <w:rPr>
                <w:rFonts w:ascii="Arial" w:cs="Arial" w:eastAsia="Arial" w:hAnsi="Arial"/>
                <w:sz w:val="16"/>
                <w:szCs w:val="16"/>
                <w:color w:val="auto"/>
              </w:rPr>
              <w:t>Sempra Natural Gas</w:t>
            </w:r>
          </w:p>
        </w:tc>
        <w:tc>
          <w:tcPr>
            <w:tcW w:w="59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78"/>
        </w:trPr>
        <w:tc>
          <w:tcPr>
            <w:tcW w:w="5080" w:type="dxa"/>
            <w:vAlign w:val="bottom"/>
            <w:gridSpan w:val="2"/>
          </w:tcPr>
          <w:p>
            <w:pPr>
              <w:spacing w:after="0"/>
              <w:rPr>
                <w:sz w:val="20"/>
                <w:szCs w:val="20"/>
                <w:color w:val="auto"/>
              </w:rPr>
            </w:pPr>
            <w:r>
              <w:rPr>
                <w:rFonts w:ascii="Arial" w:cs="Arial" w:eastAsia="Arial" w:hAnsi="Arial"/>
                <w:sz w:val="16"/>
                <w:szCs w:val="16"/>
                <w:color w:val="auto"/>
              </w:rPr>
              <w:t>Cost of natural gas:</w:t>
            </w:r>
          </w:p>
        </w:tc>
        <w:tc>
          <w:tcPr>
            <w:tcW w:w="59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060" w:type="dxa"/>
            <w:vAlign w:val="bottom"/>
          </w:tcPr>
          <w:p>
            <w:pPr>
              <w:ind w:left="160"/>
              <w:spacing w:after="0"/>
              <w:rPr>
                <w:sz w:val="20"/>
                <w:szCs w:val="20"/>
                <w:color w:val="auto"/>
              </w:rPr>
            </w:pPr>
            <w:r>
              <w:rPr>
                <w:rFonts w:ascii="Arial" w:cs="Arial" w:eastAsia="Arial" w:hAnsi="Arial"/>
                <w:sz w:val="16"/>
                <w:szCs w:val="16"/>
                <w:color w:val="auto"/>
              </w:rPr>
              <w:t>Sempra Mexico</w:t>
            </w:r>
          </w:p>
        </w:tc>
        <w:tc>
          <w:tcPr>
            <w:tcW w:w="5960" w:type="dxa"/>
            <w:vAlign w:val="bottom"/>
          </w:tcPr>
          <w:p>
            <w:pPr>
              <w:jc w:val="right"/>
              <w:ind w:right="126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94"/>
        </w:trPr>
        <w:tc>
          <w:tcPr>
            <w:tcW w:w="20" w:type="dxa"/>
            <w:vAlign w:val="bottom"/>
          </w:tcPr>
          <w:p>
            <w:pPr>
              <w:spacing w:after="0"/>
              <w:rPr>
                <w:sz w:val="16"/>
                <w:szCs w:val="16"/>
                <w:color w:val="auto"/>
              </w:rPr>
            </w:pPr>
          </w:p>
        </w:tc>
        <w:tc>
          <w:tcPr>
            <w:tcW w:w="5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Sempra Natural Gas</w:t>
            </w:r>
          </w:p>
        </w:tc>
        <w:tc>
          <w:tcPr>
            <w:tcW w:w="5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Condensed Consolidated Statements of Operations consists of the following: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Three months ended March 31,</w:t>
            </w:r>
          </w:p>
        </w:tc>
        <w:tc>
          <w:tcPr>
            <w:tcW w:w="2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5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5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6"/>
        </w:trPr>
        <w:tc>
          <w:tcPr>
            <w:tcW w:w="656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3140" w:type="dxa"/>
            <w:vAlign w:val="bottom"/>
            <w:gridSpan w:val="2"/>
          </w:tcPr>
          <w:p>
            <w:pPr>
              <w:jc w:val="right"/>
              <w:ind w:right="785"/>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1060" w:type="dxa"/>
            <w:vAlign w:val="bottom"/>
          </w:tcPr>
          <w:p>
            <w:pPr>
              <w:jc w:val="right"/>
              <w:ind w:right="880"/>
              <w:spacing w:after="0" w:line="176" w:lineRule="exact"/>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76"/>
        </w:trPr>
        <w:tc>
          <w:tcPr>
            <w:tcW w:w="6560" w:type="dxa"/>
            <w:vAlign w:val="bottom"/>
            <w:gridSpan w:val="2"/>
          </w:tcPr>
          <w:p>
            <w:pPr>
              <w:spacing w:after="0" w:line="176" w:lineRule="exact"/>
              <w:rPr>
                <w:sz w:val="20"/>
                <w:szCs w:val="20"/>
                <w:color w:val="auto"/>
              </w:rPr>
            </w:pPr>
            <w:r>
              <w:rPr>
                <w:rFonts w:ascii="Arial" w:cs="Arial" w:eastAsia="Arial" w:hAnsi="Arial"/>
                <w:sz w:val="16"/>
                <w:szCs w:val="16"/>
                <w:color w:val="auto"/>
              </w:rPr>
              <w:t>Investment gains(1)</w:t>
            </w: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106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76"/>
        </w:trPr>
        <w:tc>
          <w:tcPr>
            <w:tcW w:w="6560" w:type="dxa"/>
            <w:vAlign w:val="bottom"/>
            <w:gridSpan w:val="2"/>
          </w:tcPr>
          <w:p>
            <w:pPr>
              <w:spacing w:after="0" w:line="176" w:lineRule="exact"/>
              <w:rPr>
                <w:sz w:val="20"/>
                <w:szCs w:val="20"/>
                <w:color w:val="auto"/>
              </w:rPr>
            </w:pPr>
            <w:r>
              <w:rPr>
                <w:rFonts w:ascii="Arial" w:cs="Arial" w:eastAsia="Arial" w:hAnsi="Arial"/>
                <w:sz w:val="16"/>
                <w:szCs w:val="16"/>
                <w:color w:val="auto"/>
              </w:rPr>
              <w:t>Gains on interest rate and foreign exchange instruments, net</w:t>
            </w: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06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r>
      <w:tr>
        <w:trPr>
          <w:trHeight w:val="176"/>
        </w:trPr>
        <w:tc>
          <w:tcPr>
            <w:tcW w:w="656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net(2)</w:t>
            </w: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06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656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2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20" w:type="dxa"/>
            <w:vAlign w:val="bottom"/>
          </w:tcPr>
          <w:p>
            <w:pPr>
              <w:spacing w:after="0"/>
              <w:rPr>
                <w:sz w:val="15"/>
                <w:szCs w:val="15"/>
                <w:color w:val="auto"/>
              </w:rPr>
            </w:pPr>
          </w:p>
        </w:tc>
        <w:tc>
          <w:tcPr>
            <w:tcW w:w="654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6"/>
                <w:szCs w:val="16"/>
                <w:color w:val="auto"/>
              </w:rPr>
              <w:t>Total</w:t>
            </w:r>
          </w:p>
        </w:tc>
        <w:tc>
          <w:tcPr>
            <w:tcW w:w="2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75</w:t>
            </w:r>
          </w:p>
        </w:tc>
        <w:tc>
          <w:tcPr>
            <w:tcW w:w="1060" w:type="dxa"/>
            <w:vAlign w:val="bottom"/>
            <w:tcBorders>
              <w:bottom w:val="single" w:sz="8" w:color="auto"/>
            </w:tcBorders>
          </w:tcPr>
          <w:p>
            <w:pPr>
              <w:jc w:val="right"/>
              <w:ind w:right="880"/>
              <w:spacing w:after="0" w:line="176" w:lineRule="exact"/>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w:t>
            </w:r>
          </w:p>
        </w:tc>
      </w:tr>
      <w:tr>
        <w:trPr>
          <w:trHeight w:val="164"/>
        </w:trPr>
        <w:tc>
          <w:tcPr>
            <w:tcW w:w="20" w:type="dxa"/>
            <w:vAlign w:val="bottom"/>
          </w:tcPr>
          <w:p>
            <w:pPr>
              <w:spacing w:after="0"/>
              <w:rPr>
                <w:sz w:val="14"/>
                <w:szCs w:val="14"/>
                <w:color w:val="auto"/>
              </w:rPr>
            </w:pPr>
          </w:p>
        </w:tc>
        <w:tc>
          <w:tcPr>
            <w:tcW w:w="654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6"/>
        </w:trPr>
        <w:tc>
          <w:tcPr>
            <w:tcW w:w="656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3140" w:type="dxa"/>
            <w:vAlign w:val="bottom"/>
            <w:gridSpan w:val="2"/>
          </w:tcPr>
          <w:p>
            <w:pPr>
              <w:jc w:val="right"/>
              <w:ind w:right="785"/>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1060" w:type="dxa"/>
            <w:vAlign w:val="bottom"/>
          </w:tcPr>
          <w:p>
            <w:pPr>
              <w:jc w:val="right"/>
              <w:ind w:right="880"/>
              <w:spacing w:after="0" w:line="176" w:lineRule="exact"/>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r>
      <w:tr>
        <w:trPr>
          <w:trHeight w:val="176"/>
        </w:trPr>
        <w:tc>
          <w:tcPr>
            <w:tcW w:w="656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net(2)</w:t>
            </w:r>
          </w:p>
        </w:tc>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06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656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2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654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6"/>
                <w:szCs w:val="16"/>
                <w:color w:val="auto"/>
              </w:rPr>
              <w:t>Total</w:t>
            </w:r>
          </w:p>
        </w:tc>
        <w:tc>
          <w:tcPr>
            <w:tcW w:w="2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w:t>
            </w:r>
          </w:p>
        </w:tc>
        <w:tc>
          <w:tcPr>
            <w:tcW w:w="1060" w:type="dxa"/>
            <w:vAlign w:val="bottom"/>
            <w:tcBorders>
              <w:bottom w:val="single" w:sz="8" w:color="auto"/>
            </w:tcBorders>
          </w:tcPr>
          <w:p>
            <w:pPr>
              <w:jc w:val="right"/>
              <w:ind w:right="880"/>
              <w:spacing w:after="0" w:line="176" w:lineRule="exact"/>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r>
      <w:tr>
        <w:trPr>
          <w:trHeight w:val="164"/>
        </w:trPr>
        <w:tc>
          <w:tcPr>
            <w:tcW w:w="20" w:type="dxa"/>
            <w:vAlign w:val="bottom"/>
          </w:tcPr>
          <w:p>
            <w:pPr>
              <w:spacing w:after="0"/>
              <w:rPr>
                <w:sz w:val="14"/>
                <w:szCs w:val="14"/>
                <w:color w:val="auto"/>
              </w:rPr>
            </w:pPr>
          </w:p>
        </w:tc>
        <w:tc>
          <w:tcPr>
            <w:tcW w:w="654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6"/>
        </w:trPr>
        <w:tc>
          <w:tcPr>
            <w:tcW w:w="656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3140" w:type="dxa"/>
            <w:vAlign w:val="bottom"/>
            <w:gridSpan w:val="2"/>
          </w:tcPr>
          <w:p>
            <w:pPr>
              <w:jc w:val="right"/>
              <w:ind w:right="785"/>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060" w:type="dxa"/>
            <w:vAlign w:val="bottom"/>
          </w:tcPr>
          <w:p>
            <w:pPr>
              <w:jc w:val="right"/>
              <w:ind w:right="880"/>
              <w:spacing w:after="0" w:line="176" w:lineRule="exact"/>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94"/>
        </w:trPr>
        <w:tc>
          <w:tcPr>
            <w:tcW w:w="656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2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5"/>
        </w:trPr>
        <w:tc>
          <w:tcPr>
            <w:tcW w:w="20" w:type="dxa"/>
            <w:vAlign w:val="bottom"/>
          </w:tcPr>
          <w:p>
            <w:pPr>
              <w:spacing w:after="0"/>
              <w:rPr>
                <w:sz w:val="16"/>
                <w:szCs w:val="16"/>
                <w:color w:val="auto"/>
              </w:rPr>
            </w:pPr>
          </w:p>
        </w:tc>
        <w:tc>
          <w:tcPr>
            <w:tcW w:w="6540" w:type="dxa"/>
            <w:vAlign w:val="bottom"/>
          </w:tcPr>
          <w:p>
            <w:pPr>
              <w:ind w:left="120"/>
              <w:spacing w:after="0"/>
              <w:rPr>
                <w:sz w:val="20"/>
                <w:szCs w:val="20"/>
                <w:color w:val="auto"/>
              </w:rPr>
            </w:pPr>
            <w:r>
              <w:rPr>
                <w:rFonts w:ascii="Arial" w:cs="Arial" w:eastAsia="Arial" w:hAnsi="Arial"/>
                <w:sz w:val="16"/>
                <w:szCs w:val="16"/>
                <w:color w:val="auto"/>
              </w:rPr>
              <w:t>Total</w:t>
            </w:r>
          </w:p>
        </w:tc>
        <w:tc>
          <w:tcPr>
            <w:tcW w:w="2200" w:type="dxa"/>
            <w:vAlign w:val="bottom"/>
          </w:tcPr>
          <w:p>
            <w:pPr>
              <w:spacing w:after="0"/>
              <w:rPr>
                <w:sz w:val="16"/>
                <w:szCs w:val="16"/>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60" w:right="540" w:hanging="409"/>
        <w:spacing w:after="0" w:line="251" w:lineRule="auto"/>
        <w:tabs>
          <w:tab w:leader="none" w:pos="6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660" w:hanging="409"/>
        <w:spacing w:after="0"/>
        <w:tabs>
          <w:tab w:leader="none" w:pos="6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3"/>
          </w:tcPr>
          <w:p>
            <w:pPr>
              <w:jc w:val="right"/>
              <w:ind w:right="265"/>
              <w:spacing w:after="0" w:line="159" w:lineRule="exact"/>
              <w:rPr>
                <w:sz w:val="20"/>
                <w:szCs w:val="20"/>
                <w:color w:val="auto"/>
              </w:rPr>
            </w:pPr>
            <w:r>
              <w:rPr>
                <w:rFonts w:ascii="Arial" w:cs="Arial" w:eastAsia="Arial" w:hAnsi="Arial"/>
                <w:sz w:val="14"/>
                <w:szCs w:val="14"/>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964"/>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1623"/>
              <w:spacing w:after="0"/>
              <w:rPr>
                <w:sz w:val="20"/>
                <w:szCs w:val="20"/>
                <w:color w:val="auto"/>
              </w:rPr>
            </w:pPr>
            <w:r>
              <w:rPr>
                <w:rFonts w:ascii="Arial" w:cs="Arial" w:eastAsia="Arial" w:hAnsi="Arial"/>
                <w:sz w:val="14"/>
                <w:szCs w:val="14"/>
                <w:color w:val="auto"/>
              </w:rPr>
              <w:t>2011</w:t>
            </w:r>
          </w:p>
        </w:tc>
      </w:tr>
      <w:tr>
        <w:trPr>
          <w:trHeight w:val="191"/>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2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2440" w:type="dxa"/>
            <w:vAlign w:val="bottom"/>
            <w:gridSpan w:val="2"/>
          </w:tcPr>
          <w:p>
            <w:pPr>
              <w:ind w:left="860"/>
              <w:spacing w:after="0"/>
              <w:rPr>
                <w:sz w:val="20"/>
                <w:szCs w:val="20"/>
                <w:color w:val="auto"/>
              </w:rPr>
            </w:pPr>
            <w:r>
              <w:rPr>
                <w:rFonts w:ascii="Arial" w:cs="Arial" w:eastAsia="Arial" w:hAnsi="Arial"/>
                <w:sz w:val="14"/>
                <w:szCs w:val="14"/>
                <w:color w:val="auto"/>
              </w:rPr>
              <w:t>Effective Income</w:t>
            </w:r>
          </w:p>
        </w:tc>
        <w:tc>
          <w:tcPr>
            <w:tcW w:w="150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Effective Income</w:t>
            </w:r>
          </w:p>
        </w:tc>
      </w:tr>
      <w:tr>
        <w:trPr>
          <w:trHeight w:val="168"/>
        </w:trPr>
        <w:tc>
          <w:tcPr>
            <w:tcW w:w="20" w:type="dxa"/>
            <w:vAlign w:val="bottom"/>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7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Tax Rate</w:t>
            </w: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585"/>
              <w:spacing w:after="0"/>
              <w:rPr>
                <w:sz w:val="20"/>
                <w:szCs w:val="20"/>
                <w:color w:val="auto"/>
              </w:rPr>
            </w:pPr>
            <w:r>
              <w:rPr>
                <w:rFonts w:ascii="Arial" w:cs="Arial" w:eastAsia="Arial" w:hAnsi="Arial"/>
                <w:sz w:val="14"/>
                <w:szCs w:val="14"/>
                <w:color w:val="auto"/>
              </w:rPr>
              <w:t>Expense</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4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2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1780" w:type="dxa"/>
            <w:vAlign w:val="bottom"/>
          </w:tcPr>
          <w:p>
            <w:pPr>
              <w:jc w:val="right"/>
              <w:ind w:right="1364"/>
              <w:spacing w:after="0" w:line="164" w:lineRule="exact"/>
              <w:rPr>
                <w:sz w:val="20"/>
                <w:szCs w:val="20"/>
                <w:color w:val="auto"/>
              </w:rPr>
            </w:pPr>
            <w:r>
              <w:rPr>
                <w:rFonts w:ascii="Arial" w:cs="Arial" w:eastAsia="Arial" w:hAnsi="Arial"/>
                <w:sz w:val="16"/>
                <w:szCs w:val="16"/>
                <w:color w:val="auto"/>
              </w:rPr>
              <w:t>117</w:t>
            </w:r>
          </w:p>
        </w:tc>
        <w:tc>
          <w:tcPr>
            <w:tcW w:w="660" w:type="dxa"/>
            <w:vAlign w:val="bottom"/>
          </w:tcPr>
          <w:p>
            <w:pPr>
              <w:ind w:left="120"/>
              <w:spacing w:after="0" w:line="164" w:lineRule="exact"/>
              <w:rPr>
                <w:sz w:val="20"/>
                <w:szCs w:val="20"/>
                <w:color w:val="auto"/>
              </w:rPr>
            </w:pPr>
            <w:r>
              <w:rPr>
                <w:rFonts w:ascii="Arial" w:cs="Arial" w:eastAsia="Arial" w:hAnsi="Arial"/>
                <w:sz w:val="16"/>
                <w:szCs w:val="16"/>
                <w:color w:val="auto"/>
              </w:rPr>
              <w:t>33 %</w:t>
            </w:r>
          </w:p>
        </w:tc>
        <w:tc>
          <w:tcPr>
            <w:tcW w:w="150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114</w:t>
            </w:r>
          </w:p>
        </w:tc>
        <w:tc>
          <w:tcPr>
            <w:tcW w:w="2080" w:type="dxa"/>
            <w:vAlign w:val="bottom"/>
          </w:tcPr>
          <w:p>
            <w:pPr>
              <w:ind w:left="1540"/>
              <w:spacing w:after="0" w:line="164" w:lineRule="exact"/>
              <w:rPr>
                <w:sz w:val="20"/>
                <w:szCs w:val="20"/>
                <w:color w:val="auto"/>
              </w:rPr>
            </w:pPr>
            <w:r>
              <w:rPr>
                <w:rFonts w:ascii="Arial" w:cs="Arial" w:eastAsia="Arial" w:hAnsi="Arial"/>
                <w:sz w:val="16"/>
                <w:szCs w:val="16"/>
                <w:color w:val="auto"/>
              </w:rPr>
              <w:t>33 %</w:t>
            </w: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20" w:type="dxa"/>
            <w:vAlign w:val="bottom"/>
          </w:tcPr>
          <w:p>
            <w:pPr>
              <w:spacing w:after="0"/>
              <w:rPr>
                <w:sz w:val="15"/>
                <w:szCs w:val="15"/>
                <w:color w:val="auto"/>
              </w:rPr>
            </w:pPr>
          </w:p>
        </w:tc>
        <w:tc>
          <w:tcPr>
            <w:tcW w:w="1780" w:type="dxa"/>
            <w:vAlign w:val="bottom"/>
          </w:tcPr>
          <w:p>
            <w:pPr>
              <w:jc w:val="right"/>
              <w:ind w:right="1364"/>
              <w:spacing w:after="0" w:line="176" w:lineRule="exact"/>
              <w:rPr>
                <w:sz w:val="20"/>
                <w:szCs w:val="20"/>
                <w:color w:val="auto"/>
              </w:rPr>
            </w:pPr>
            <w:r>
              <w:rPr>
                <w:rFonts w:ascii="Arial" w:cs="Arial" w:eastAsia="Arial" w:hAnsi="Arial"/>
                <w:sz w:val="16"/>
                <w:szCs w:val="16"/>
                <w:color w:val="auto"/>
              </w:rPr>
              <w:t>60</w:t>
            </w:r>
          </w:p>
        </w:tc>
        <w:tc>
          <w:tcPr>
            <w:tcW w:w="660" w:type="dxa"/>
            <w:vAlign w:val="bottom"/>
          </w:tcPr>
          <w:p>
            <w:pPr>
              <w:ind w:left="120"/>
              <w:spacing w:after="0" w:line="176" w:lineRule="exact"/>
              <w:rPr>
                <w:sz w:val="20"/>
                <w:szCs w:val="20"/>
                <w:color w:val="auto"/>
              </w:rPr>
            </w:pPr>
            <w:r>
              <w:rPr>
                <w:rFonts w:ascii="Arial" w:cs="Arial" w:eastAsia="Arial" w:hAnsi="Arial"/>
                <w:sz w:val="16"/>
                <w:szCs w:val="16"/>
                <w:color w:val="auto"/>
              </w:rPr>
              <w:t>35</w:t>
            </w:r>
          </w:p>
        </w:tc>
        <w:tc>
          <w:tcPr>
            <w:tcW w:w="15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2080" w:type="dxa"/>
            <w:vAlign w:val="bottom"/>
          </w:tcPr>
          <w:p>
            <w:pPr>
              <w:ind w:left="1540"/>
              <w:spacing w:after="0" w:line="176" w:lineRule="exact"/>
              <w:rPr>
                <w:sz w:val="20"/>
                <w:szCs w:val="20"/>
                <w:color w:val="auto"/>
              </w:rPr>
            </w:pPr>
            <w:r>
              <w:rPr>
                <w:rFonts w:ascii="Arial" w:cs="Arial" w:eastAsia="Arial" w:hAnsi="Arial"/>
                <w:sz w:val="16"/>
                <w:szCs w:val="16"/>
                <w:color w:val="auto"/>
              </w:rPr>
              <w:t>34</w:t>
            </w:r>
          </w:p>
        </w:tc>
      </w:tr>
      <w:tr>
        <w:trPr>
          <w:trHeight w:val="194"/>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364"/>
              <w:spacing w:after="0"/>
              <w:rPr>
                <w:sz w:val="20"/>
                <w:szCs w:val="20"/>
                <w:color w:val="auto"/>
              </w:rPr>
            </w:pPr>
            <w:r>
              <w:rPr>
                <w:rFonts w:ascii="Arial" w:cs="Arial" w:eastAsia="Arial" w:hAnsi="Arial"/>
                <w:sz w:val="16"/>
                <w:szCs w:val="16"/>
                <w:color w:val="auto"/>
              </w:rPr>
              <w:t>40</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38</w:t>
            </w:r>
          </w:p>
        </w:tc>
        <w:tc>
          <w:tcPr>
            <w:tcW w:w="1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0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35</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While our effective tax rate for the three months ended March 31, 2012 remained unchanged from the prior year, it was impacted by:</w:t>
      </w:r>
    </w:p>
    <w:p>
      <w:pPr>
        <w:spacing w:after="0" w:line="225" w:lineRule="exact"/>
        <w:rPr>
          <w:sz w:val="20"/>
          <w:szCs w:val="20"/>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income tax expense in 2012 due to Mexican currency translation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lower deductions for self-developed software costs;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lower favorable adjustments related to prior years’ income tax issues;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planned renewable energy income tax credits and deferred income tax benefits related to renewable energy projects.</w:t>
      </w:r>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Sempra Energy, SDG&amp;E and SoCalGas record income taxes for interim periods utilizing a forecasted effective tax rate, as required by U.S. GAAP. The income tax effect of items that can be reliably forecasted are factored into the forecasted effective tax rate and their impact is spread evenly over the year. The forecasted items may include, among others, self-developed software, renewable energy income tax credits, exclusions from taxable income of the equity</w:t>
      </w:r>
    </w:p>
    <w:p>
      <w:pPr>
        <w:sectPr>
          <w:pgSz w:w="11900" w:h="16838" w:orient="portrait"/>
          <w:cols w:equalWidth="0" w:num="1">
            <w:col w:w="11420"/>
          </w:cols>
          <w:pgMar w:left="240" w:top="125" w:right="239" w:bottom="0" w:gutter="0" w:footer="0" w:header="0"/>
        </w:sectPr>
      </w:pPr>
    </w:p>
    <w:bookmarkStart w:id="29" w:name="page30"/>
    <w:bookmarkEnd w:id="29"/>
    <w:p>
      <w:pPr>
        <w:spacing w:after="0" w:line="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portion of AFUDC, and depreciation on a certain portion of utility plant assets. Items that cannot be reliably forecasted (e.g., adjustments related to prior years’ income tax issues, Mexican currency translation and inflation adjustments, etc.) are recorded in the interim period in which they actually occur, which can result in variability to income tax expense.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plan for assets placed into service in 2012 includes assets that were under construction in 2011. We have used grant accounting for these assets in anticipation of applying for cash grants. Grant accounting for cash grants is very similar to the deferral method of accounting for investment tax credits, the primary difference being the recording of a grant receivable instead of an income tax receivable.</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Under the deferral method of accounting for ITC and under grant accounting for cash grants, a deferred income tax benefit, on day one, is reflected in income tax expense by recording a deferred tax asset when renewable energy assets are placed in service. This deferred tax asset results from the day-one difference in the income tax basis and financial statement basis of the renewable energy assets, referred to as the “day-one basis difference.” The financial statement basis of the assets is reduced by 100 percent of the ITC or grant expected; U.S. Federal income tax basis is reduced by only 50 percent for both ITC and grants; and state income tax basis is reduced 50 percent for grants and not at all for ITC.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SDG&amp;E’s effective income tax rate for the three months ended March 31, 2012 was primarily due to:</w:t>
      </w:r>
    </w:p>
    <w:p>
      <w:pPr>
        <w:spacing w:after="0" w:line="225" w:lineRule="exact"/>
        <w:rPr>
          <w:sz w:val="20"/>
          <w:szCs w:val="20"/>
          <w:color w:val="auto"/>
        </w:rPr>
      </w:pPr>
    </w:p>
    <w:p>
      <w:pPr>
        <w:ind w:left="340" w:hanging="1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deductions for self-developed software costs;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lower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SoCalGas’ effective income tax rate for the three months ended March 31, 2012 was primarily due to:</w:t>
      </w:r>
    </w:p>
    <w:p>
      <w:pPr>
        <w:spacing w:after="0" w:line="225" w:lineRule="exact"/>
        <w:rPr>
          <w:sz w:val="20"/>
          <w:szCs w:val="20"/>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deductions for self-developed software costs;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unfavorable adjustments related to prior years’ income tax issues in 2012 versus favorable adjustments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California Public Utilities Commission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taxes are not recorded to deferred income tax expense, but rather to a regulatory asset or liability. As a result, changes in the relative size of these items compared to pretax income, from period to period, can cause variations in the effective income tax rate. The following items are subject to flow-through treatment:</w:t>
      </w:r>
    </w:p>
    <w:p>
      <w:pPr>
        <w:spacing w:after="0" w:line="173" w:lineRule="exact"/>
        <w:rPr>
          <w:sz w:val="20"/>
          <w:szCs w:val="20"/>
          <w:color w:val="auto"/>
        </w:rPr>
      </w:pPr>
    </w:p>
    <w:p>
      <w:pPr>
        <w:ind w:left="340" w:hanging="197"/>
        <w:spacing w:after="0"/>
        <w:tabs>
          <w:tab w:leader="none" w:pos="34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equity portion of AFUDC</w:t>
      </w:r>
    </w:p>
    <w:p>
      <w:pPr>
        <w:spacing w:after="0" w:line="242" w:lineRule="exact"/>
        <w:rPr>
          <w:rFonts w:ascii="Arial" w:cs="Arial" w:eastAsia="Arial" w:hAnsi="Arial"/>
          <w:sz w:val="20"/>
          <w:szCs w:val="20"/>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self-developed software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34"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At March 31, 2012, Sempra Energy Consolidated had $4.1 billion in committed lines of credit to provide liquidity and to support commercial paper and variable-rate demand notes, the major components of which we detail below. Available unused credit on these lines at March 31, 2012 was $3.4 billion.</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March 2012, Sempra Energy entered into a new $1.067 billion, five-year syndicated revolving credit agreement expiring in March 2017. Citibank, N.A. serves as administrative agent for the syndicate of 24 lenders. No single lender has greater than a 7-percent share. The new facility replaces the $1.0 billion credit agreement set to expire in 2014.</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facility also provides for issuance of up to $400 million of letters of credit on behalf of Sempra Energy with the amount of borrowings otherwise available under the facility reduced by the amount of outstanding letters of credit.</w:t>
      </w:r>
    </w:p>
    <w:p>
      <w:pPr>
        <w:sectPr>
          <w:pgSz w:w="11900" w:h="16885" w:orient="portrait"/>
          <w:cols w:equalWidth="0" w:num="1">
            <w:col w:w="11420"/>
          </w:cols>
          <w:pgMar w:left="240" w:top="125"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At March 31, 2012, Sempra Energy had $2 million of variable-rate demand notes outstanding supported by the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March 2012, Sempra Global entered into a $2.189 billion, five-year syndicated revolving credit agreement expiring in March 2017. Citibank, N.A. serves as administrative agent for the syndicate of 25 lenders. No single lender has greater than a 7-percent share. The new facility replaces the $2.0 billion credit agreement set to expire in 2014.</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March 31, 2012, Sempra Global had $417 million of commercial paper outstanding supported by the facility. At December 31, 2011, $400 million of commercial paper outstanding was classified as long-term debt based on management’s intent and ability to maintain this level of borrowing on a long-term basis either supported by this credit facility or by issuing long-term debt. This classification has no impact on cash flows. As a result of issuances of long-term debt in the three months ended March 31, 2012, as we discuss below, none of the commercial paper outstanding at March 31, 2012 is classified as long-term debt.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2012, SDG&amp;E and SoCalGas entered into a new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 The new facility replaces the $800 million combined credit agreement set to expire in 2014.</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March 31, 2012, SDG&amp;E and SoCalGas had no outstanding borrowings and SDG&amp;E had $237 million variable-rate demand notes outstanding supported by the facility. Available unused credit on the lines at March 31, 2012 was $421 million at SDG&amp;E and $640 million at SoCalGas; SoCalGas’ availability reflects the impact of SDG&amp;E’s use of the combined credit available on the line.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The buyers substantially completed this process in 2011 with regard to existing, open positions. For those guarantees which have not been replaced, the buyers are obligated to indemnify us in accordance with the applicable transaction documents for any claims or losses in connection with the guarantees that we issued associated with the businesses sold.</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March 31, 2012, RBS Sempra Commodities no longer requires significant working capital support. However, we have provided back-up guarantees for a portion of RBS Sempra Commodities’ remaining trading obligations. A few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w:t>
      </w:r>
    </w:p>
    <w:p>
      <w:pPr>
        <w:spacing w:after="0" w:line="18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RBS Sempra Commodities’ net trading liabilities supported by Sempra Energy’s guarantees at March 31, 2012 were negligible, consisting of guaranteed trading obligations net of collateral. The amount of guaranteed net trading liabilities varies from day to day with the value of the trading obligations and related collateral. We discuss additional matters related to our investment in RBS Sempra Commodities in Note 10.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weighted average interest rates on the total short-term debt outstanding at Sempra Energy were 0.72 percent and 0.93 percent at March 31, 2012 and December 31, 2011, respectively. The weighted average interest rates at December 31, 2011 include interest rates for commercial paper borrowings classified as long-term, as we discuss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March 2012, Sempra Energy publicly offered and sold $600 million of 2.3-percent notes maturing in 2017.</w:t>
      </w:r>
    </w:p>
    <w:p>
      <w:pPr>
        <w:sectPr>
          <w:pgSz w:w="11900" w:h="16838" w:orient="portrait"/>
          <w:cols w:equalWidth="0" w:num="1">
            <w:col w:w="11420"/>
          </w:cols>
          <w:pgMar w:left="240" w:top="341"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 March 2012, SDG&amp;E publicly offered and sold $250 million of 4.3-percent first mortgage bonds maturing in 2042.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19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w:t>
      </w:r>
    </w:p>
    <w:p>
      <w:pPr>
        <w:jc w:val="both"/>
        <w:ind w:right="460" w:firstLine="8"/>
        <w:spacing w:after="0" w:line="255"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3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1" w:lineRule="exact"/>
        <w:rPr>
          <w:sz w:val="20"/>
          <w:szCs w:val="20"/>
          <w:color w:val="auto"/>
        </w:rPr>
      </w:pPr>
    </w:p>
    <w:p>
      <w:pPr>
        <w:jc w:val="both"/>
        <w:ind w:left="340" w:hanging="188"/>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20"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3" w:lineRule="exact"/>
        <w:rPr>
          <w:rFonts w:ascii="Arial" w:cs="Arial" w:eastAsia="Arial" w:hAnsi="Arial"/>
          <w:sz w:val="18"/>
          <w:szCs w:val="18"/>
          <w:color w:val="auto"/>
        </w:rPr>
      </w:pPr>
    </w:p>
    <w:p>
      <w:pPr>
        <w:jc w:val="both"/>
        <w:ind w:left="340" w:hanging="188"/>
        <w:spacing w:after="0" w:line="31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Sempra Mexico uses natural gas derivatives and Sempra Natural Gas uses natural gas and electricity derivatives to market energy commodities and optimize the earnings of their natural gas power plants. Gains and losses associated with these undesignated derivatives are recognized in Energy-Related Businesses Revenues or in Cost of Natural Gas, Electric Fuel and Purchased Power on the Condensed Consolidated Statements of Operations.</w:t>
      </w:r>
    </w:p>
    <w:p>
      <w:pPr>
        <w:spacing w:after="0" w:line="173" w:lineRule="exact"/>
        <w:rPr>
          <w:rFonts w:ascii="Arial" w:cs="Arial" w:eastAsia="Arial" w:hAnsi="Arial"/>
          <w:sz w:val="16"/>
          <w:szCs w:val="16"/>
          <w:color w:val="auto"/>
        </w:rPr>
      </w:pPr>
    </w:p>
    <w:p>
      <w:pPr>
        <w:jc w:val="both"/>
        <w:ind w:left="340" w:hanging="188"/>
        <w:spacing w:after="0" w:line="27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Sempra Mexico and Sempra Natural Gas use natural gas derivatives to market energy commodities and optimize the earnings of our liquefied natural gas (LNG) business and Sempra Natural Gas’ natural gas storage and transportation assets and LNG assets. These derivatives are undesignated, and their impact on earnings is recorded in Energy-Related Businesses Revenues on the Condensed Consolidated Statements of Operations.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March 31, 2012 and December 31, 2011 as follows:</w:t>
      </w:r>
    </w:p>
    <w:p>
      <w:pPr>
        <w:sectPr>
          <w:pgSz w:w="11900" w:h="16838" w:orient="portrait"/>
          <w:cols w:equalWidth="0" w:num="1">
            <w:col w:w="11420"/>
          </w:cols>
          <w:pgMar w:left="240" w:top="125" w:right="2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8"/>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180" w:type="dxa"/>
            <w:vAlign w:val="bottom"/>
            <w:tcBorders>
              <w:bottom w:val="single" w:sz="8" w:color="auto"/>
            </w:tcBorders>
          </w:tcPr>
          <w:p>
            <w:pPr>
              <w:jc w:val="right"/>
              <w:ind w:right="1040"/>
              <w:spacing w:after="0"/>
              <w:rPr>
                <w:sz w:val="20"/>
                <w:szCs w:val="20"/>
                <w:color w:val="auto"/>
              </w:rPr>
            </w:pPr>
            <w:r>
              <w:rPr>
                <w:rFonts w:ascii="Arial" w:cs="Arial" w:eastAsia="Arial" w:hAnsi="Arial"/>
                <w:sz w:val="14"/>
                <w:szCs w:val="14"/>
                <w:color w:val="auto"/>
              </w:rPr>
              <w:t>March 31, 2012</w:t>
            </w:r>
          </w:p>
        </w:tc>
        <w:tc>
          <w:tcPr>
            <w:tcW w:w="2900" w:type="dxa"/>
            <w:vAlign w:val="bottom"/>
            <w:tcBorders>
              <w:bottom w:val="single" w:sz="8" w:color="auto"/>
            </w:tcBorders>
          </w:tcPr>
          <w:p>
            <w:pPr>
              <w:jc w:val="right"/>
              <w:ind w:right="1220"/>
              <w:spacing w:after="0"/>
              <w:rPr>
                <w:sz w:val="20"/>
                <w:szCs w:val="20"/>
                <w:color w:val="auto"/>
              </w:rPr>
            </w:pPr>
            <w:r>
              <w:rPr>
                <w:rFonts w:ascii="Arial" w:cs="Arial" w:eastAsia="Arial" w:hAnsi="Arial"/>
                <w:sz w:val="14"/>
                <w:szCs w:val="14"/>
                <w:color w:val="auto"/>
              </w:rPr>
              <w:t>December 31, 2011</w:t>
            </w:r>
          </w:p>
        </w:tc>
      </w:tr>
      <w:tr>
        <w:trPr>
          <w:trHeight w:val="210"/>
        </w:trPr>
        <w:tc>
          <w:tcPr>
            <w:tcW w:w="4340" w:type="dxa"/>
            <w:vAlign w:val="bottom"/>
          </w:tcPr>
          <w:p>
            <w:pPr>
              <w:spacing w:after="0"/>
              <w:rPr>
                <w:sz w:val="20"/>
                <w:szCs w:val="20"/>
                <w:color w:val="auto"/>
              </w:rPr>
            </w:pPr>
            <w:r>
              <w:rPr>
                <w:rFonts w:ascii="Arial" w:cs="Arial" w:eastAsia="Arial" w:hAnsi="Arial"/>
                <w:sz w:val="16"/>
                <w:szCs w:val="16"/>
                <w:color w:val="auto"/>
              </w:rPr>
              <w:t>California Utilities:</w:t>
            </w:r>
          </w:p>
        </w:tc>
        <w:tc>
          <w:tcPr>
            <w:tcW w:w="41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83"/>
        </w:trPr>
        <w:tc>
          <w:tcPr>
            <w:tcW w:w="4340" w:type="dxa"/>
            <w:vAlign w:val="bottom"/>
          </w:tcPr>
          <w:p>
            <w:pPr>
              <w:ind w:left="180"/>
              <w:spacing w:after="0"/>
              <w:rPr>
                <w:sz w:val="20"/>
                <w:szCs w:val="20"/>
                <w:color w:val="auto"/>
              </w:rPr>
            </w:pPr>
            <w:r>
              <w:rPr>
                <w:rFonts w:ascii="Arial" w:cs="Arial" w:eastAsia="Arial" w:hAnsi="Arial"/>
                <w:sz w:val="16"/>
                <w:szCs w:val="16"/>
                <w:color w:val="auto"/>
              </w:rPr>
              <w:t>SDG&amp;E:</w:t>
            </w:r>
          </w:p>
        </w:tc>
        <w:tc>
          <w:tcPr>
            <w:tcW w:w="41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176"/>
        </w:trPr>
        <w:tc>
          <w:tcPr>
            <w:tcW w:w="4340" w:type="dxa"/>
            <w:vAlign w:val="bottom"/>
          </w:tcPr>
          <w:p>
            <w:pPr>
              <w:ind w:left="360"/>
              <w:spacing w:after="0" w:line="176" w:lineRule="exact"/>
              <w:rPr>
                <w:sz w:val="20"/>
                <w:szCs w:val="20"/>
                <w:color w:val="auto"/>
              </w:rPr>
            </w:pPr>
            <w:r>
              <w:rPr>
                <w:rFonts w:ascii="Arial" w:cs="Arial" w:eastAsia="Arial" w:hAnsi="Arial"/>
                <w:sz w:val="16"/>
                <w:szCs w:val="16"/>
                <w:color w:val="auto"/>
              </w:rPr>
              <w:t>Natural gas</w:t>
            </w:r>
          </w:p>
        </w:tc>
        <w:tc>
          <w:tcPr>
            <w:tcW w:w="418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32 million MMBtu</w:t>
            </w:r>
          </w:p>
        </w:tc>
        <w:tc>
          <w:tcPr>
            <w:tcW w:w="290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35 million MMBtu</w:t>
            </w:r>
            <w:r>
              <w:rPr>
                <w:rFonts w:ascii="Arial" w:cs="Arial" w:eastAsia="Arial" w:hAnsi="Arial"/>
                <w:sz w:val="14"/>
                <w:szCs w:val="14"/>
                <w:color w:val="auto"/>
              </w:rPr>
              <w:t>(1)</w:t>
            </w:r>
          </w:p>
        </w:tc>
      </w:tr>
      <w:tr>
        <w:trPr>
          <w:trHeight w:val="202"/>
        </w:trPr>
        <w:tc>
          <w:tcPr>
            <w:tcW w:w="4340" w:type="dxa"/>
            <w:vAlign w:val="bottom"/>
          </w:tcPr>
          <w:p>
            <w:pPr>
              <w:ind w:left="360"/>
              <w:spacing w:after="0"/>
              <w:rPr>
                <w:sz w:val="20"/>
                <w:szCs w:val="20"/>
                <w:color w:val="auto"/>
              </w:rPr>
            </w:pPr>
            <w:r>
              <w:rPr>
                <w:rFonts w:ascii="Arial" w:cs="Arial" w:eastAsia="Arial" w:hAnsi="Arial"/>
                <w:sz w:val="16"/>
                <w:szCs w:val="16"/>
                <w:color w:val="auto"/>
              </w:rPr>
              <w:t>Congestion revenue rights</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17 million MWh</w:t>
            </w:r>
          </w:p>
        </w:tc>
        <w:tc>
          <w:tcPr>
            <w:tcW w:w="2900" w:type="dxa"/>
            <w:vAlign w:val="bottom"/>
          </w:tcPr>
          <w:p>
            <w:pPr>
              <w:jc w:val="right"/>
              <w:ind w:right="400"/>
              <w:spacing w:after="0"/>
              <w:rPr>
                <w:sz w:val="20"/>
                <w:szCs w:val="20"/>
                <w:color w:val="auto"/>
              </w:rPr>
            </w:pPr>
            <w:r>
              <w:rPr>
                <w:rFonts w:ascii="Arial" w:cs="Arial" w:eastAsia="Arial" w:hAnsi="Arial"/>
                <w:sz w:val="16"/>
                <w:szCs w:val="16"/>
                <w:color w:val="auto"/>
              </w:rPr>
              <w:t>19 million MWh</w:t>
            </w:r>
            <w:r>
              <w:rPr>
                <w:rFonts w:ascii="Arial" w:cs="Arial" w:eastAsia="Arial" w:hAnsi="Arial"/>
                <w:sz w:val="14"/>
                <w:szCs w:val="14"/>
                <w:color w:val="auto"/>
              </w:rPr>
              <w:t>(2)</w:t>
            </w:r>
          </w:p>
        </w:tc>
      </w:tr>
      <w:tr>
        <w:trPr>
          <w:trHeight w:val="398"/>
        </w:trPr>
        <w:tc>
          <w:tcPr>
            <w:tcW w:w="43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1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1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4340" w:type="dxa"/>
            <w:vAlign w:val="bottom"/>
          </w:tcPr>
          <w:p>
            <w:pPr>
              <w:ind w:left="360"/>
              <w:spacing w:after="0"/>
              <w:rPr>
                <w:sz w:val="20"/>
                <w:szCs w:val="20"/>
                <w:color w:val="auto"/>
              </w:rPr>
            </w:pPr>
            <w:r>
              <w:rPr>
                <w:rFonts w:ascii="Arial" w:cs="Arial" w:eastAsia="Arial" w:hAnsi="Arial"/>
                <w:sz w:val="16"/>
                <w:szCs w:val="16"/>
                <w:color w:val="auto"/>
              </w:rPr>
              <w:t>Electric power</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4 million MWh</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5 million MWh</w:t>
            </w:r>
          </w:p>
        </w:tc>
      </w:tr>
      <w:tr>
        <w:trPr>
          <w:trHeight w:val="203"/>
        </w:trPr>
        <w:tc>
          <w:tcPr>
            <w:tcW w:w="434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15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20 million MMBtu</w:t>
            </w:r>
          </w:p>
        </w:tc>
      </w:tr>
      <w:tr>
        <w:trPr>
          <w:trHeight w:val="203"/>
        </w:trPr>
        <w:tc>
          <w:tcPr>
            <w:tcW w:w="4340" w:type="dxa"/>
            <w:vAlign w:val="bottom"/>
          </w:tcPr>
          <w:p>
            <w:pPr>
              <w:ind w:left="180"/>
              <w:spacing w:after="0"/>
              <w:rPr>
                <w:sz w:val="20"/>
                <w:szCs w:val="20"/>
                <w:color w:val="auto"/>
              </w:rPr>
            </w:pPr>
            <w:r>
              <w:rPr>
                <w:rFonts w:ascii="Arial" w:cs="Arial" w:eastAsia="Arial" w:hAnsi="Arial"/>
                <w:sz w:val="16"/>
                <w:szCs w:val="16"/>
                <w:color w:val="auto"/>
              </w:rPr>
              <w:t>Sempra Mexico - natural gas</w:t>
            </w:r>
          </w:p>
        </w:tc>
        <w:tc>
          <w:tcPr>
            <w:tcW w:w="4180" w:type="dxa"/>
            <w:vAlign w:val="bottom"/>
          </w:tcPr>
          <w:p>
            <w:pPr>
              <w:jc w:val="right"/>
              <w:ind w:right="240"/>
              <w:spacing w:after="0"/>
              <w:rPr>
                <w:sz w:val="20"/>
                <w:szCs w:val="20"/>
                <w:color w:val="auto"/>
              </w:rPr>
            </w:pPr>
            <w:r>
              <w:rPr>
                <w:rFonts w:ascii="Arial" w:cs="Arial" w:eastAsia="Arial" w:hAnsi="Arial"/>
                <w:sz w:val="16"/>
                <w:szCs w:val="16"/>
                <w:color w:val="auto"/>
              </w:rPr>
              <w:t>1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1 million MMBtu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hanging="389"/>
        <w:spacing w:after="0"/>
        <w:tabs>
          <w:tab w:leader="none" w:pos="6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15" w:lineRule="exact"/>
        <w:rPr>
          <w:rFonts w:ascii="Arial" w:cs="Arial" w:eastAsia="Arial" w:hAnsi="Arial"/>
          <w:sz w:val="14"/>
          <w:szCs w:val="14"/>
          <w:i w:val="1"/>
          <w:iCs w:val="1"/>
          <w:color w:val="auto"/>
        </w:rPr>
      </w:pPr>
    </w:p>
    <w:p>
      <w:pPr>
        <w:ind w:left="620" w:hanging="389"/>
        <w:spacing w:after="0"/>
        <w:tabs>
          <w:tab w:leader="none" w:pos="62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amounts of our interest rate derivatives as of March 31, 2012 and December 31, 2011 were: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March 31, 2012</w:t>
            </w:r>
          </w:p>
        </w:tc>
        <w:tc>
          <w:tcPr>
            <w:tcW w:w="1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2011</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tcPr>
          <w:p>
            <w:pPr>
              <w:spacing w:after="0"/>
              <w:rPr>
                <w:sz w:val="14"/>
                <w:szCs w:val="14"/>
                <w:color w:val="auto"/>
              </w:rPr>
            </w:pPr>
          </w:p>
        </w:tc>
        <w:tc>
          <w:tcPr>
            <w:tcW w:w="1920" w:type="dxa"/>
            <w:vAlign w:val="bottom"/>
          </w:tcPr>
          <w:p>
            <w:pPr>
              <w:jc w:val="right"/>
              <w:ind w:right="943"/>
              <w:spacing w:after="0"/>
              <w:rPr>
                <w:sz w:val="20"/>
                <w:szCs w:val="20"/>
                <w:color w:val="auto"/>
              </w:rPr>
            </w:pPr>
            <w:r>
              <w:rPr>
                <w:rFonts w:ascii="Arial" w:cs="Arial" w:eastAsia="Arial" w:hAnsi="Arial"/>
                <w:sz w:val="14"/>
                <w:szCs w:val="14"/>
                <w:color w:val="auto"/>
              </w:rPr>
              <w:t>Notional Debt</w:t>
            </w:r>
          </w:p>
        </w:tc>
        <w:tc>
          <w:tcPr>
            <w:tcW w:w="1460" w:type="dxa"/>
            <w:vAlign w:val="bottom"/>
          </w:tcPr>
          <w:p>
            <w:pPr>
              <w:jc w:val="right"/>
              <w:ind w:right="682"/>
              <w:spacing w:after="0"/>
              <w:rPr>
                <w:sz w:val="20"/>
                <w:szCs w:val="20"/>
                <w:color w:val="auto"/>
              </w:rPr>
            </w:pPr>
            <w:r>
              <w:rPr>
                <w:rFonts w:ascii="Arial" w:cs="Arial" w:eastAsia="Arial" w:hAnsi="Arial"/>
                <w:sz w:val="14"/>
                <w:szCs w:val="14"/>
                <w:color w:val="auto"/>
              </w:rPr>
              <w:t>Maturities</w:t>
            </w:r>
          </w:p>
        </w:tc>
        <w:tc>
          <w:tcPr>
            <w:tcW w:w="300" w:type="dxa"/>
            <w:vAlign w:val="bottom"/>
          </w:tcPr>
          <w:p>
            <w:pPr>
              <w:spacing w:after="0"/>
              <w:rPr>
                <w:sz w:val="14"/>
                <w:szCs w:val="14"/>
                <w:color w:val="auto"/>
              </w:rPr>
            </w:pPr>
          </w:p>
        </w:tc>
        <w:tc>
          <w:tcPr>
            <w:tcW w:w="2000" w:type="dxa"/>
            <w:vAlign w:val="bottom"/>
          </w:tcPr>
          <w:p>
            <w:pPr>
              <w:jc w:val="right"/>
              <w:ind w:right="1023"/>
              <w:spacing w:after="0"/>
              <w:rPr>
                <w:sz w:val="20"/>
                <w:szCs w:val="20"/>
                <w:color w:val="auto"/>
              </w:rPr>
            </w:pPr>
            <w:r>
              <w:rPr>
                <w:rFonts w:ascii="Arial" w:cs="Arial" w:eastAsia="Arial" w:hAnsi="Arial"/>
                <w:sz w:val="14"/>
                <w:szCs w:val="14"/>
                <w:color w:val="auto"/>
              </w:rPr>
              <w:t>Notional Debt</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Maturities</w:t>
            </w:r>
          </w:p>
        </w:tc>
      </w:tr>
      <w:tr>
        <w:trPr>
          <w:trHeight w:val="164"/>
        </w:trPr>
        <w:tc>
          <w:tcPr>
            <w:tcW w:w="20" w:type="dxa"/>
            <w:vAlign w:val="bottom"/>
          </w:tcPr>
          <w:p>
            <w:pPr>
              <w:spacing w:after="0"/>
              <w:rPr>
                <w:sz w:val="14"/>
                <w:szCs w:val="14"/>
                <w:color w:val="auto"/>
              </w:rPr>
            </w:pPr>
          </w:p>
        </w:tc>
        <w:tc>
          <w:tcPr>
            <w:tcW w:w="40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Consolidated(1)</w:t>
            </w:r>
          </w:p>
        </w:tc>
        <w:tc>
          <w:tcPr>
            <w:tcW w:w="5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tcPr>
          <w:p>
            <w:pPr>
              <w:jc w:val="right"/>
              <w:ind w:right="423"/>
              <w:spacing w:after="0" w:line="164" w:lineRule="exact"/>
              <w:rPr>
                <w:sz w:val="20"/>
                <w:szCs w:val="20"/>
                <w:color w:val="auto"/>
              </w:rPr>
            </w:pPr>
            <w:r>
              <w:rPr>
                <w:rFonts w:ascii="Arial" w:cs="Arial" w:eastAsia="Arial" w:hAnsi="Arial"/>
                <w:sz w:val="16"/>
                <w:szCs w:val="16"/>
                <w:color w:val="auto"/>
              </w:rPr>
              <w:t>15-305</w:t>
            </w:r>
          </w:p>
        </w:tc>
        <w:tc>
          <w:tcPr>
            <w:tcW w:w="1460" w:type="dxa"/>
            <w:vAlign w:val="bottom"/>
            <w:tcBorders>
              <w:top w:val="single" w:sz="8" w:color="auto"/>
            </w:tcBorders>
          </w:tcPr>
          <w:p>
            <w:pPr>
              <w:jc w:val="right"/>
              <w:ind w:right="122"/>
              <w:spacing w:after="0" w:line="164" w:lineRule="exact"/>
              <w:rPr>
                <w:sz w:val="20"/>
                <w:szCs w:val="20"/>
                <w:color w:val="auto"/>
              </w:rPr>
            </w:pPr>
            <w:r>
              <w:rPr>
                <w:rFonts w:ascii="Arial" w:cs="Arial" w:eastAsia="Arial" w:hAnsi="Arial"/>
                <w:sz w:val="16"/>
                <w:szCs w:val="16"/>
                <w:color w:val="auto"/>
              </w:rPr>
              <w:t>2013-2019</w:t>
            </w:r>
          </w:p>
        </w:tc>
        <w:tc>
          <w:tcPr>
            <w:tcW w:w="3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483"/>
              <w:spacing w:after="0" w:line="164" w:lineRule="exact"/>
              <w:rPr>
                <w:sz w:val="20"/>
                <w:szCs w:val="20"/>
                <w:color w:val="auto"/>
              </w:rPr>
            </w:pPr>
            <w:r>
              <w:rPr>
                <w:rFonts w:ascii="Arial" w:cs="Arial" w:eastAsia="Arial" w:hAnsi="Arial"/>
                <w:sz w:val="16"/>
                <w:szCs w:val="16"/>
                <w:color w:val="auto"/>
              </w:rPr>
              <w:t>15-305</w:t>
            </w: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2013-2019</w:t>
            </w:r>
          </w:p>
        </w:tc>
        <w:tc>
          <w:tcPr>
            <w:tcW w:w="20" w:type="dxa"/>
            <w:vAlign w:val="bottom"/>
          </w:tcPr>
          <w:p>
            <w:pPr>
              <w:spacing w:after="0"/>
              <w:rPr>
                <w:sz w:val="14"/>
                <w:szCs w:val="14"/>
                <w:color w:val="auto"/>
              </w:rPr>
            </w:pPr>
          </w:p>
        </w:tc>
      </w:tr>
      <w:tr>
        <w:trPr>
          <w:trHeight w:val="195"/>
        </w:trPr>
        <w:tc>
          <w:tcPr>
            <w:tcW w:w="4020" w:type="dxa"/>
            <w:vAlign w:val="bottom"/>
            <w:gridSpan w:val="2"/>
          </w:tcPr>
          <w:p>
            <w:pPr>
              <w:spacing w:after="0"/>
              <w:rPr>
                <w:sz w:val="20"/>
                <w:szCs w:val="20"/>
                <w:color w:val="auto"/>
              </w:rPr>
            </w:pPr>
            <w:r>
              <w:rPr>
                <w:rFonts w:ascii="Arial" w:cs="Arial" w:eastAsia="Arial" w:hAnsi="Arial"/>
                <w:sz w:val="16"/>
                <w:szCs w:val="16"/>
                <w:color w:val="auto"/>
              </w:rPr>
              <w:t>SDG&amp;E(1)</w:t>
            </w:r>
          </w:p>
        </w:tc>
        <w:tc>
          <w:tcPr>
            <w:tcW w:w="500" w:type="dxa"/>
            <w:vAlign w:val="bottom"/>
          </w:tcPr>
          <w:p>
            <w:pPr>
              <w:spacing w:after="0"/>
              <w:rPr>
                <w:sz w:val="16"/>
                <w:szCs w:val="16"/>
                <w:color w:val="auto"/>
              </w:rPr>
            </w:pPr>
          </w:p>
        </w:tc>
        <w:tc>
          <w:tcPr>
            <w:tcW w:w="1920" w:type="dxa"/>
            <w:vAlign w:val="bottom"/>
          </w:tcPr>
          <w:p>
            <w:pPr>
              <w:jc w:val="right"/>
              <w:ind w:right="423"/>
              <w:spacing w:after="0"/>
              <w:rPr>
                <w:sz w:val="20"/>
                <w:szCs w:val="20"/>
                <w:color w:val="auto"/>
              </w:rPr>
            </w:pPr>
            <w:r>
              <w:rPr>
                <w:rFonts w:ascii="Arial" w:cs="Arial" w:eastAsia="Arial" w:hAnsi="Arial"/>
                <w:sz w:val="16"/>
                <w:szCs w:val="16"/>
                <w:color w:val="auto"/>
              </w:rPr>
              <w:t>285-352</w:t>
            </w: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6"/>
                <w:szCs w:val="16"/>
                <w:color w:val="auto"/>
              </w:rPr>
            </w:pPr>
          </w:p>
        </w:tc>
        <w:tc>
          <w:tcPr>
            <w:tcW w:w="2000" w:type="dxa"/>
            <w:vAlign w:val="bottom"/>
          </w:tcPr>
          <w:p>
            <w:pPr>
              <w:jc w:val="right"/>
              <w:ind w:right="483"/>
              <w:spacing w:after="0"/>
              <w:rPr>
                <w:sz w:val="20"/>
                <w:szCs w:val="20"/>
                <w:color w:val="auto"/>
              </w:rPr>
            </w:pPr>
            <w:r>
              <w:rPr>
                <w:rFonts w:ascii="Arial" w:cs="Arial" w:eastAsia="Arial" w:hAnsi="Arial"/>
                <w:sz w:val="16"/>
                <w:szCs w:val="16"/>
                <w:color w:val="auto"/>
              </w:rPr>
              <w:t>285-355</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40" w:hanging="403"/>
        <w:spacing w:after="0"/>
        <w:tabs>
          <w:tab w:leader="none" w:pos="64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exposed to exchange rate movements primarily as a result of our Mexican subsidiaries, which have U.S. dollar denominated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3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tables provide the fair values of derivative instruments, without consideration of margin deposits held or posted, on the Condensed Consolidated Balance Sheets as of March 31, 2012 and December 31, 2011:</w:t>
      </w:r>
    </w:p>
    <w:p>
      <w:pPr>
        <w:spacing w:after="0" w:line="200" w:lineRule="exact"/>
        <w:rPr>
          <w:sz w:val="20"/>
          <w:szCs w:val="20"/>
          <w:color w:val="auto"/>
        </w:rPr>
      </w:pPr>
    </w:p>
    <w:p>
      <w:pPr>
        <w:spacing w:after="0" w:line="210" w:lineRule="exact"/>
        <w:rPr>
          <w:sz w:val="20"/>
          <w:szCs w:val="20"/>
          <w:color w:val="auto"/>
        </w:rPr>
      </w:pPr>
    </w:p>
    <w:p>
      <w:pPr>
        <w:ind w:right="4640"/>
        <w:spacing w:after="0" w:line="243"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1022"/>
              <w:spacing w:after="0" w:line="159" w:lineRule="exact"/>
              <w:rPr>
                <w:sz w:val="20"/>
                <w:szCs w:val="20"/>
                <w:color w:val="auto"/>
              </w:rPr>
            </w:pPr>
            <w:r>
              <w:rPr>
                <w:rFonts w:ascii="Arial" w:cs="Arial" w:eastAsia="Arial" w:hAnsi="Arial"/>
                <w:sz w:val="14"/>
                <w:szCs w:val="14"/>
                <w:color w:val="auto"/>
              </w:rPr>
              <w:t>March 31, 2012</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Deferred</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4"/>
        </w:trPr>
        <w:tc>
          <w:tcPr>
            <w:tcW w:w="5200" w:type="dxa"/>
            <w:vAlign w:val="bottom"/>
            <w:gridSpan w:val="2"/>
          </w:tcPr>
          <w:p>
            <w:pPr>
              <w:spacing w:after="0" w:line="137" w:lineRule="exact"/>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4"/>
                <w:szCs w:val="14"/>
                <w:color w:val="auto"/>
              </w:rPr>
            </w:pPr>
          </w:p>
        </w:tc>
        <w:tc>
          <w:tcPr>
            <w:tcW w:w="1260" w:type="dxa"/>
            <w:vAlign w:val="bottom"/>
          </w:tcPr>
          <w:p>
            <w:pPr>
              <w:jc w:val="center"/>
              <w:ind w:right="102"/>
              <w:spacing w:after="0" w:line="137" w:lineRule="exact"/>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4"/>
                <w:szCs w:val="14"/>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color w:val="auto"/>
                <w:w w:val="99"/>
              </w:rPr>
              <w:t>Sundry</w:t>
            </w:r>
          </w:p>
        </w:tc>
        <w:tc>
          <w:tcPr>
            <w:tcW w:w="280" w:type="dxa"/>
            <w:vAlign w:val="bottom"/>
          </w:tcPr>
          <w:p>
            <w:pPr>
              <w:spacing w:after="0"/>
              <w:rPr>
                <w:sz w:val="14"/>
                <w:szCs w:val="14"/>
                <w:color w:val="auto"/>
              </w:rPr>
            </w:pPr>
          </w:p>
        </w:tc>
        <w:tc>
          <w:tcPr>
            <w:tcW w:w="1280" w:type="dxa"/>
            <w:vAlign w:val="bottom"/>
          </w:tcPr>
          <w:p>
            <w:pPr>
              <w:jc w:val="center"/>
              <w:ind w:right="102"/>
              <w:spacing w:after="0" w:line="137" w:lineRule="exact"/>
              <w:rPr>
                <w:sz w:val="20"/>
                <w:szCs w:val="20"/>
                <w:color w:val="auto"/>
              </w:rPr>
            </w:pPr>
            <w:r>
              <w:rPr>
                <w:rFonts w:ascii="Arial" w:cs="Arial" w:eastAsia="Arial" w:hAnsi="Arial"/>
                <w:sz w:val="14"/>
                <w:szCs w:val="14"/>
                <w:color w:val="auto"/>
              </w:rPr>
              <w:t>derivatives(2)</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line="137" w:lineRule="exact"/>
              <w:rPr>
                <w:sz w:val="20"/>
                <w:szCs w:val="20"/>
                <w:color w:val="auto"/>
              </w:rPr>
            </w:pPr>
            <w:r>
              <w:rPr>
                <w:rFonts w:ascii="Arial" w:cs="Arial" w:eastAsia="Arial" w:hAnsi="Arial"/>
                <w:sz w:val="14"/>
                <w:szCs w:val="14"/>
                <w:color w:val="auto"/>
              </w:rPr>
              <w:t>derivatives</w:t>
            </w: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6"/>
                <w:szCs w:val="16"/>
                <w:color w:val="auto"/>
              </w:rPr>
            </w:pPr>
          </w:p>
        </w:tc>
      </w:tr>
      <w:tr>
        <w:trPr>
          <w:trHeight w:val="34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37</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(8)</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(31)</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234</w:t>
            </w:r>
          </w:p>
        </w:tc>
        <w:tc>
          <w:tcPr>
            <w:tcW w:w="300" w:type="dxa"/>
            <w:vAlign w:val="bottom"/>
          </w:tcPr>
          <w:p>
            <w:pPr>
              <w:spacing w:after="0"/>
              <w:rPr>
                <w:sz w:val="15"/>
                <w:szCs w:val="15"/>
                <w:color w:val="auto"/>
              </w:rPr>
            </w:pP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23</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(232)</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(40)</w:t>
            </w:r>
          </w:p>
        </w:tc>
      </w:tr>
      <w:tr>
        <w:trPr>
          <w:trHeight w:val="176"/>
        </w:trPr>
        <w:tc>
          <w:tcPr>
            <w:tcW w:w="20" w:type="dxa"/>
            <w:vAlign w:val="bottom"/>
          </w:tcPr>
          <w:p>
            <w:pPr>
              <w:spacing w:after="0"/>
              <w:rPr>
                <w:sz w:val="15"/>
                <w:szCs w:val="15"/>
                <w:color w:val="auto"/>
              </w:rPr>
            </w:pPr>
          </w:p>
        </w:tc>
        <w:tc>
          <w:tcPr>
            <w:tcW w:w="5180" w:type="dxa"/>
            <w:vAlign w:val="bottom"/>
          </w:tcPr>
          <w:p>
            <w:pPr>
              <w:ind w:left="340"/>
              <w:spacing w:after="0" w:line="176" w:lineRule="exact"/>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5"/>
                <w:szCs w:val="15"/>
                <w:color w:val="auto"/>
              </w:rPr>
            </w:pPr>
          </w:p>
        </w:tc>
        <w:tc>
          <w:tcPr>
            <w:tcW w:w="1260" w:type="dxa"/>
            <w:vAlign w:val="bottom"/>
          </w:tcPr>
          <w:p>
            <w:pPr>
              <w:jc w:val="right"/>
              <w:ind w:right="2"/>
              <w:spacing w:after="0" w:line="176" w:lineRule="exact"/>
              <w:rPr>
                <w:sz w:val="20"/>
                <w:szCs w:val="20"/>
                <w:color w:val="auto"/>
              </w:rPr>
            </w:pPr>
            <w:r>
              <w:rPr>
                <w:rFonts w:ascii="Arial" w:cs="Arial" w:eastAsia="Arial" w:hAnsi="Arial"/>
                <w:sz w:val="16"/>
                <w:szCs w:val="16"/>
                <w:color w:val="auto"/>
              </w:rPr>
              <w:t>(208)</w:t>
            </w:r>
          </w:p>
        </w:tc>
        <w:tc>
          <w:tcPr>
            <w:tcW w:w="300" w:type="dxa"/>
            <w:vAlign w:val="bottom"/>
          </w:tcPr>
          <w:p>
            <w:pPr>
              <w:spacing w:after="0"/>
              <w:rPr>
                <w:sz w:val="15"/>
                <w:szCs w:val="15"/>
                <w:color w:val="auto"/>
              </w:rPr>
            </w:pPr>
          </w:p>
        </w:tc>
        <w:tc>
          <w:tcPr>
            <w:tcW w:w="1240" w:type="dxa"/>
            <w:vAlign w:val="bottom"/>
          </w:tcPr>
          <w:p>
            <w:pPr>
              <w:jc w:val="right"/>
              <w:ind w:right="2"/>
              <w:spacing w:after="0" w:line="176" w:lineRule="exact"/>
              <w:rPr>
                <w:sz w:val="20"/>
                <w:szCs w:val="20"/>
                <w:color w:val="auto"/>
              </w:rPr>
            </w:pPr>
            <w:r>
              <w:rPr>
                <w:rFonts w:ascii="Arial" w:cs="Arial" w:eastAsia="Arial" w:hAnsi="Arial"/>
                <w:sz w:val="16"/>
                <w:szCs w:val="16"/>
                <w:color w:val="auto"/>
              </w:rPr>
              <w:t>(19)</w:t>
            </w:r>
          </w:p>
        </w:tc>
        <w:tc>
          <w:tcPr>
            <w:tcW w:w="280" w:type="dxa"/>
            <w:vAlign w:val="bottom"/>
          </w:tcPr>
          <w:p>
            <w:pPr>
              <w:spacing w:after="0"/>
              <w:rPr>
                <w:sz w:val="15"/>
                <w:szCs w:val="15"/>
                <w:color w:val="auto"/>
              </w:rPr>
            </w:pPr>
          </w:p>
        </w:tc>
        <w:tc>
          <w:tcPr>
            <w:tcW w:w="12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208</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21</w:t>
            </w:r>
          </w:p>
        </w:tc>
        <w:tc>
          <w:tcPr>
            <w:tcW w:w="300" w:type="dxa"/>
            <w:vAlign w:val="bottom"/>
          </w:tcPr>
          <w:p>
            <w:pPr>
              <w:spacing w:after="0"/>
              <w:rPr>
                <w:sz w:val="15"/>
                <w:szCs w:val="15"/>
                <w:color w:val="auto"/>
              </w:rPr>
            </w:pP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7</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(69)</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(23)</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49</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47</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(95)</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18</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7</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(66)</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(23)</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bl>
    <w:p>
      <w:pPr>
        <w:sectPr>
          <w:pgSz w:w="11900" w:h="16838" w:orient="portrait"/>
          <w:cols w:equalWidth="0" w:num="1">
            <w:col w:w="11420"/>
          </w:cols>
          <w:pgMar w:left="240" w:top="316"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w:t>
            </w:r>
          </w:p>
        </w:tc>
        <w:tc>
          <w:tcPr>
            <w:tcW w:w="7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left="439"/>
              <w:spacing w:after="0"/>
              <w:rPr>
                <w:sz w:val="20"/>
                <w:szCs w:val="20"/>
                <w:color w:val="auto"/>
              </w:rPr>
            </w:pPr>
            <w:r>
              <w:rPr>
                <w:rFonts w:ascii="Arial" w:cs="Arial" w:eastAsia="Arial" w:hAnsi="Arial"/>
                <w:sz w:val="16"/>
                <w:szCs w:val="16"/>
                <w:color w:val="auto"/>
                <w:w w:val="98"/>
              </w:rPr>
              <w:t>(22)</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7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78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w:t>
            </w:r>
          </w:p>
        </w:tc>
        <w:tc>
          <w:tcPr>
            <w:tcW w:w="720" w:type="dxa"/>
            <w:vAlign w:val="bottom"/>
          </w:tcPr>
          <w:p>
            <w:pPr>
              <w:jc w:val="right"/>
              <w:ind w:right="459"/>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left="479"/>
              <w:spacing w:after="0" w:line="176" w:lineRule="exact"/>
              <w:rPr>
                <w:sz w:val="20"/>
                <w:szCs w:val="20"/>
                <w:color w:val="auto"/>
              </w:rPr>
            </w:pPr>
            <w:r>
              <w:rPr>
                <w:rFonts w:ascii="Arial" w:cs="Arial" w:eastAsia="Arial" w:hAnsi="Arial"/>
                <w:sz w:val="16"/>
                <w:szCs w:val="16"/>
                <w:color w:val="auto"/>
                <w:w w:val="99"/>
              </w:rPr>
              <w:t>―</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780" w:type="dxa"/>
            <w:vAlign w:val="bottom"/>
          </w:tcPr>
          <w:p>
            <w:pPr>
              <w:spacing w:after="0"/>
              <w:rPr>
                <w:sz w:val="15"/>
                <w:szCs w:val="15"/>
                <w:color w:val="auto"/>
              </w:rPr>
            </w:pPr>
          </w:p>
        </w:tc>
        <w:tc>
          <w:tcPr>
            <w:tcW w:w="8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w:t>
            </w:r>
          </w:p>
        </w:tc>
        <w:tc>
          <w:tcPr>
            <w:tcW w:w="720" w:type="dxa"/>
            <w:vAlign w:val="bottom"/>
          </w:tcPr>
          <w:p>
            <w:pPr>
              <w:spacing w:after="0"/>
              <w:rPr>
                <w:sz w:val="15"/>
                <w:szCs w:val="15"/>
                <w:color w:val="auto"/>
              </w:rPr>
            </w:pPr>
          </w:p>
        </w:tc>
        <w:tc>
          <w:tcPr>
            <w:tcW w:w="80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680" w:type="dxa"/>
            <w:vAlign w:val="bottom"/>
          </w:tcPr>
          <w:p>
            <w:pPr>
              <w:spacing w:after="0"/>
              <w:rPr>
                <w:sz w:val="15"/>
                <w:szCs w:val="15"/>
                <w:color w:val="auto"/>
              </w:rPr>
            </w:pPr>
          </w:p>
        </w:tc>
        <w:tc>
          <w:tcPr>
            <w:tcW w:w="840" w:type="dxa"/>
            <w:vAlign w:val="bottom"/>
            <w:gridSpan w:val="2"/>
          </w:tcPr>
          <w:p>
            <w:pPr>
              <w:jc w:val="center"/>
              <w:ind w:left="479"/>
              <w:spacing w:after="0" w:line="176" w:lineRule="exact"/>
              <w:rPr>
                <w:sz w:val="20"/>
                <w:szCs w:val="20"/>
                <w:color w:val="auto"/>
              </w:rPr>
            </w:pPr>
            <w:r>
              <w:rPr>
                <w:rFonts w:ascii="Arial" w:cs="Arial" w:eastAsia="Arial" w:hAnsi="Arial"/>
                <w:sz w:val="16"/>
                <w:szCs w:val="16"/>
                <w:color w:val="auto"/>
                <w:w w:val="99"/>
              </w:rPr>
              <w:t>―</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7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680" w:type="dxa"/>
            <w:vAlign w:val="bottom"/>
          </w:tcPr>
          <w:p>
            <w:pPr>
              <w:spacing w:after="0"/>
              <w:rPr>
                <w:sz w:val="16"/>
                <w:szCs w:val="16"/>
                <w:color w:val="auto"/>
              </w:rPr>
            </w:pPr>
          </w:p>
        </w:tc>
        <w:tc>
          <w:tcPr>
            <w:tcW w:w="840" w:type="dxa"/>
            <w:vAlign w:val="bottom"/>
            <w:gridSpan w:val="2"/>
          </w:tcPr>
          <w:p>
            <w:pPr>
              <w:jc w:val="center"/>
              <w:ind w:left="479"/>
              <w:spacing w:after="0"/>
              <w:rPr>
                <w:sz w:val="20"/>
                <w:szCs w:val="20"/>
                <w:color w:val="auto"/>
              </w:rPr>
            </w:pPr>
            <w:r>
              <w:rPr>
                <w:rFonts w:ascii="Arial" w:cs="Arial" w:eastAsia="Arial" w:hAnsi="Arial"/>
                <w:sz w:val="16"/>
                <w:szCs w:val="16"/>
                <w:color w:val="auto"/>
                <w:w w:val="99"/>
              </w:rPr>
              <w:t>―</w:t>
            </w:r>
          </w:p>
        </w:tc>
      </w:tr>
      <w:tr>
        <w:trPr>
          <w:trHeight w:val="195"/>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7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center"/>
              <w:ind w:left="499"/>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330"/>
        <w:spacing w:after="0"/>
        <w:tabs>
          <w:tab w:leader="none" w:pos="5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00" w:hanging="330"/>
        <w:spacing w:after="0"/>
        <w:tabs>
          <w:tab w:leader="none" w:pos="5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330"/>
        <w:spacing w:after="0"/>
        <w:tabs>
          <w:tab w:leader="none" w:pos="5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640"/>
        <w:spacing w:after="0" w:line="243"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902"/>
              <w:spacing w:after="0" w:line="159" w:lineRule="exact"/>
              <w:rPr>
                <w:sz w:val="20"/>
                <w:szCs w:val="20"/>
                <w:color w:val="auto"/>
              </w:rPr>
            </w:pPr>
            <w:r>
              <w:rPr>
                <w:rFonts w:ascii="Arial" w:cs="Arial" w:eastAsia="Arial" w:hAnsi="Arial"/>
                <w:sz w:val="14"/>
                <w:szCs w:val="14"/>
                <w:color w:val="auto"/>
              </w:rPr>
              <w:t>December 31, 2011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Deferred</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4"/>
        </w:trPr>
        <w:tc>
          <w:tcPr>
            <w:tcW w:w="5200" w:type="dxa"/>
            <w:vAlign w:val="bottom"/>
            <w:gridSpan w:val="2"/>
          </w:tcPr>
          <w:p>
            <w:pPr>
              <w:spacing w:after="0" w:line="157" w:lineRule="exact"/>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4"/>
                <w:szCs w:val="14"/>
                <w:color w:val="auto"/>
              </w:rPr>
            </w:pPr>
          </w:p>
        </w:tc>
        <w:tc>
          <w:tcPr>
            <w:tcW w:w="1260" w:type="dxa"/>
            <w:vAlign w:val="bottom"/>
          </w:tcPr>
          <w:p>
            <w:pPr>
              <w:jc w:val="center"/>
              <w:ind w:right="102"/>
              <w:spacing w:after="0" w:line="157" w:lineRule="exact"/>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4"/>
                <w:szCs w:val="14"/>
                <w:color w:val="auto"/>
              </w:rPr>
            </w:pPr>
          </w:p>
        </w:tc>
        <w:tc>
          <w:tcPr>
            <w:tcW w:w="1240" w:type="dxa"/>
            <w:vAlign w:val="bottom"/>
          </w:tcPr>
          <w:p>
            <w:pPr>
              <w:jc w:val="center"/>
              <w:ind w:right="121"/>
              <w:spacing w:after="0" w:line="157" w:lineRule="exact"/>
              <w:rPr>
                <w:sz w:val="20"/>
                <w:szCs w:val="20"/>
                <w:color w:val="auto"/>
              </w:rPr>
            </w:pPr>
            <w:r>
              <w:rPr>
                <w:rFonts w:ascii="Arial" w:cs="Arial" w:eastAsia="Arial" w:hAnsi="Arial"/>
                <w:sz w:val="14"/>
                <w:szCs w:val="14"/>
                <w:color w:val="auto"/>
                <w:w w:val="99"/>
              </w:rPr>
              <w:t>Sundry</w:t>
            </w:r>
          </w:p>
        </w:tc>
        <w:tc>
          <w:tcPr>
            <w:tcW w:w="280" w:type="dxa"/>
            <w:vAlign w:val="bottom"/>
          </w:tcPr>
          <w:p>
            <w:pPr>
              <w:spacing w:after="0"/>
              <w:rPr>
                <w:sz w:val="14"/>
                <w:szCs w:val="14"/>
                <w:color w:val="auto"/>
              </w:rPr>
            </w:pPr>
          </w:p>
        </w:tc>
        <w:tc>
          <w:tcPr>
            <w:tcW w:w="1280" w:type="dxa"/>
            <w:vAlign w:val="bottom"/>
          </w:tcPr>
          <w:p>
            <w:pPr>
              <w:jc w:val="center"/>
              <w:ind w:right="102"/>
              <w:spacing w:after="0" w:line="157" w:lineRule="exact"/>
              <w:rPr>
                <w:sz w:val="20"/>
                <w:szCs w:val="20"/>
                <w:color w:val="auto"/>
              </w:rPr>
            </w:pPr>
            <w:r>
              <w:rPr>
                <w:rFonts w:ascii="Arial" w:cs="Arial" w:eastAsia="Arial" w:hAnsi="Arial"/>
                <w:sz w:val="14"/>
                <w:szCs w:val="14"/>
                <w:color w:val="auto"/>
              </w:rPr>
              <w:t>derivatives(2)</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line="157" w:lineRule="exact"/>
              <w:rPr>
                <w:sz w:val="20"/>
                <w:szCs w:val="20"/>
                <w:color w:val="auto"/>
              </w:rPr>
            </w:pPr>
            <w:r>
              <w:rPr>
                <w:rFonts w:ascii="Arial" w:cs="Arial" w:eastAsia="Arial" w:hAnsi="Arial"/>
                <w:sz w:val="14"/>
                <w:szCs w:val="14"/>
                <w:color w:val="auto"/>
              </w:rPr>
              <w:t>derivatives</w:t>
            </w:r>
          </w:p>
        </w:tc>
      </w:tr>
      <w:tr>
        <w:trPr>
          <w:trHeight w:val="164"/>
        </w:trPr>
        <w:tc>
          <w:tcPr>
            <w:tcW w:w="520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r>
      <w:tr>
        <w:trPr>
          <w:trHeight w:val="372"/>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41</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(7)</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(36)</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156</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72</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(148)</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(94)</w:t>
            </w:r>
          </w:p>
        </w:tc>
      </w:tr>
      <w:tr>
        <w:trPr>
          <w:trHeight w:val="176"/>
        </w:trPr>
        <w:tc>
          <w:tcPr>
            <w:tcW w:w="20" w:type="dxa"/>
            <w:vAlign w:val="bottom"/>
          </w:tcPr>
          <w:p>
            <w:pPr>
              <w:spacing w:after="0"/>
              <w:rPr>
                <w:sz w:val="15"/>
                <w:szCs w:val="15"/>
                <w:color w:val="auto"/>
              </w:rPr>
            </w:pPr>
          </w:p>
        </w:tc>
        <w:tc>
          <w:tcPr>
            <w:tcW w:w="5180" w:type="dxa"/>
            <w:vAlign w:val="bottom"/>
          </w:tcPr>
          <w:p>
            <w:pPr>
              <w:ind w:left="340"/>
              <w:spacing w:after="0" w:line="176" w:lineRule="exact"/>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5"/>
                <w:szCs w:val="15"/>
                <w:color w:val="auto"/>
              </w:rPr>
            </w:pPr>
          </w:p>
        </w:tc>
        <w:tc>
          <w:tcPr>
            <w:tcW w:w="1260" w:type="dxa"/>
            <w:vAlign w:val="bottom"/>
          </w:tcPr>
          <w:p>
            <w:pPr>
              <w:jc w:val="right"/>
              <w:ind w:right="2"/>
              <w:spacing w:after="0" w:line="176" w:lineRule="exact"/>
              <w:rPr>
                <w:sz w:val="20"/>
                <w:szCs w:val="20"/>
                <w:color w:val="auto"/>
              </w:rPr>
            </w:pPr>
            <w:r>
              <w:rPr>
                <w:rFonts w:ascii="Arial" w:cs="Arial" w:eastAsia="Arial" w:hAnsi="Arial"/>
                <w:sz w:val="16"/>
                <w:szCs w:val="16"/>
                <w:color w:val="auto"/>
              </w:rPr>
              <w:t>(120)</w:t>
            </w:r>
          </w:p>
        </w:tc>
        <w:tc>
          <w:tcPr>
            <w:tcW w:w="300" w:type="dxa"/>
            <w:vAlign w:val="bottom"/>
          </w:tcPr>
          <w:p>
            <w:pPr>
              <w:spacing w:after="0"/>
              <w:rPr>
                <w:sz w:val="15"/>
                <w:szCs w:val="15"/>
                <w:color w:val="auto"/>
              </w:rPr>
            </w:pPr>
          </w:p>
        </w:tc>
        <w:tc>
          <w:tcPr>
            <w:tcW w:w="1240" w:type="dxa"/>
            <w:vAlign w:val="bottom"/>
          </w:tcPr>
          <w:p>
            <w:pPr>
              <w:jc w:val="right"/>
              <w:ind w:right="1"/>
              <w:spacing w:after="0" w:line="176" w:lineRule="exact"/>
              <w:rPr>
                <w:sz w:val="20"/>
                <w:szCs w:val="20"/>
                <w:color w:val="auto"/>
              </w:rPr>
            </w:pPr>
            <w:r>
              <w:rPr>
                <w:rFonts w:ascii="Arial" w:cs="Arial" w:eastAsia="Arial" w:hAnsi="Arial"/>
                <w:sz w:val="16"/>
                <w:szCs w:val="16"/>
                <w:color w:val="auto"/>
              </w:rPr>
              <w:t>(68)</w:t>
            </w:r>
          </w:p>
        </w:tc>
        <w:tc>
          <w:tcPr>
            <w:tcW w:w="280" w:type="dxa"/>
            <w:vAlign w:val="bottom"/>
          </w:tcPr>
          <w:p>
            <w:pPr>
              <w:spacing w:after="0"/>
              <w:rPr>
                <w:sz w:val="15"/>
                <w:szCs w:val="15"/>
                <w:color w:val="auto"/>
              </w:rPr>
            </w:pPr>
          </w:p>
        </w:tc>
        <w:tc>
          <w:tcPr>
            <w:tcW w:w="12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120</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28</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8</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(62)</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(24)</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62</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51</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(87)</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22</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8</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(55)</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(24)</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6</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(7)</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6"/>
                <w:szCs w:val="16"/>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330"/>
        <w:spacing w:after="0"/>
        <w:tabs>
          <w:tab w:leader="none" w:pos="5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00" w:hanging="330"/>
        <w:spacing w:after="0"/>
        <w:tabs>
          <w:tab w:leader="none" w:pos="5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330"/>
        <w:spacing w:after="0"/>
        <w:tabs>
          <w:tab w:leader="none" w:pos="5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designated as hedges on the Condensed Consolidated Statements of Operations and on Other Comprehensive Income (OCI) and Accumulated Other Comprehensive Income (AOCI) for the three months ended March 31 were:</w:t>
      </w:r>
    </w:p>
    <w:p>
      <w:pPr>
        <w:spacing w:after="0" w:line="167" w:lineRule="exact"/>
        <w:rPr>
          <w:sz w:val="20"/>
          <w:szCs w:val="20"/>
          <w:color w:val="auto"/>
        </w:rPr>
      </w:pPr>
    </w:p>
    <w:p>
      <w:pPr>
        <w:ind w:right="3620"/>
        <w:spacing w:after="0" w:line="243" w:lineRule="auto"/>
        <w:rPr>
          <w:sz w:val="20"/>
          <w:szCs w:val="20"/>
          <w:color w:val="auto"/>
        </w:rPr>
      </w:pPr>
      <w:r>
        <w:rPr>
          <w:rFonts w:ascii="Arial" w:cs="Arial" w:eastAsia="Arial" w:hAnsi="Arial"/>
          <w:sz w:val="16"/>
          <w:szCs w:val="16"/>
          <w:b w:val="1"/>
          <w:bCs w:val="1"/>
          <w:color w:val="auto"/>
        </w:rPr>
        <w:t xml:space="preserve">FAIR VALUE HEDGE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3"/>
          </w:tcPr>
          <w:p>
            <w:pPr>
              <w:jc w:val="right"/>
              <w:ind w:right="1060"/>
              <w:spacing w:after="0" w:line="159" w:lineRule="exact"/>
              <w:rPr>
                <w:sz w:val="20"/>
                <w:szCs w:val="20"/>
                <w:color w:val="auto"/>
              </w:rPr>
            </w:pPr>
            <w:r>
              <w:rPr>
                <w:rFonts w:ascii="Arial" w:cs="Arial" w:eastAsia="Arial" w:hAnsi="Arial"/>
                <w:sz w:val="14"/>
                <w:szCs w:val="14"/>
                <w:color w:val="auto"/>
              </w:rPr>
              <w:t>Gain (loss) on derivatives recognized in earnings</w:t>
            </w: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 March 31,</w:t>
            </w:r>
          </w:p>
        </w:tc>
        <w:tc>
          <w:tcPr>
            <w:tcW w:w="160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Location</w:t>
            </w:r>
          </w:p>
        </w:tc>
        <w:tc>
          <w:tcPr>
            <w:tcW w:w="9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382"/>
              <w:spacing w:after="0"/>
              <w:rPr>
                <w:sz w:val="20"/>
                <w:szCs w:val="20"/>
                <w:color w:val="auto"/>
              </w:rPr>
            </w:pPr>
            <w:r>
              <w:rPr>
                <w:rFonts w:ascii="Arial" w:cs="Arial" w:eastAsia="Arial" w:hAnsi="Arial"/>
                <w:sz w:val="14"/>
                <w:szCs w:val="14"/>
                <w:color w:val="auto"/>
              </w:rPr>
              <w:t>2012</w:t>
            </w:r>
          </w:p>
        </w:tc>
        <w:tc>
          <w:tcPr>
            <w:tcW w:w="8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14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298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w:t>
            </w:r>
          </w:p>
        </w:tc>
        <w:tc>
          <w:tcPr>
            <w:tcW w:w="3040" w:type="dxa"/>
            <w:vAlign w:val="bottom"/>
          </w:tcPr>
          <w:p>
            <w:pPr>
              <w:ind w:left="700"/>
              <w:spacing w:after="0" w:line="176" w:lineRule="exact"/>
              <w:rPr>
                <w:sz w:val="20"/>
                <w:szCs w:val="20"/>
                <w:color w:val="auto"/>
              </w:rPr>
            </w:pPr>
            <w:r>
              <w:rPr>
                <w:rFonts w:ascii="Arial" w:cs="Arial" w:eastAsia="Arial" w:hAnsi="Arial"/>
                <w:sz w:val="16"/>
                <w:szCs w:val="16"/>
                <w:color w:val="auto"/>
              </w:rPr>
              <w:t>Interest Expense</w:t>
            </w:r>
          </w:p>
        </w:tc>
        <w:tc>
          <w:tcPr>
            <w:tcW w:w="9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2040" w:type="dxa"/>
            <w:vAlign w:val="bottom"/>
          </w:tcPr>
          <w:p>
            <w:pPr>
              <w:jc w:val="right"/>
              <w:ind w:right="222"/>
              <w:spacing w:after="0" w:line="176" w:lineRule="exact"/>
              <w:rPr>
                <w:sz w:val="20"/>
                <w:szCs w:val="20"/>
                <w:color w:val="auto"/>
              </w:rPr>
            </w:pPr>
            <w:r>
              <w:rPr>
                <w:rFonts w:ascii="Arial" w:cs="Arial" w:eastAsia="Arial" w:hAnsi="Arial"/>
                <w:sz w:val="16"/>
                <w:szCs w:val="16"/>
                <w:color w:val="auto"/>
              </w:rPr>
              <w:t>2</w:t>
            </w:r>
          </w:p>
        </w:tc>
        <w:tc>
          <w:tcPr>
            <w:tcW w:w="840" w:type="dxa"/>
            <w:vAlign w:val="bottom"/>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1600" w:type="dxa"/>
            <w:vAlign w:val="bottom"/>
          </w:tcPr>
          <w:p>
            <w:pPr>
              <w:jc w:val="center"/>
              <w:ind w:left="1340"/>
              <w:spacing w:after="0" w:line="176" w:lineRule="exact"/>
              <w:rPr>
                <w:sz w:val="20"/>
                <w:szCs w:val="20"/>
                <w:color w:val="auto"/>
              </w:rPr>
            </w:pPr>
            <w:r>
              <w:rPr>
                <w:rFonts w:ascii="Arial" w:cs="Arial" w:eastAsia="Arial" w:hAnsi="Arial"/>
                <w:sz w:val="16"/>
                <w:szCs w:val="16"/>
                <w:color w:val="auto"/>
              </w:rPr>
              <w:t>3</w:t>
            </w:r>
          </w:p>
        </w:tc>
      </w:tr>
      <w:tr>
        <w:trPr>
          <w:trHeight w:val="194"/>
        </w:trPr>
        <w:tc>
          <w:tcPr>
            <w:tcW w:w="20" w:type="dxa"/>
            <w:vAlign w:val="bottom"/>
          </w:tcPr>
          <w:p>
            <w:pPr>
              <w:spacing w:after="0"/>
              <w:rPr>
                <w:sz w:val="16"/>
                <w:szCs w:val="16"/>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Interest rate instruments</w:t>
            </w:r>
          </w:p>
        </w:tc>
        <w:tc>
          <w:tcPr>
            <w:tcW w:w="3040" w:type="dxa"/>
            <w:vAlign w:val="bottom"/>
          </w:tcPr>
          <w:p>
            <w:pPr>
              <w:ind w:left="700"/>
              <w:spacing w:after="0"/>
              <w:rPr>
                <w:sz w:val="20"/>
                <w:szCs w:val="20"/>
                <w:color w:val="auto"/>
              </w:rPr>
            </w:pPr>
            <w:r>
              <w:rPr>
                <w:rFonts w:ascii="Arial" w:cs="Arial" w:eastAsia="Arial" w:hAnsi="Arial"/>
                <w:sz w:val="16"/>
                <w:szCs w:val="16"/>
                <w:color w:val="auto"/>
              </w:rPr>
              <w:t>Other Income, Net</w:t>
            </w:r>
          </w:p>
        </w:tc>
        <w:tc>
          <w:tcPr>
            <w:tcW w:w="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w:t>
            </w: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1320"/>
              <w:spacing w:after="0"/>
              <w:rPr>
                <w:sz w:val="20"/>
                <w:szCs w:val="20"/>
                <w:color w:val="auto"/>
              </w:rPr>
            </w:pPr>
            <w:r>
              <w:rPr>
                <w:rFonts w:ascii="Arial" w:cs="Arial" w:eastAsia="Arial" w:hAnsi="Arial"/>
                <w:sz w:val="16"/>
                <w:szCs w:val="16"/>
                <w:color w:val="auto"/>
              </w:rPr>
              <w:t>(5)</w:t>
            </w: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Total(1)</w:t>
            </w:r>
          </w:p>
        </w:tc>
        <w:tc>
          <w:tcPr>
            <w:tcW w:w="30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222"/>
              <w:spacing w:after="0" w:line="176" w:lineRule="exact"/>
              <w:rPr>
                <w:sz w:val="20"/>
                <w:szCs w:val="20"/>
                <w:color w:val="auto"/>
              </w:rPr>
            </w:pPr>
            <w:r>
              <w:rPr>
                <w:rFonts w:ascii="Arial" w:cs="Arial" w:eastAsia="Arial" w:hAnsi="Arial"/>
                <w:sz w:val="16"/>
                <w:szCs w:val="16"/>
                <w:color w:val="auto"/>
              </w:rPr>
              <w:t>4</w:t>
            </w:r>
          </w:p>
        </w:tc>
        <w:tc>
          <w:tcPr>
            <w:tcW w:w="840" w:type="dxa"/>
            <w:vAlign w:val="bottom"/>
            <w:tcBorders>
              <w:bottom w:val="single" w:sz="8" w:color="auto"/>
            </w:tcBorders>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center"/>
              <w:ind w:left="1320"/>
              <w:spacing w:after="0" w:line="176" w:lineRule="exact"/>
              <w:rPr>
                <w:sz w:val="20"/>
                <w:szCs w:val="20"/>
                <w:color w:val="auto"/>
              </w:rPr>
            </w:pPr>
            <w:r>
              <w:rPr>
                <w:rFonts w:ascii="Arial" w:cs="Arial" w:eastAsia="Arial" w:hAnsi="Arial"/>
                <w:sz w:val="16"/>
                <w:szCs w:val="16"/>
                <w:color w:val="auto"/>
              </w:rPr>
              <w:t>(2)</w:t>
            </w:r>
          </w:p>
        </w:tc>
      </w:tr>
      <w:tr>
        <w:trPr>
          <w:trHeight w:val="164"/>
        </w:trPr>
        <w:tc>
          <w:tcPr>
            <w:tcW w:w="20" w:type="dxa"/>
            <w:vAlign w:val="bottom"/>
          </w:tcPr>
          <w:p>
            <w:pPr>
              <w:spacing w:after="0"/>
              <w:rPr>
                <w:sz w:val="14"/>
                <w:szCs w:val="14"/>
                <w:color w:val="auto"/>
              </w:rPr>
            </w:pPr>
          </w:p>
        </w:tc>
        <w:tc>
          <w:tcPr>
            <w:tcW w:w="29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w:t>
            </w:r>
          </w:p>
        </w:tc>
        <w:tc>
          <w:tcPr>
            <w:tcW w:w="3040" w:type="dxa"/>
            <w:vAlign w:val="bottom"/>
          </w:tcPr>
          <w:p>
            <w:pPr>
              <w:ind w:left="700"/>
              <w:spacing w:after="0" w:line="176" w:lineRule="exact"/>
              <w:rPr>
                <w:sz w:val="20"/>
                <w:szCs w:val="20"/>
                <w:color w:val="auto"/>
              </w:rPr>
            </w:pPr>
            <w:r>
              <w:rPr>
                <w:rFonts w:ascii="Arial" w:cs="Arial" w:eastAsia="Arial" w:hAnsi="Arial"/>
                <w:sz w:val="16"/>
                <w:szCs w:val="16"/>
                <w:color w:val="auto"/>
              </w:rPr>
              <w:t>Interest Expense</w:t>
            </w:r>
          </w:p>
        </w:tc>
        <w:tc>
          <w:tcPr>
            <w:tcW w:w="90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2040" w:type="dxa"/>
            <w:vAlign w:val="bottom"/>
          </w:tcPr>
          <w:p>
            <w:pPr>
              <w:jc w:val="right"/>
              <w:ind w:right="222"/>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59"/>
              <w:spacing w:after="0" w:line="176" w:lineRule="exact"/>
              <w:rPr>
                <w:sz w:val="20"/>
                <w:szCs w:val="20"/>
                <w:color w:val="auto"/>
              </w:rPr>
            </w:pPr>
            <w:r>
              <w:rPr>
                <w:rFonts w:ascii="Arial" w:cs="Arial" w:eastAsia="Arial" w:hAnsi="Arial"/>
                <w:sz w:val="16"/>
                <w:szCs w:val="16"/>
                <w:color w:val="auto"/>
              </w:rPr>
              <w:t>$</w:t>
            </w:r>
          </w:p>
        </w:tc>
        <w:tc>
          <w:tcPr>
            <w:tcW w:w="1600" w:type="dxa"/>
            <w:vAlign w:val="bottom"/>
          </w:tcPr>
          <w:p>
            <w:pPr>
              <w:jc w:val="center"/>
              <w:ind w:left="1340"/>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Interest rate instrument</w:t>
            </w:r>
          </w:p>
        </w:tc>
        <w:tc>
          <w:tcPr>
            <w:tcW w:w="3040" w:type="dxa"/>
            <w:vAlign w:val="bottom"/>
          </w:tcPr>
          <w:p>
            <w:pPr>
              <w:ind w:left="700"/>
              <w:spacing w:after="0"/>
              <w:rPr>
                <w:sz w:val="20"/>
                <w:szCs w:val="20"/>
                <w:color w:val="auto"/>
              </w:rPr>
            </w:pPr>
            <w:r>
              <w:rPr>
                <w:rFonts w:ascii="Arial" w:cs="Arial" w:eastAsia="Arial" w:hAnsi="Arial"/>
                <w:sz w:val="16"/>
                <w:szCs w:val="16"/>
                <w:color w:val="auto"/>
              </w:rPr>
              <w:t>Other Income, Net</w:t>
            </w:r>
          </w:p>
        </w:tc>
        <w:tc>
          <w:tcPr>
            <w:tcW w:w="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left="1320"/>
              <w:spacing w:after="0"/>
              <w:rPr>
                <w:sz w:val="20"/>
                <w:szCs w:val="20"/>
                <w:color w:val="auto"/>
              </w:rPr>
            </w:pPr>
            <w:r>
              <w:rPr>
                <w:rFonts w:ascii="Arial" w:cs="Arial" w:eastAsia="Arial" w:hAnsi="Arial"/>
                <w:sz w:val="16"/>
                <w:szCs w:val="16"/>
                <w:color w:val="auto"/>
              </w:rPr>
              <w:t>(3)</w:t>
            </w:r>
          </w:p>
        </w:tc>
      </w:tr>
      <w:tr>
        <w:trPr>
          <w:trHeight w:val="195"/>
        </w:trPr>
        <w:tc>
          <w:tcPr>
            <w:tcW w:w="20" w:type="dxa"/>
            <w:vAlign w:val="bottom"/>
          </w:tcPr>
          <w:p>
            <w:pPr>
              <w:spacing w:after="0"/>
              <w:rPr>
                <w:sz w:val="16"/>
                <w:szCs w:val="16"/>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Total(1)</w:t>
            </w:r>
          </w:p>
        </w:tc>
        <w:tc>
          <w:tcPr>
            <w:tcW w:w="3040" w:type="dxa"/>
            <w:vAlign w:val="bottom"/>
          </w:tcPr>
          <w:p>
            <w:pPr>
              <w:spacing w:after="0"/>
              <w:rPr>
                <w:sz w:val="16"/>
                <w:szCs w:val="16"/>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600" w:type="dxa"/>
            <w:vAlign w:val="bottom"/>
          </w:tcPr>
          <w:p>
            <w:pPr>
              <w:jc w:val="center"/>
              <w:ind w:left="1320"/>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60" w:right="40" w:hanging="409"/>
        <w:spacing w:after="0" w:line="277" w:lineRule="auto"/>
        <w:tabs>
          <w:tab w:leader="none" w:pos="6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40" w:type="dxa"/>
            <w:vAlign w:val="bottom"/>
            <w:gridSpan w:val="3"/>
            <w:vMerge w:val="restart"/>
          </w:tcPr>
          <w:p>
            <w:pPr>
              <w:jc w:val="center"/>
              <w:ind w:left="228"/>
              <w:spacing w:after="0"/>
              <w:rPr>
                <w:sz w:val="20"/>
                <w:szCs w:val="20"/>
                <w:color w:val="auto"/>
              </w:rPr>
            </w:pPr>
            <w:r>
              <w:rPr>
                <w:rFonts w:ascii="Arial" w:cs="Arial" w:eastAsia="Arial" w:hAnsi="Arial"/>
                <w:sz w:val="14"/>
                <w:szCs w:val="14"/>
                <w:color w:val="auto"/>
              </w:rPr>
              <w:t>Pretax gain recognized</w:t>
            </w: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3"/>
            <w:vMerge w:val="restart"/>
          </w:tcPr>
          <w:p>
            <w:pPr>
              <w:jc w:val="center"/>
              <w:ind w:right="268"/>
              <w:spacing w:after="0"/>
              <w:rPr>
                <w:sz w:val="20"/>
                <w:szCs w:val="20"/>
                <w:color w:val="auto"/>
              </w:rPr>
            </w:pPr>
            <w:r>
              <w:rPr>
                <w:rFonts w:ascii="Arial" w:cs="Arial" w:eastAsia="Arial" w:hAnsi="Arial"/>
                <w:sz w:val="14"/>
                <w:szCs w:val="14"/>
                <w:color w:val="auto"/>
              </w:rPr>
              <w:t>Loss reclassified from AOCI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40" w:type="dxa"/>
            <w:vAlign w:val="bottom"/>
            <w:tcBorders>
              <w:bottom w:val="single" w:sz="8" w:color="auto"/>
            </w:tcBorders>
            <w:gridSpan w:val="3"/>
          </w:tcPr>
          <w:p>
            <w:pPr>
              <w:jc w:val="center"/>
              <w:ind w:left="228"/>
              <w:spacing w:after="0" w:line="157" w:lineRule="exact"/>
              <w:rPr>
                <w:sz w:val="20"/>
                <w:szCs w:val="20"/>
                <w:color w:val="auto"/>
              </w:rPr>
            </w:pPr>
            <w:r>
              <w:rPr>
                <w:rFonts w:ascii="Arial" w:cs="Arial" w:eastAsia="Arial" w:hAnsi="Arial"/>
                <w:sz w:val="14"/>
                <w:szCs w:val="14"/>
                <w:color w:val="auto"/>
              </w:rPr>
              <w:t>in OCI (effective portion)</w:t>
            </w:r>
          </w:p>
        </w:tc>
        <w:tc>
          <w:tcPr>
            <w:tcW w:w="300" w:type="dxa"/>
            <w:vAlign w:val="bottom"/>
            <w:tcBorders>
              <w:bottom w:val="single" w:sz="8" w:color="auto"/>
            </w:tcBorders>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ind w:right="268"/>
              <w:spacing w:after="0" w:line="157" w:lineRule="exact"/>
              <w:rPr>
                <w:sz w:val="20"/>
                <w:szCs w:val="20"/>
                <w:color w:val="auto"/>
              </w:rPr>
            </w:pPr>
            <w:r>
              <w:rPr>
                <w:rFonts w:ascii="Arial" w:cs="Arial" w:eastAsia="Arial" w:hAnsi="Arial"/>
                <w:sz w:val="14"/>
                <w:szCs w:val="14"/>
                <w:color w:val="auto"/>
              </w:rPr>
              <w:t>into earnings (effective portion)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4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Location</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ind w:left="140"/>
              <w:spacing w:after="0"/>
              <w:rPr>
                <w:sz w:val="20"/>
                <w:szCs w:val="20"/>
                <w:color w:val="auto"/>
              </w:rPr>
            </w:pPr>
            <w:r>
              <w:rPr>
                <w:rFonts w:ascii="Arial" w:cs="Arial" w:eastAsia="Arial" w:hAnsi="Arial"/>
                <w:sz w:val="14"/>
                <w:szCs w:val="14"/>
                <w:color w:val="auto"/>
              </w:rPr>
              <w:t>Interest rate instruments(1)</w:t>
            </w:r>
          </w:p>
        </w:tc>
        <w:tc>
          <w:tcPr>
            <w:tcW w:w="10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6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86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ind w:left="900"/>
              <w:spacing w:after="0"/>
              <w:rPr>
                <w:sz w:val="20"/>
                <w:szCs w:val="20"/>
                <w:color w:val="auto"/>
              </w:rPr>
            </w:pPr>
            <w:r>
              <w:rPr>
                <w:rFonts w:ascii="Arial" w:cs="Arial" w:eastAsia="Arial" w:hAnsi="Arial"/>
                <w:sz w:val="14"/>
                <w:szCs w:val="14"/>
                <w:color w:val="auto"/>
              </w:rPr>
              <w:t>(1)</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860" w:type="dxa"/>
            <w:vAlign w:val="bottom"/>
          </w:tcPr>
          <w:p>
            <w:pPr>
              <w:ind w:left="240"/>
              <w:spacing w:after="0"/>
              <w:rPr>
                <w:sz w:val="20"/>
                <w:szCs w:val="20"/>
                <w:color w:val="auto"/>
              </w:rPr>
            </w:pPr>
            <w:r>
              <w:rPr>
                <w:rFonts w:ascii="Arial" w:cs="Arial" w:eastAsia="Arial" w:hAnsi="Arial"/>
                <w:sz w:val="14"/>
                <w:szCs w:val="14"/>
                <w:color w:val="auto"/>
              </w:rPr>
              <w:t>Equity Earnings,</w:t>
            </w:r>
          </w:p>
        </w:tc>
        <w:tc>
          <w:tcPr>
            <w:tcW w:w="340" w:type="dxa"/>
            <w:vAlign w:val="bottom"/>
          </w:tcPr>
          <w:p>
            <w:pPr>
              <w:spacing w:after="0"/>
              <w:rPr>
                <w:sz w:val="14"/>
                <w:szCs w:val="14"/>
                <w:color w:val="auto"/>
              </w:rPr>
            </w:pPr>
          </w:p>
        </w:tc>
        <w:tc>
          <w:tcPr>
            <w:tcW w:w="1160" w:type="dxa"/>
            <w:vAlign w:val="bottom"/>
            <w:vMerge w:val="restart"/>
          </w:tcPr>
          <w:p>
            <w:pPr>
              <w:ind w:left="90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40" w:type="dxa"/>
            <w:vAlign w:val="bottom"/>
          </w:tcPr>
          <w:p>
            <w:pPr>
              <w:ind w:left="140"/>
              <w:spacing w:after="0" w:line="127" w:lineRule="exact"/>
              <w:rPr>
                <w:sz w:val="20"/>
                <w:szCs w:val="20"/>
                <w:color w:val="auto"/>
              </w:rPr>
            </w:pPr>
            <w:r>
              <w:rPr>
                <w:rFonts w:ascii="Arial" w:cs="Arial" w:eastAsia="Arial" w:hAnsi="Arial"/>
                <w:sz w:val="14"/>
                <w:szCs w:val="14"/>
                <w:color w:val="auto"/>
              </w:rPr>
              <w:t>Interest rate instruments</w:t>
            </w: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2860" w:type="dxa"/>
            <w:vAlign w:val="bottom"/>
          </w:tcPr>
          <w:p>
            <w:pPr>
              <w:ind w:left="400"/>
              <w:spacing w:after="0" w:line="127" w:lineRule="exact"/>
              <w:rPr>
                <w:sz w:val="20"/>
                <w:szCs w:val="20"/>
                <w:color w:val="auto"/>
              </w:rPr>
            </w:pPr>
            <w:r>
              <w:rPr>
                <w:rFonts w:ascii="Arial" w:cs="Arial" w:eastAsia="Arial" w:hAnsi="Arial"/>
                <w:sz w:val="14"/>
                <w:szCs w:val="14"/>
                <w:color w:val="auto"/>
              </w:rPr>
              <w:t>Net of Income Tax</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instruments(1)</w:t>
            </w:r>
          </w:p>
        </w:tc>
        <w:tc>
          <w:tcPr>
            <w:tcW w:w="1040" w:type="dxa"/>
            <w:vAlign w:val="bottom"/>
            <w:tcBorders>
              <w:bottom w:val="single" w:sz="8" w:color="auto"/>
            </w:tcBorders>
          </w:tcPr>
          <w:p>
            <w:pPr>
              <w:jc w:val="right"/>
              <w:ind w:right="728"/>
              <w:spacing w:after="0" w:line="15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08"/>
              <w:spacing w:after="0" w:line="15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8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ind w:left="900"/>
              <w:spacing w:after="0" w:line="15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w:t>
            </w:r>
          </w:p>
        </w:tc>
        <w:tc>
          <w:tcPr>
            <w:tcW w:w="1040" w:type="dxa"/>
            <w:vAlign w:val="bottom"/>
            <w:tcBorders>
              <w:bottom w:val="single" w:sz="8" w:color="auto"/>
            </w:tcBorders>
          </w:tcPr>
          <w:p>
            <w:pPr>
              <w:jc w:val="right"/>
              <w:ind w:right="728"/>
              <w:spacing w:after="0" w:line="15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08"/>
              <w:spacing w:after="0" w:line="157"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8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ind w:left="900"/>
              <w:spacing w:after="0" w:line="157"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8" w:right="239" w:bottom="0" w:gutter="0" w:footer="0" w:header="0"/>
        </w:sectPr>
      </w:pPr>
    </w:p>
    <w:p>
      <w:pPr>
        <w:ind w:left="500" w:right="60" w:hanging="330"/>
        <w:spacing w:after="0" w:line="265" w:lineRule="auto"/>
        <w:tabs>
          <w:tab w:leader="none" w:pos="50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has been a negligible amount of ineffectiveness related to these swaps.</w:t>
      </w:r>
    </w:p>
    <w:p>
      <w:pPr>
        <w:sectPr>
          <w:pgSz w:w="11900" w:h="16838" w:orient="portrait"/>
          <w:cols w:equalWidth="0" w:num="1">
            <w:col w:w="11420"/>
          </w:cols>
          <w:pgMar w:left="240" w:top="128" w:right="239" w:bottom="0" w:gutter="0" w:footer="0" w:header="0"/>
          <w:type w:val="continuous"/>
        </w:sectPr>
      </w:pPr>
    </w:p>
    <w:bookmarkStart w:id="34" w:name="page35"/>
    <w:bookmarkEnd w:id="34"/>
    <w:p>
      <w:pPr>
        <w:spacing w:after="0" w:line="264" w:lineRule="auto"/>
        <w:rPr>
          <w:sz w:val="20"/>
          <w:szCs w:val="20"/>
          <w:color w:val="auto"/>
        </w:rPr>
      </w:pPr>
      <w:r>
        <w:rPr>
          <w:rFonts w:ascii="Arial" w:cs="Arial" w:eastAsia="Arial" w:hAnsi="Arial"/>
          <w:sz w:val="18"/>
          <w:szCs w:val="18"/>
          <w:color w:val="auto"/>
        </w:rPr>
        <w:t>Sempra Energy expects that losses of $14 million, which are net of income tax benefit, that are currently recorded in AOCI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SDG&amp;E and SoCalGas expect that losses of $5 million and $1 million, respectively, which are net of income tax benefit, that are currently recorded in AOCI related to cash flow hedges will be reclassified into earnings during the next twelve months as the hedged items affect earnings.</w:t>
      </w:r>
    </w:p>
    <w:p>
      <w:pPr>
        <w:spacing w:after="0" w:line="14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For all forecasted transactions, the maximum term over which we are hedging exposure to the variability of cash flows at March 31, 2012 is 85 months for Sempra Energy and SDG&amp;E. The maximum term of exposure related to contracts at Sempra Renewables’ equity method investees is 18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recorded negligible hedge ineffectiveness in the three months ended March 31, 2012.</w:t>
      </w:r>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ended March 31 were:</w:t>
      </w:r>
    </w:p>
    <w:p>
      <w:pPr>
        <w:spacing w:after="0" w:line="200" w:lineRule="exact"/>
        <w:rPr>
          <w:sz w:val="20"/>
          <w:szCs w:val="20"/>
          <w:color w:val="auto"/>
        </w:rPr>
      </w:pPr>
    </w:p>
    <w:p>
      <w:pPr>
        <w:spacing w:after="0" w:line="210" w:lineRule="exact"/>
        <w:rPr>
          <w:sz w:val="20"/>
          <w:szCs w:val="20"/>
          <w:color w:val="auto"/>
        </w:rPr>
      </w:pPr>
    </w:p>
    <w:p>
      <w:pPr>
        <w:ind w:right="2920"/>
        <w:spacing w:after="0" w:line="243" w:lineRule="auto"/>
        <w:rPr>
          <w:sz w:val="20"/>
          <w:szCs w:val="20"/>
          <w:color w:val="auto"/>
        </w:rPr>
      </w:pPr>
      <w:r>
        <w:rPr>
          <w:rFonts w:ascii="Arial" w:cs="Arial" w:eastAsia="Arial" w:hAnsi="Arial"/>
          <w:sz w:val="16"/>
          <w:szCs w:val="16"/>
          <w:b w:val="1"/>
          <w:bCs w:val="1"/>
          <w:color w:val="auto"/>
        </w:rPr>
        <w:t xml:space="preserve">UNDESIGNATED DERIVATIVE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3"/>
          </w:tcPr>
          <w:p>
            <w:pPr>
              <w:jc w:val="right"/>
              <w:ind w:right="560"/>
              <w:spacing w:after="0" w:line="159" w:lineRule="exact"/>
              <w:rPr>
                <w:sz w:val="20"/>
                <w:szCs w:val="20"/>
                <w:color w:val="auto"/>
              </w:rPr>
            </w:pPr>
            <w:r>
              <w:rPr>
                <w:rFonts w:ascii="Arial" w:cs="Arial" w:eastAsia="Arial" w:hAnsi="Arial"/>
                <w:sz w:val="14"/>
                <w:szCs w:val="14"/>
                <w:color w:val="auto"/>
              </w:rPr>
              <w:t>Gain (loss) on derivatives recognized in earnings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Location</w:t>
            </w:r>
          </w:p>
        </w:tc>
        <w:tc>
          <w:tcPr>
            <w:tcW w:w="6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1101"/>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Interest rate and foreign exchange</w:t>
            </w:r>
          </w:p>
        </w:tc>
        <w:tc>
          <w:tcPr>
            <w:tcW w:w="3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400"/>
              <w:spacing w:after="0" w:line="176" w:lineRule="exact"/>
              <w:rPr>
                <w:sz w:val="20"/>
                <w:szCs w:val="20"/>
                <w:color w:val="auto"/>
              </w:rPr>
            </w:pPr>
            <w:r>
              <w:rPr>
                <w:rFonts w:ascii="Arial" w:cs="Arial" w:eastAsia="Arial" w:hAnsi="Arial"/>
                <w:sz w:val="16"/>
                <w:szCs w:val="16"/>
                <w:color w:val="auto"/>
              </w:rPr>
              <w:t>instruments</w:t>
            </w:r>
          </w:p>
        </w:tc>
        <w:tc>
          <w:tcPr>
            <w:tcW w:w="3840" w:type="dxa"/>
            <w:vAlign w:val="bottom"/>
          </w:tcPr>
          <w:p>
            <w:pPr>
              <w:ind w:left="540"/>
              <w:spacing w:after="0" w:line="176" w:lineRule="exact"/>
              <w:rPr>
                <w:sz w:val="20"/>
                <w:szCs w:val="20"/>
                <w:color w:val="auto"/>
              </w:rPr>
            </w:pPr>
            <w:r>
              <w:rPr>
                <w:rFonts w:ascii="Arial" w:cs="Arial" w:eastAsia="Arial" w:hAnsi="Arial"/>
                <w:sz w:val="16"/>
                <w:szCs w:val="16"/>
                <w:color w:val="auto"/>
              </w:rPr>
              <w:t>Other Income, Net</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2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11</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840" w:type="dxa"/>
            <w:vAlign w:val="bottom"/>
          </w:tcPr>
          <w:p>
            <w:pPr>
              <w:ind w:left="540"/>
              <w:spacing w:after="0" w:line="176" w:lineRule="exact"/>
              <w:rPr>
                <w:sz w:val="20"/>
                <w:szCs w:val="20"/>
                <w:color w:val="auto"/>
              </w:rPr>
            </w:pPr>
            <w:r>
              <w:rPr>
                <w:rFonts w:ascii="Arial" w:cs="Arial" w:eastAsia="Arial" w:hAnsi="Arial"/>
                <w:sz w:val="16"/>
                <w:szCs w:val="16"/>
                <w:color w:val="auto"/>
              </w:rPr>
              <w:t>Revenues: Energy-Related</w:t>
            </w: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840" w:type="dxa"/>
            <w:vAlign w:val="bottom"/>
          </w:tcPr>
          <w:p>
            <w:pPr>
              <w:ind w:left="720"/>
              <w:spacing w:after="0" w:line="176" w:lineRule="exact"/>
              <w:rPr>
                <w:sz w:val="20"/>
                <w:szCs w:val="20"/>
                <w:color w:val="auto"/>
              </w:rPr>
            </w:pPr>
            <w:r>
              <w:rPr>
                <w:rFonts w:ascii="Arial" w:cs="Arial" w:eastAsia="Arial" w:hAnsi="Arial"/>
                <w:sz w:val="16"/>
                <w:szCs w:val="16"/>
                <w:color w:val="auto"/>
              </w:rPr>
              <w:t>Businesses</w:t>
            </w:r>
          </w:p>
        </w:tc>
        <w:tc>
          <w:tcPr>
            <w:tcW w:w="600" w:type="dxa"/>
            <w:vAlign w:val="bottom"/>
          </w:tcPr>
          <w:p>
            <w:pPr>
              <w:spacing w:after="0"/>
              <w:rPr>
                <w:sz w:val="15"/>
                <w:szCs w:val="15"/>
                <w:color w:val="auto"/>
              </w:rPr>
            </w:pPr>
          </w:p>
        </w:tc>
        <w:tc>
          <w:tcPr>
            <w:tcW w:w="182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11</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840" w:type="dxa"/>
            <w:vAlign w:val="bottom"/>
          </w:tcPr>
          <w:p>
            <w:pPr>
              <w:ind w:left="540"/>
              <w:spacing w:after="0" w:line="176" w:lineRule="exact"/>
              <w:rPr>
                <w:sz w:val="20"/>
                <w:szCs w:val="20"/>
                <w:color w:val="auto"/>
              </w:rPr>
            </w:pPr>
            <w:r>
              <w:rPr>
                <w:rFonts w:ascii="Arial" w:cs="Arial" w:eastAsia="Arial" w:hAnsi="Arial"/>
                <w:sz w:val="16"/>
                <w:szCs w:val="16"/>
                <w:color w:val="auto"/>
              </w:rPr>
              <w:t>Cost of Natural Gas, Electric</w:t>
            </w: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840" w:type="dxa"/>
            <w:vAlign w:val="bottom"/>
          </w:tcPr>
          <w:p>
            <w:pPr>
              <w:ind w:left="720"/>
              <w:spacing w:after="0" w:line="176" w:lineRule="exact"/>
              <w:rPr>
                <w:sz w:val="20"/>
                <w:szCs w:val="20"/>
                <w:color w:val="auto"/>
              </w:rPr>
            </w:pPr>
            <w:r>
              <w:rPr>
                <w:rFonts w:ascii="Arial" w:cs="Arial" w:eastAsia="Arial" w:hAnsi="Arial"/>
                <w:sz w:val="16"/>
                <w:szCs w:val="16"/>
                <w:color w:val="auto"/>
              </w:rPr>
              <w:t>Fuel and Purchased Power</w:t>
            </w:r>
          </w:p>
        </w:tc>
        <w:tc>
          <w:tcPr>
            <w:tcW w:w="600" w:type="dxa"/>
            <w:vAlign w:val="bottom"/>
          </w:tcPr>
          <w:p>
            <w:pPr>
              <w:spacing w:after="0"/>
              <w:rPr>
                <w:sz w:val="15"/>
                <w:szCs w:val="15"/>
                <w:color w:val="auto"/>
              </w:rPr>
            </w:pPr>
          </w:p>
        </w:tc>
        <w:tc>
          <w:tcPr>
            <w:tcW w:w="182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840" w:type="dxa"/>
            <w:vAlign w:val="bottom"/>
          </w:tcPr>
          <w:p>
            <w:pPr>
              <w:ind w:left="540"/>
              <w:spacing w:after="0" w:line="176" w:lineRule="exact"/>
              <w:rPr>
                <w:sz w:val="20"/>
                <w:szCs w:val="20"/>
                <w:color w:val="auto"/>
              </w:rPr>
            </w:pPr>
            <w:r>
              <w:rPr>
                <w:rFonts w:ascii="Arial" w:cs="Arial" w:eastAsia="Arial" w:hAnsi="Arial"/>
                <w:sz w:val="16"/>
                <w:szCs w:val="16"/>
                <w:color w:val="auto"/>
              </w:rPr>
              <w:t>Operation and Maintenance</w:t>
            </w:r>
          </w:p>
        </w:tc>
        <w:tc>
          <w:tcPr>
            <w:tcW w:w="600" w:type="dxa"/>
            <w:vAlign w:val="bottom"/>
          </w:tcPr>
          <w:p>
            <w:pPr>
              <w:spacing w:after="0"/>
              <w:rPr>
                <w:sz w:val="15"/>
                <w:szCs w:val="15"/>
                <w:color w:val="auto"/>
              </w:rPr>
            </w:pPr>
          </w:p>
        </w:tc>
        <w:tc>
          <w:tcPr>
            <w:tcW w:w="182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w:t>
            </w:r>
          </w:p>
        </w:tc>
        <w:tc>
          <w:tcPr>
            <w:tcW w:w="3840" w:type="dxa"/>
            <w:vAlign w:val="bottom"/>
          </w:tcPr>
          <w:p>
            <w:pPr>
              <w:ind w:left="540"/>
              <w:spacing w:after="0" w:line="176" w:lineRule="exact"/>
              <w:rPr>
                <w:sz w:val="20"/>
                <w:szCs w:val="20"/>
                <w:color w:val="auto"/>
              </w:rPr>
            </w:pPr>
            <w:r>
              <w:rPr>
                <w:rFonts w:ascii="Arial" w:cs="Arial" w:eastAsia="Arial" w:hAnsi="Arial"/>
                <w:sz w:val="16"/>
                <w:szCs w:val="16"/>
                <w:color w:val="auto"/>
              </w:rPr>
              <w:t>Cost of Electric Fuel</w:t>
            </w: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840" w:type="dxa"/>
            <w:vAlign w:val="bottom"/>
          </w:tcPr>
          <w:p>
            <w:pPr>
              <w:ind w:left="720"/>
              <w:spacing w:after="0" w:line="176" w:lineRule="exact"/>
              <w:rPr>
                <w:sz w:val="20"/>
                <w:szCs w:val="20"/>
                <w:color w:val="auto"/>
              </w:rPr>
            </w:pPr>
            <w:r>
              <w:rPr>
                <w:rFonts w:ascii="Arial" w:cs="Arial" w:eastAsia="Arial" w:hAnsi="Arial"/>
                <w:sz w:val="16"/>
                <w:szCs w:val="16"/>
                <w:color w:val="auto"/>
              </w:rPr>
              <w:t>and Purchased Power</w:t>
            </w:r>
          </w:p>
        </w:tc>
        <w:tc>
          <w:tcPr>
            <w:tcW w:w="600" w:type="dxa"/>
            <w:vAlign w:val="bottom"/>
          </w:tcPr>
          <w:p>
            <w:pPr>
              <w:spacing w:after="0"/>
              <w:rPr>
                <w:sz w:val="15"/>
                <w:szCs w:val="15"/>
                <w:color w:val="auto"/>
              </w:rPr>
            </w:pPr>
          </w:p>
        </w:tc>
        <w:tc>
          <w:tcPr>
            <w:tcW w:w="1820" w:type="dxa"/>
            <w:vAlign w:val="bottom"/>
          </w:tcPr>
          <w:p>
            <w:pPr>
              <w:jc w:val="right"/>
              <w:ind w:right="161"/>
              <w:spacing w:after="0" w:line="176" w:lineRule="exact"/>
              <w:rPr>
                <w:sz w:val="20"/>
                <w:szCs w:val="20"/>
                <w:color w:val="auto"/>
              </w:rPr>
            </w:pPr>
            <w:r>
              <w:rPr>
                <w:rFonts w:ascii="Arial" w:cs="Arial" w:eastAsia="Arial" w:hAnsi="Arial"/>
                <w:sz w:val="16"/>
                <w:szCs w:val="16"/>
                <w:color w:val="auto"/>
              </w:rPr>
              <w:t>(21)</w:t>
            </w:r>
          </w:p>
        </w:tc>
        <w:tc>
          <w:tcPr>
            <w:tcW w:w="500" w:type="dxa"/>
            <w:vAlign w:val="bottom"/>
          </w:tcPr>
          <w:p>
            <w:pPr>
              <w:spacing w:after="0"/>
              <w:rPr>
                <w:sz w:val="15"/>
                <w:szCs w:val="15"/>
                <w:color w:val="auto"/>
              </w:rPr>
            </w:pP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Total</w:t>
            </w:r>
          </w:p>
        </w:tc>
        <w:tc>
          <w:tcPr>
            <w:tcW w:w="3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840" w:type="dxa"/>
            <w:vAlign w:val="bottom"/>
          </w:tcPr>
          <w:p>
            <w:pPr>
              <w:ind w:left="540"/>
              <w:spacing w:after="0" w:line="176" w:lineRule="exact"/>
              <w:rPr>
                <w:sz w:val="20"/>
                <w:szCs w:val="20"/>
                <w:color w:val="auto"/>
              </w:rPr>
            </w:pPr>
            <w:r>
              <w:rPr>
                <w:rFonts w:ascii="Arial" w:cs="Arial" w:eastAsia="Arial" w:hAnsi="Arial"/>
                <w:sz w:val="16"/>
                <w:szCs w:val="16"/>
                <w:color w:val="auto"/>
              </w:rPr>
              <w:t>Operation and Maintenance</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2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Pr>
          <w:p>
            <w:pPr>
              <w:ind w:left="160"/>
              <w:spacing w:after="0"/>
              <w:rPr>
                <w:sz w:val="20"/>
                <w:szCs w:val="20"/>
                <w:color w:val="auto"/>
              </w:rPr>
            </w:pPr>
            <w:r>
              <w:rPr>
                <w:rFonts w:ascii="Arial" w:cs="Arial" w:eastAsia="Arial" w:hAnsi="Arial"/>
                <w:sz w:val="16"/>
                <w:szCs w:val="16"/>
                <w:color w:val="auto"/>
              </w:rPr>
              <w:t>Commodity contracts subject</w:t>
            </w:r>
          </w:p>
        </w:tc>
        <w:tc>
          <w:tcPr>
            <w:tcW w:w="3840" w:type="dxa"/>
            <w:vAlign w:val="bottom"/>
          </w:tcPr>
          <w:p>
            <w:pPr>
              <w:ind w:left="540"/>
              <w:spacing w:after="0"/>
              <w:rPr>
                <w:sz w:val="20"/>
                <w:szCs w:val="20"/>
                <w:color w:val="auto"/>
              </w:rPr>
            </w:pPr>
            <w:r>
              <w:rPr>
                <w:rFonts w:ascii="Arial" w:cs="Arial" w:eastAsia="Arial" w:hAnsi="Arial"/>
                <w:sz w:val="16"/>
                <w:szCs w:val="16"/>
                <w:color w:val="auto"/>
              </w:rPr>
              <w:t>Cost of Electric Fuel</w:t>
            </w:r>
          </w:p>
        </w:tc>
        <w:tc>
          <w:tcPr>
            <w:tcW w:w="600" w:type="dxa"/>
            <w:vAlign w:val="bottom"/>
          </w:tcPr>
          <w:p>
            <w:pPr>
              <w:spacing w:after="0"/>
              <w:rPr>
                <w:sz w:val="16"/>
                <w:szCs w:val="16"/>
                <w:color w:val="auto"/>
              </w:rPr>
            </w:pPr>
          </w:p>
        </w:tc>
        <w:tc>
          <w:tcPr>
            <w:tcW w:w="1820" w:type="dxa"/>
            <w:vAlign w:val="bottom"/>
            <w:vMerge w:val="restart"/>
          </w:tcPr>
          <w:p>
            <w:pPr>
              <w:jc w:val="right"/>
              <w:ind w:right="161"/>
              <w:spacing w:after="0"/>
              <w:rPr>
                <w:sz w:val="20"/>
                <w:szCs w:val="20"/>
                <w:color w:val="auto"/>
              </w:rPr>
            </w:pPr>
            <w:r>
              <w:rPr>
                <w:rFonts w:ascii="Arial" w:cs="Arial" w:eastAsia="Arial" w:hAnsi="Arial"/>
                <w:sz w:val="16"/>
                <w:szCs w:val="16"/>
                <w:color w:val="auto"/>
              </w:rPr>
              <w:t>(21)</w:t>
            </w:r>
          </w:p>
        </w:tc>
        <w:tc>
          <w:tcPr>
            <w:tcW w:w="5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ind w:left="340"/>
              <w:spacing w:after="0" w:line="168" w:lineRule="exact"/>
              <w:rPr>
                <w:sz w:val="20"/>
                <w:szCs w:val="20"/>
                <w:color w:val="auto"/>
              </w:rPr>
            </w:pPr>
            <w:r>
              <w:rPr>
                <w:rFonts w:ascii="Arial" w:cs="Arial" w:eastAsia="Arial" w:hAnsi="Arial"/>
                <w:sz w:val="16"/>
                <w:szCs w:val="16"/>
                <w:color w:val="auto"/>
              </w:rPr>
              <w:t>to rate recovery</w:t>
            </w:r>
          </w:p>
        </w:tc>
        <w:tc>
          <w:tcPr>
            <w:tcW w:w="3840" w:type="dxa"/>
            <w:vAlign w:val="bottom"/>
          </w:tcPr>
          <w:p>
            <w:pPr>
              <w:ind w:left="720"/>
              <w:spacing w:after="0" w:line="168" w:lineRule="exact"/>
              <w:rPr>
                <w:sz w:val="20"/>
                <w:szCs w:val="20"/>
                <w:color w:val="auto"/>
              </w:rPr>
            </w:pPr>
            <w:r>
              <w:rPr>
                <w:rFonts w:ascii="Arial" w:cs="Arial" w:eastAsia="Arial" w:hAnsi="Arial"/>
                <w:sz w:val="16"/>
                <w:szCs w:val="16"/>
                <w:color w:val="auto"/>
              </w:rPr>
              <w:t>and Purchased Power</w:t>
            </w:r>
          </w:p>
        </w:tc>
        <w:tc>
          <w:tcPr>
            <w:tcW w:w="6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161"/>
              <w:spacing w:after="0" w:line="176" w:lineRule="exact"/>
              <w:rPr>
                <w:sz w:val="20"/>
                <w:szCs w:val="20"/>
                <w:color w:val="auto"/>
              </w:rPr>
            </w:pPr>
            <w:r>
              <w:rPr>
                <w:rFonts w:ascii="Arial" w:cs="Arial" w:eastAsia="Arial" w:hAnsi="Arial"/>
                <w:sz w:val="16"/>
                <w:szCs w:val="16"/>
                <w:color w:val="auto"/>
              </w:rPr>
              <w:t>(21)</w:t>
            </w:r>
          </w:p>
        </w:tc>
        <w:tc>
          <w:tcPr>
            <w:tcW w:w="50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840" w:type="dxa"/>
            <w:vAlign w:val="bottom"/>
          </w:tcPr>
          <w:p>
            <w:pPr>
              <w:ind w:left="540"/>
              <w:spacing w:after="0" w:line="176" w:lineRule="exact"/>
              <w:rPr>
                <w:sz w:val="20"/>
                <w:szCs w:val="20"/>
                <w:color w:val="auto"/>
              </w:rPr>
            </w:pPr>
            <w:r>
              <w:rPr>
                <w:rFonts w:ascii="Arial" w:cs="Arial" w:eastAsia="Arial" w:hAnsi="Arial"/>
                <w:sz w:val="16"/>
                <w:szCs w:val="16"/>
                <w:color w:val="auto"/>
              </w:rPr>
              <w:t>Operation and Maintenance</w:t>
            </w:r>
          </w:p>
        </w:tc>
        <w:tc>
          <w:tcPr>
            <w:tcW w:w="6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2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w:t>
            </w:r>
          </w:p>
        </w:tc>
        <w:tc>
          <w:tcPr>
            <w:tcW w:w="50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Total</w:t>
            </w:r>
          </w:p>
        </w:tc>
        <w:tc>
          <w:tcPr>
            <w:tcW w:w="3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3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Sempra Energy and SDG&amp;E, the total fair value of this group of derivative instruments in a net liability position at March 31, 2012 is $26 million and $13 million, respectively. As of March 31, 2012, if the credit ratings of Sempra Energy and SDG&amp;E were reduced below investment grade, $26 million and $13 million, respectively, of additional assets could be required to be posted as collateral for these derivative contracts.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1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Notes 1 and 2 of the Notes to Consolidated Financial Statements in the Annual Report. We have not changed the valuation techniques or inputs we use to measure fair value during the three months ended March 31,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Recurring Fair Value Measures</w:t>
      </w:r>
    </w:p>
    <w:p>
      <w:pPr>
        <w:spacing w:after="0" w:line="2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as of March 31, 2012 and December 31, 2011.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ectPr>
          <w:pgSz w:w="11900" w:h="16838" w:orient="portrait"/>
          <w:cols w:equalWidth="0" w:num="1">
            <w:col w:w="11420"/>
          </w:cols>
          <w:pgMar w:left="240" w:top="584" w:right="239" w:bottom="0" w:gutter="0" w:footer="0" w:header="0"/>
        </w:sectPr>
      </w:pPr>
    </w:p>
    <w:bookmarkStart w:id="35" w:name="page36"/>
    <w:bookmarkEnd w:id="35"/>
    <w:p>
      <w:pPr>
        <w:ind w:right="560"/>
        <w:spacing w:after="0" w:line="277" w:lineRule="auto"/>
        <w:rPr>
          <w:sz w:val="20"/>
          <w:szCs w:val="20"/>
          <w:color w:val="auto"/>
        </w:rPr>
      </w:pPr>
      <w:r>
        <w:rPr>
          <w:rFonts w:ascii="Arial" w:cs="Arial" w:eastAsia="Arial" w:hAnsi="Arial"/>
          <w:sz w:val="18"/>
          <w:szCs w:val="18"/>
          <w:color w:val="auto"/>
        </w:rPr>
        <w:t>The fair value of commodity derivative assets and liabilities is determined in accordance with our netting policy, as discussed below under “Derivative Positions Net of Cash Collateral.”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financial assets and liabilities that were accounted for at fair value on a recurring basis as of March 31, 2012 and December 31, 2011 in the tables below include the following:</w:t>
      </w:r>
    </w:p>
    <w:p>
      <w:pPr>
        <w:spacing w:after="0" w:line="170" w:lineRule="exact"/>
        <w:rPr>
          <w:sz w:val="20"/>
          <w:szCs w:val="20"/>
          <w:color w:val="auto"/>
        </w:rPr>
      </w:pPr>
    </w:p>
    <w:p>
      <w:pPr>
        <w:jc w:val="both"/>
        <w:ind w:left="340" w:hanging="188"/>
        <w:spacing w:after="0" w:line="276"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199" w:lineRule="exact"/>
        <w:rPr>
          <w:rFonts w:ascii="Arial" w:cs="Arial" w:eastAsia="Arial" w:hAnsi="Arial"/>
          <w:sz w:val="17"/>
          <w:szCs w:val="17"/>
          <w:color w:val="auto"/>
        </w:rPr>
      </w:pPr>
    </w:p>
    <w:p>
      <w:pPr>
        <w:jc w:val="both"/>
        <w:ind w:left="340" w:hanging="188"/>
        <w:spacing w:after="0" w:line="271"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enter into commodity contracts and interest rate derivatives primarily as a means to manage price exposures.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discussed below under “Level 3 Information.” Commodity derivative contracts that are subject to rate recovery are recorded as commodity costs that are offset by regulatory account balances and are recovered in rates.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into or out of Level 1, Level 2, or Level 3 for Sempra Energy Consolidated, SDG&amp;E or SoCalGas during the periods presented.</w:t>
      </w:r>
    </w:p>
    <w:p>
      <w:pPr>
        <w:spacing w:after="0" w:line="200" w:lineRule="exact"/>
        <w:rPr>
          <w:sz w:val="20"/>
          <w:szCs w:val="20"/>
          <w:color w:val="auto"/>
        </w:rPr>
      </w:pPr>
    </w:p>
    <w:p>
      <w:pPr>
        <w:spacing w:after="0" w:line="276" w:lineRule="exact"/>
        <w:rPr>
          <w:sz w:val="20"/>
          <w:szCs w:val="20"/>
          <w:color w:val="auto"/>
        </w:rPr>
      </w:pPr>
    </w:p>
    <w:p>
      <w:pPr>
        <w:ind w:right="5540"/>
        <w:spacing w:after="0" w:line="243"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At fair value as of March 31, 2012</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515</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59"/>
        </w:trPr>
        <w:tc>
          <w:tcPr>
            <w:tcW w:w="502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91</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4"/>
        </w:trPr>
        <w:tc>
          <w:tcPr>
            <w:tcW w:w="502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84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9"/>
        </w:trPr>
        <w:tc>
          <w:tcPr>
            <w:tcW w:w="502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02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606</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67"/>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65</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0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633</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329</w:t>
            </w:r>
          </w:p>
        </w:tc>
        <w:tc>
          <w:tcPr>
            <w:tcW w:w="3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21</w:t>
            </w:r>
          </w:p>
        </w:tc>
        <w:tc>
          <w:tcPr>
            <w:tcW w:w="4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116</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45</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345"/>
        </w:trPr>
        <w:tc>
          <w:tcPr>
            <w:tcW w:w="50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808"/>
              <w:spacing w:after="0"/>
              <w:rPr>
                <w:sz w:val="20"/>
                <w:szCs w:val="20"/>
                <w:color w:val="auto"/>
              </w:rPr>
            </w:pPr>
            <w:r>
              <w:rPr>
                <w:rFonts w:ascii="Arial" w:cs="Arial" w:eastAsia="Arial" w:hAnsi="Arial"/>
                <w:sz w:val="14"/>
                <w:szCs w:val="14"/>
                <w:color w:val="auto"/>
              </w:rPr>
              <w:t>At fair value as of December 31, 2011</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468</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02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4"/>
        </w:trPr>
        <w:tc>
          <w:tcPr>
            <w:tcW w:w="502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78</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9"/>
        </w:trPr>
        <w:tc>
          <w:tcPr>
            <w:tcW w:w="502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92</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02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560</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7"/>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44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35</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5</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9"/>
        </w:trPr>
        <w:tc>
          <w:tcPr>
            <w:tcW w:w="50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590</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335</w:t>
            </w:r>
          </w:p>
        </w:tc>
        <w:tc>
          <w:tcPr>
            <w:tcW w:w="3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w:t>
            </w:r>
          </w:p>
        </w:tc>
        <w:tc>
          <w:tcPr>
            <w:tcW w:w="4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52</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hanging="337"/>
        <w:spacing w:after="0"/>
        <w:tabs>
          <w:tab w:leader="none" w:pos="50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3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33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color w:val="auto"/>
              </w:rPr>
              <w:t>At fair value as of March 31, 2012</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515</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4"/>
        </w:trPr>
        <w:tc>
          <w:tcPr>
            <w:tcW w:w="52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84</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9"/>
        </w:trPr>
        <w:tc>
          <w:tcPr>
            <w:tcW w:w="52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91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234</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606</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234</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67"/>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2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618</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234</w:t>
            </w: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21</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329"/>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69</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16</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68"/>
              <w:spacing w:after="0" w:line="137" w:lineRule="exact"/>
              <w:rPr>
                <w:sz w:val="20"/>
                <w:szCs w:val="20"/>
                <w:color w:val="auto"/>
              </w:rPr>
            </w:pPr>
            <w:r>
              <w:rPr>
                <w:rFonts w:ascii="Arial" w:cs="Arial" w:eastAsia="Arial" w:hAnsi="Arial"/>
                <w:sz w:val="14"/>
                <w:szCs w:val="14"/>
                <w:color w:val="auto"/>
              </w:rPr>
              <w:t>(69)</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(69)</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331"/>
        </w:trPr>
        <w:tc>
          <w:tcPr>
            <w:tcW w:w="5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color w:val="auto"/>
              </w:rPr>
              <w:t>At fair value as of December 31, 2011</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468</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92</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4"/>
        </w:trPr>
        <w:tc>
          <w:tcPr>
            <w:tcW w:w="52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78</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9"/>
        </w:trPr>
        <w:tc>
          <w:tcPr>
            <w:tcW w:w="52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92</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560</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7"/>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2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570</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329"/>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61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12</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68"/>
              <w:spacing w:after="0" w:line="137" w:lineRule="exact"/>
              <w:rPr>
                <w:sz w:val="20"/>
                <w:szCs w:val="20"/>
                <w:color w:val="auto"/>
              </w:rPr>
            </w:pPr>
            <w:r>
              <w:rPr>
                <w:rFonts w:ascii="Arial" w:cs="Arial" w:eastAsia="Arial" w:hAnsi="Arial"/>
                <w:sz w:val="14"/>
                <w:szCs w:val="14"/>
                <w:color w:val="auto"/>
              </w:rPr>
              <w:t>(61)</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(61)</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4"/>
          <w:szCs w:val="14"/>
          <w:i w:val="1"/>
          <w:iCs w:val="1"/>
          <w:color w:val="auto"/>
        </w:rPr>
        <w:t>(1)</w:t>
        <w:tab/>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ind w:right="68"/>
              <w:spacing w:after="0" w:line="159" w:lineRule="exact"/>
              <w:rPr>
                <w:sz w:val="20"/>
                <w:szCs w:val="20"/>
                <w:color w:val="auto"/>
              </w:rPr>
            </w:pPr>
            <w:r>
              <w:rPr>
                <w:rFonts w:ascii="Arial" w:cs="Arial" w:eastAsia="Arial" w:hAnsi="Arial"/>
                <w:sz w:val="14"/>
                <w:szCs w:val="14"/>
                <w:color w:val="auto"/>
              </w:rPr>
              <w:t>At fair value as of March 31, 2012</w:t>
            </w: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454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45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39"/>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1"/>
        </w:trPr>
        <w:tc>
          <w:tcPr>
            <w:tcW w:w="4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2011</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454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45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39"/>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54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CRRs classified as Level 3 in the fair value hierarchy for Sempra Energy Consolidated and SDG&amp;E: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4"/>
                <w:szCs w:val="14"/>
                <w:color w:val="auto"/>
              </w:rPr>
              <w:t>Three months ended March 31,</w:t>
            </w:r>
          </w:p>
        </w:tc>
      </w:tr>
      <w:tr>
        <w:trPr>
          <w:trHeight w:val="169"/>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spacing w:after="0"/>
              <w:rPr>
                <w:sz w:val="14"/>
                <w:szCs w:val="14"/>
                <w:color w:val="auto"/>
              </w:rPr>
            </w:pPr>
          </w:p>
        </w:tc>
        <w:tc>
          <w:tcPr>
            <w:tcW w:w="1660" w:type="dxa"/>
            <w:vAlign w:val="bottom"/>
          </w:tcPr>
          <w:p>
            <w:pPr>
              <w:jc w:val="right"/>
              <w:ind w:right="1102"/>
              <w:spacing w:after="0"/>
              <w:rPr>
                <w:sz w:val="20"/>
                <w:szCs w:val="20"/>
                <w:color w:val="auto"/>
              </w:rPr>
            </w:pPr>
            <w:r>
              <w:rPr>
                <w:rFonts w:ascii="Arial" w:cs="Arial" w:eastAsia="Arial" w:hAnsi="Arial"/>
                <w:sz w:val="14"/>
                <w:szCs w:val="14"/>
                <w:color w:val="auto"/>
              </w:rPr>
              <w:t>2012</w:t>
            </w:r>
          </w:p>
        </w:tc>
        <w:tc>
          <w:tcPr>
            <w:tcW w:w="480" w:type="dxa"/>
            <w:vAlign w:val="bottom"/>
          </w:tcPr>
          <w:p>
            <w:pPr>
              <w:spacing w:after="0"/>
              <w:rPr>
                <w:sz w:val="14"/>
                <w:szCs w:val="14"/>
                <w:color w:val="auto"/>
              </w:rPr>
            </w:pPr>
          </w:p>
        </w:tc>
        <w:tc>
          <w:tcPr>
            <w:tcW w:w="1440" w:type="dxa"/>
            <w:vAlign w:val="bottom"/>
          </w:tcPr>
          <w:p>
            <w:pPr>
              <w:jc w:val="right"/>
              <w:ind w:right="860"/>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70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as of January 1</w:t>
            </w:r>
          </w:p>
        </w:tc>
        <w:tc>
          <w:tcPr>
            <w:tcW w:w="740" w:type="dxa"/>
            <w:vAlign w:val="bottom"/>
            <w:tcBorders>
              <w:top w:val="single" w:sz="8" w:color="auto"/>
            </w:tcBorders>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222"/>
              <w:spacing w:after="0" w:line="164" w:lineRule="exact"/>
              <w:rPr>
                <w:sz w:val="20"/>
                <w:szCs w:val="20"/>
                <w:color w:val="auto"/>
              </w:rPr>
            </w:pPr>
            <w:r>
              <w:rPr>
                <w:rFonts w:ascii="Arial" w:cs="Arial" w:eastAsia="Arial" w:hAnsi="Arial"/>
                <w:sz w:val="16"/>
                <w:szCs w:val="16"/>
                <w:color w:val="auto"/>
              </w:rPr>
              <w:t>23</w:t>
            </w:r>
          </w:p>
        </w:tc>
        <w:tc>
          <w:tcPr>
            <w:tcW w:w="480" w:type="dxa"/>
            <w:vAlign w:val="bottom"/>
            <w:tcBorders>
              <w:top w:val="single" w:sz="8" w:color="auto"/>
            </w:tcBorders>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center"/>
              <w:ind w:left="1180"/>
              <w:spacing w:after="0" w:line="164" w:lineRule="exact"/>
              <w:rPr>
                <w:sz w:val="20"/>
                <w:szCs w:val="20"/>
                <w:color w:val="auto"/>
              </w:rPr>
            </w:pPr>
            <w:r>
              <w:rPr>
                <w:rFonts w:ascii="Arial" w:cs="Arial" w:eastAsia="Arial" w:hAnsi="Arial"/>
                <w:sz w:val="16"/>
                <w:szCs w:val="16"/>
                <w:color w:val="auto"/>
              </w:rPr>
              <w:t>2</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Realized and unrealized gains</w:t>
            </w:r>
          </w:p>
        </w:tc>
        <w:tc>
          <w:tcPr>
            <w:tcW w:w="740" w:type="dxa"/>
            <w:vAlign w:val="bottom"/>
          </w:tcPr>
          <w:p>
            <w:pPr>
              <w:spacing w:after="0"/>
              <w:rPr>
                <w:sz w:val="15"/>
                <w:szCs w:val="15"/>
                <w:color w:val="auto"/>
              </w:rPr>
            </w:pPr>
          </w:p>
        </w:tc>
        <w:tc>
          <w:tcPr>
            <w:tcW w:w="1660" w:type="dxa"/>
            <w:vAlign w:val="bottom"/>
          </w:tcPr>
          <w:p>
            <w:pPr>
              <w:jc w:val="right"/>
              <w:ind w:right="222"/>
              <w:spacing w:after="0" w:line="176" w:lineRule="exact"/>
              <w:rPr>
                <w:sz w:val="20"/>
                <w:szCs w:val="20"/>
                <w:color w:val="auto"/>
              </w:rPr>
            </w:pPr>
            <w:r>
              <w:rPr>
                <w:rFonts w:ascii="Arial" w:cs="Arial" w:eastAsia="Arial" w:hAnsi="Arial"/>
                <w:sz w:val="16"/>
                <w:szCs w:val="16"/>
                <w:color w:val="auto"/>
              </w:rPr>
              <w:t>2</w:t>
            </w:r>
          </w:p>
        </w:tc>
        <w:tc>
          <w:tcPr>
            <w:tcW w:w="480" w:type="dxa"/>
            <w:vAlign w:val="bottom"/>
          </w:tcPr>
          <w:p>
            <w:pPr>
              <w:spacing w:after="0"/>
              <w:rPr>
                <w:sz w:val="15"/>
                <w:szCs w:val="15"/>
                <w:color w:val="auto"/>
              </w:rPr>
            </w:pPr>
          </w:p>
        </w:tc>
        <w:tc>
          <w:tcPr>
            <w:tcW w:w="1440" w:type="dxa"/>
            <w:vAlign w:val="bottom"/>
          </w:tcPr>
          <w:p>
            <w:pPr>
              <w:jc w:val="center"/>
              <w:ind w:left="1180"/>
              <w:spacing w:after="0" w:line="176" w:lineRule="exact"/>
              <w:rPr>
                <w:sz w:val="20"/>
                <w:szCs w:val="20"/>
                <w:color w:val="auto"/>
              </w:rPr>
            </w:pPr>
            <w:r>
              <w:rPr>
                <w:rFonts w:ascii="Arial" w:cs="Arial" w:eastAsia="Arial" w:hAnsi="Arial"/>
                <w:sz w:val="16"/>
                <w:szCs w:val="16"/>
                <w:color w:val="auto"/>
              </w:rPr>
              <w:t>6</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Allocated transmission instruments</w:t>
            </w:r>
          </w:p>
        </w:tc>
        <w:tc>
          <w:tcPr>
            <w:tcW w:w="740" w:type="dxa"/>
            <w:vAlign w:val="bottom"/>
          </w:tcPr>
          <w:p>
            <w:pPr>
              <w:spacing w:after="0"/>
              <w:rPr>
                <w:sz w:val="15"/>
                <w:szCs w:val="15"/>
                <w:color w:val="auto"/>
              </w:rPr>
            </w:pPr>
          </w:p>
        </w:tc>
        <w:tc>
          <w:tcPr>
            <w:tcW w:w="1660" w:type="dxa"/>
            <w:vAlign w:val="bottom"/>
          </w:tcPr>
          <w:p>
            <w:pPr>
              <w:jc w:val="right"/>
              <w:ind w:right="222"/>
              <w:spacing w:after="0" w:line="176" w:lineRule="exact"/>
              <w:rPr>
                <w:sz w:val="20"/>
                <w:szCs w:val="20"/>
                <w:color w:val="auto"/>
              </w:rPr>
            </w:pPr>
            <w:r>
              <w:rPr>
                <w:rFonts w:ascii="Arial" w:cs="Arial" w:eastAsia="Arial" w:hAnsi="Arial"/>
                <w:sz w:val="16"/>
                <w:szCs w:val="16"/>
                <w:color w:val="auto"/>
              </w:rPr>
              <w:t>1</w:t>
            </w:r>
          </w:p>
        </w:tc>
        <w:tc>
          <w:tcPr>
            <w:tcW w:w="480" w:type="dxa"/>
            <w:vAlign w:val="bottom"/>
          </w:tcPr>
          <w:p>
            <w:pPr>
              <w:spacing w:after="0"/>
              <w:rPr>
                <w:sz w:val="15"/>
                <w:szCs w:val="15"/>
                <w:color w:val="auto"/>
              </w:rPr>
            </w:pPr>
          </w:p>
        </w:tc>
        <w:tc>
          <w:tcPr>
            <w:tcW w:w="1440" w:type="dxa"/>
            <w:vAlign w:val="bottom"/>
          </w:tcPr>
          <w:p>
            <w:pPr>
              <w:jc w:val="center"/>
              <w:ind w:left="1180"/>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7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(5)</w:t>
            </w: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left="1160"/>
              <w:spacing w:after="0"/>
              <w:rPr>
                <w:sz w:val="20"/>
                <w:szCs w:val="20"/>
                <w:color w:val="auto"/>
              </w:rPr>
            </w:pPr>
            <w:r>
              <w:rPr>
                <w:rFonts w:ascii="Arial" w:cs="Arial" w:eastAsia="Arial" w:hAnsi="Arial"/>
                <w:sz w:val="16"/>
                <w:szCs w:val="16"/>
                <w:color w:val="auto"/>
              </w:rPr>
              <w:t>(6)</w:t>
            </w:r>
          </w:p>
        </w:tc>
      </w:tr>
      <w:tr>
        <w:trPr>
          <w:trHeight w:val="183"/>
        </w:trPr>
        <w:tc>
          <w:tcPr>
            <w:tcW w:w="71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March 31</w:t>
            </w:r>
          </w:p>
        </w:tc>
        <w:tc>
          <w:tcPr>
            <w:tcW w:w="7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2"/>
              <w:spacing w:after="0" w:line="176" w:lineRule="exact"/>
              <w:rPr>
                <w:sz w:val="20"/>
                <w:szCs w:val="20"/>
                <w:color w:val="auto"/>
              </w:rPr>
            </w:pPr>
            <w:r>
              <w:rPr>
                <w:rFonts w:ascii="Arial" w:cs="Arial" w:eastAsia="Arial" w:hAnsi="Arial"/>
                <w:sz w:val="16"/>
                <w:szCs w:val="16"/>
                <w:color w:val="auto"/>
              </w:rPr>
              <w:t>21</w:t>
            </w:r>
          </w:p>
        </w:tc>
        <w:tc>
          <w:tcPr>
            <w:tcW w:w="48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center"/>
              <w:ind w:left="1180"/>
              <w:spacing w:after="0" w:line="176" w:lineRule="exact"/>
              <w:rPr>
                <w:sz w:val="20"/>
                <w:szCs w:val="20"/>
                <w:color w:val="auto"/>
              </w:rPr>
            </w:pPr>
            <w:r>
              <w:rPr>
                <w:rFonts w:ascii="Arial" w:cs="Arial" w:eastAsia="Arial" w:hAnsi="Arial"/>
                <w:sz w:val="16"/>
                <w:szCs w:val="16"/>
                <w:color w:val="auto"/>
              </w:rPr>
              <w:t>3</w:t>
            </w:r>
          </w:p>
        </w:tc>
      </w:tr>
      <w:tr>
        <w:trPr>
          <w:trHeight w:val="183"/>
        </w:trPr>
        <w:tc>
          <w:tcPr>
            <w:tcW w:w="7100" w:type="dxa"/>
            <w:vAlign w:val="bottom"/>
            <w:gridSpan w:val="2"/>
          </w:tcPr>
          <w:p>
            <w:pPr>
              <w:spacing w:after="0"/>
              <w:rPr>
                <w:sz w:val="20"/>
                <w:szCs w:val="20"/>
                <w:color w:val="auto"/>
              </w:rPr>
            </w:pPr>
            <w:r>
              <w:rPr>
                <w:rFonts w:ascii="Arial" w:cs="Arial" w:eastAsia="Arial" w:hAnsi="Arial"/>
                <w:sz w:val="16"/>
                <w:szCs w:val="16"/>
                <w:color w:val="auto"/>
              </w:rPr>
              <w:t>Change in unrealized gains or losses relating to</w:t>
            </w:r>
          </w:p>
        </w:tc>
        <w:tc>
          <w:tcPr>
            <w:tcW w:w="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ectPr>
          <w:pgSz w:w="11900" w:h="16838" w:orient="portrait"/>
          <w:cols w:equalWidth="0" w:num="1">
            <w:col w:w="11420"/>
          </w:cols>
          <w:pgMar w:left="240" w:top="130" w:right="239" w:bottom="0" w:gutter="0" w:footer="0" w:header="0"/>
        </w:sectPr>
      </w:pPr>
    </w:p>
    <w:bookmarkStart w:id="37" w:name="page38"/>
    <w:bookmarkEnd w:id="37"/>
    <w:p>
      <w:pPr>
        <w:ind w:left="180"/>
        <w:spacing w:after="0"/>
        <w:tabs>
          <w:tab w:leader="none" w:pos="7560" w:val="left"/>
          <w:tab w:leader="none" w:pos="9020" w:val="left"/>
          <w:tab w:leader="none" w:pos="9720" w:val="left"/>
          <w:tab w:leader="none" w:pos="11200" w:val="left"/>
        </w:tabs>
        <w:rPr>
          <w:sz w:val="20"/>
          <w:szCs w:val="20"/>
          <w:color w:val="auto"/>
        </w:rPr>
      </w:pPr>
      <w:r>
        <w:rPr>
          <w:rFonts w:ascii="Arial" w:cs="Arial" w:eastAsia="Arial" w:hAnsi="Arial"/>
          <w:sz w:val="16"/>
          <w:szCs w:val="16"/>
          <w:color w:val="auto"/>
        </w:rPr>
        <w:t>instruments still held at March 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(ISO), an objective source. The impact associated with discounting is negligible. Because auction prices are a less observable input, these instruments are classified as Level 3. Auction prices range from ($3)/MWh to $5/MWh at a given location, and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The earnings impacts of CRRs are deferred and recorded in regulatory accounts to the extent they are recoverable or refundable through rates. Upon settlement, CRRs are included in Cost of Electric Fuel and Purchased Power on the Condensed Consolidated Statements of Operations.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Condensed Consolidated Balance Sheet reflects the offsetting of net derivative positions with fair value amounts for cash collateral with the same counterparty when management believes a legal right of offset exists.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amount of fair value of cash collateral receivables that were not offset in the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2012 and December 31, 2011: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880" w:type="dxa"/>
            <w:vAlign w:val="bottom"/>
          </w:tcPr>
          <w:p>
            <w:pPr>
              <w:jc w:val="center"/>
              <w:ind w:left="2525"/>
              <w:spacing w:after="0"/>
              <w:rPr>
                <w:sz w:val="20"/>
                <w:szCs w:val="20"/>
                <w:color w:val="auto"/>
              </w:rPr>
            </w:pPr>
            <w:r>
              <w:rPr>
                <w:rFonts w:ascii="Arial" w:cs="Arial" w:eastAsia="Arial" w:hAnsi="Arial"/>
                <w:sz w:val="14"/>
                <w:szCs w:val="14"/>
                <w:color w:val="auto"/>
              </w:rPr>
              <w:t>March 31,</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ind w:right="64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4"/>
        </w:trPr>
        <w:tc>
          <w:tcPr>
            <w:tcW w:w="4680" w:type="dxa"/>
            <w:vAlign w:val="bottom"/>
            <w:tcBorders>
              <w:bottom w:val="single" w:sz="8" w:color="auto"/>
            </w:tcBorders>
            <w:vMerge w:val="continue"/>
          </w:tcPr>
          <w:p>
            <w:pPr>
              <w:spacing w:after="0"/>
              <w:rPr>
                <w:sz w:val="14"/>
                <w:szCs w:val="14"/>
                <w:color w:val="auto"/>
              </w:rPr>
            </w:pPr>
          </w:p>
        </w:tc>
        <w:tc>
          <w:tcPr>
            <w:tcW w:w="3880" w:type="dxa"/>
            <w:vAlign w:val="bottom"/>
            <w:tcBorders>
              <w:bottom w:val="single" w:sz="8" w:color="auto"/>
            </w:tcBorders>
          </w:tcPr>
          <w:p>
            <w:pPr>
              <w:jc w:val="right"/>
              <w:ind w:right="425"/>
              <w:spacing w:after="0" w:line="157" w:lineRule="exact"/>
              <w:rPr>
                <w:sz w:val="20"/>
                <w:szCs w:val="20"/>
                <w:color w:val="auto"/>
              </w:rPr>
            </w:pPr>
            <w:r>
              <w:rPr>
                <w:rFonts w:ascii="Arial" w:cs="Arial" w:eastAsia="Arial" w:hAnsi="Arial"/>
                <w:sz w:val="14"/>
                <w:szCs w:val="14"/>
                <w:color w:val="auto"/>
              </w:rPr>
              <w:t>2012</w:t>
            </w: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43"/>
              <w:spacing w:after="0" w:line="157"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4"/>
        </w:trPr>
        <w:tc>
          <w:tcPr>
            <w:tcW w:w="46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388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25</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680" w:type="dxa"/>
            <w:vAlign w:val="bottom"/>
          </w:tcPr>
          <w:p>
            <w:pPr>
              <w:jc w:val="right"/>
              <w:spacing w:after="0" w:line="164"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3880" w:type="dxa"/>
            <w:vAlign w:val="bottom"/>
          </w:tcPr>
          <w:p>
            <w:pPr>
              <w:spacing w:after="0"/>
              <w:rPr>
                <w:sz w:val="15"/>
                <w:szCs w:val="15"/>
                <w:color w:val="auto"/>
              </w:rPr>
            </w:pPr>
          </w:p>
        </w:tc>
        <w:tc>
          <w:tcPr>
            <w:tcW w:w="7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12</w:t>
            </w:r>
          </w:p>
        </w:tc>
        <w:tc>
          <w:tcPr>
            <w:tcW w:w="44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0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certain other financial instruments at March 31, 2012 and December 31, 2011:</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301"/>
              <w:spacing w:after="0" w:line="159" w:lineRule="exact"/>
              <w:rPr>
                <w:sz w:val="20"/>
                <w:szCs w:val="20"/>
                <w:color w:val="auto"/>
              </w:rPr>
            </w:pPr>
            <w:r>
              <w:rPr>
                <w:rFonts w:ascii="Arial" w:cs="Arial" w:eastAsia="Arial" w:hAnsi="Arial"/>
                <w:sz w:val="14"/>
                <w:szCs w:val="14"/>
                <w:color w:val="auto"/>
              </w:rPr>
              <w:t>March 31, 2012</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521"/>
              <w:spacing w:after="0" w:line="142" w:lineRule="exact"/>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61"/>
              <w:spacing w:after="0" w:line="142" w:lineRule="exact"/>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w w:val="99"/>
              </w:rPr>
              <w:t>Amount</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450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Investments in affordable housing partnerships(1)</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20</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49</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debt(2)</w:t>
            </w:r>
          </w:p>
        </w:tc>
        <w:tc>
          <w:tcPr>
            <w:tcW w:w="360" w:type="dxa"/>
            <w:vAlign w:val="bottom"/>
          </w:tcPr>
          <w:p>
            <w:pPr>
              <w:spacing w:after="0"/>
              <w:rPr>
                <w:sz w:val="15"/>
                <w:szCs w:val="15"/>
                <w:color w:val="auto"/>
              </w:rPr>
            </w:pP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10,709</w:t>
            </w:r>
          </w:p>
        </w:tc>
        <w:tc>
          <w:tcPr>
            <w:tcW w:w="380" w:type="dxa"/>
            <w:vAlign w:val="bottom"/>
          </w:tcPr>
          <w:p>
            <w:pPr>
              <w:spacing w:after="0"/>
              <w:rPr>
                <w:sz w:val="15"/>
                <w:szCs w:val="15"/>
                <w:color w:val="auto"/>
              </w:rPr>
            </w:pP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11,288</w:t>
            </w:r>
          </w:p>
        </w:tc>
        <w:tc>
          <w:tcPr>
            <w:tcW w:w="860" w:type="dxa"/>
            <w:vAlign w:val="bottom"/>
          </w:tcPr>
          <w:p>
            <w:pPr>
              <w:spacing w:after="0"/>
              <w:rPr>
                <w:sz w:val="15"/>
                <w:szCs w:val="15"/>
                <w:color w:val="auto"/>
              </w:rPr>
            </w:pP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615</w:t>
            </w:r>
          </w:p>
        </w:tc>
        <w:tc>
          <w:tcPr>
            <w:tcW w:w="3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11,903</w:t>
            </w:r>
          </w:p>
        </w:tc>
      </w:tr>
      <w:tr>
        <w:trPr>
          <w:trHeight w:val="194"/>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Preferred stock of subsidiaries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106</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164"/>
        </w:trPr>
        <w:tc>
          <w:tcPr>
            <w:tcW w:w="45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debt(3)</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4,143</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4,103</w:t>
            </w:r>
          </w:p>
        </w:tc>
        <w:tc>
          <w:tcPr>
            <w:tcW w:w="8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352</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4,455</w:t>
            </w:r>
          </w:p>
        </w:tc>
      </w:tr>
      <w:tr>
        <w:trPr>
          <w:trHeight w:val="194"/>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Contingently redeemable preferred stock</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85</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164"/>
        </w:trPr>
        <w:tc>
          <w:tcPr>
            <w:tcW w:w="45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debt(4)</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1,312</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1,480</w:t>
            </w:r>
          </w:p>
        </w:tc>
        <w:tc>
          <w:tcPr>
            <w:tcW w:w="8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1,480</w:t>
            </w:r>
          </w:p>
        </w:tc>
      </w:tr>
      <w:tr>
        <w:trPr>
          <w:trHeight w:val="194"/>
        </w:trPr>
        <w:tc>
          <w:tcPr>
            <w:tcW w:w="452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360" w:type="dxa"/>
            <w:vAlign w:val="bottom"/>
          </w:tcPr>
          <w:p>
            <w:pPr>
              <w:spacing w:after="0"/>
              <w:rPr>
                <w:sz w:val="16"/>
                <w:szCs w:val="16"/>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23</w:t>
            </w:r>
          </w:p>
        </w:tc>
        <w:tc>
          <w:tcPr>
            <w:tcW w:w="860" w:type="dxa"/>
            <w:vAlign w:val="bottom"/>
          </w:tcPr>
          <w:p>
            <w:pPr>
              <w:spacing w:after="0"/>
              <w:rPr>
                <w:sz w:val="16"/>
                <w:szCs w:val="16"/>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45"/>
        </w:trPr>
        <w:tc>
          <w:tcPr>
            <w:tcW w:w="20" w:type="dxa"/>
            <w:vAlign w:val="bottom"/>
          </w:tcPr>
          <w:p>
            <w:pPr>
              <w:spacing w:after="0"/>
              <w:rPr>
                <w:sz w:val="24"/>
                <w:szCs w:val="24"/>
                <w:color w:val="auto"/>
              </w:rPr>
            </w:pPr>
          </w:p>
        </w:tc>
        <w:tc>
          <w:tcPr>
            <w:tcW w:w="4500" w:type="dxa"/>
            <w:vAlign w:val="bottom"/>
            <w:tcBorders>
              <w:top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tcBorders>
            <w:gridSpan w:val="3"/>
          </w:tcPr>
          <w:p>
            <w:pPr>
              <w:jc w:val="right"/>
              <w:ind w:right="161"/>
              <w:spacing w:after="0"/>
              <w:rPr>
                <w:sz w:val="20"/>
                <w:szCs w:val="20"/>
                <w:color w:val="auto"/>
              </w:rPr>
            </w:pPr>
            <w:r>
              <w:rPr>
                <w:rFonts w:ascii="Arial" w:cs="Arial" w:eastAsia="Arial" w:hAnsi="Arial"/>
                <w:sz w:val="14"/>
                <w:szCs w:val="14"/>
                <w:color w:val="auto"/>
              </w:rPr>
              <w:t>December 31, 2011</w:t>
            </w:r>
          </w:p>
        </w:tc>
        <w:tc>
          <w:tcPr>
            <w:tcW w:w="8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521"/>
              <w:spacing w:after="0" w:line="142" w:lineRule="exact"/>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561"/>
              <w:spacing w:after="0" w:line="142" w:lineRule="exact"/>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w w:val="99"/>
              </w:rPr>
              <w:t>Amount</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164"/>
        </w:trPr>
        <w:tc>
          <w:tcPr>
            <w:tcW w:w="20" w:type="dxa"/>
            <w:vAlign w:val="bottom"/>
          </w:tcPr>
          <w:p>
            <w:pPr>
              <w:spacing w:after="0"/>
              <w:rPr>
                <w:sz w:val="14"/>
                <w:szCs w:val="14"/>
                <w:color w:val="auto"/>
              </w:rPr>
            </w:pPr>
          </w:p>
        </w:tc>
        <w:tc>
          <w:tcPr>
            <w:tcW w:w="450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Investments in affordable housing partnerships(1)</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21</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48</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48</w:t>
            </w: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debt(2)</w:t>
            </w:r>
          </w:p>
        </w:tc>
        <w:tc>
          <w:tcPr>
            <w:tcW w:w="360" w:type="dxa"/>
            <w:vAlign w:val="bottom"/>
          </w:tcPr>
          <w:p>
            <w:pPr>
              <w:spacing w:after="0"/>
              <w:rPr>
                <w:sz w:val="15"/>
                <w:szCs w:val="15"/>
                <w:color w:val="auto"/>
              </w:rPr>
            </w:pP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9,826</w:t>
            </w:r>
          </w:p>
        </w:tc>
        <w:tc>
          <w:tcPr>
            <w:tcW w:w="380" w:type="dxa"/>
            <w:vAlign w:val="bottom"/>
          </w:tcPr>
          <w:p>
            <w:pPr>
              <w:spacing w:after="0"/>
              <w:rPr>
                <w:sz w:val="15"/>
                <w:szCs w:val="15"/>
                <w:color w:val="auto"/>
              </w:rPr>
            </w:pP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10,447</w:t>
            </w:r>
          </w:p>
        </w:tc>
        <w:tc>
          <w:tcPr>
            <w:tcW w:w="860" w:type="dxa"/>
            <w:vAlign w:val="bottom"/>
          </w:tcPr>
          <w:p>
            <w:pPr>
              <w:spacing w:after="0"/>
              <w:rPr>
                <w:sz w:val="15"/>
                <w:szCs w:val="15"/>
                <w:color w:val="auto"/>
              </w:rPr>
            </w:pP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600</w:t>
            </w:r>
          </w:p>
        </w:tc>
        <w:tc>
          <w:tcPr>
            <w:tcW w:w="3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11,047</w:t>
            </w:r>
          </w:p>
        </w:tc>
      </w:tr>
      <w:tr>
        <w:trPr>
          <w:trHeight w:val="194"/>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Preferred stock of subsidiaries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99</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106</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164"/>
        </w:trPr>
        <w:tc>
          <w:tcPr>
            <w:tcW w:w="45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debt(3)</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3,895</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3,933</w:t>
            </w:r>
          </w:p>
        </w:tc>
        <w:tc>
          <w:tcPr>
            <w:tcW w:w="8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355</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4,288</w:t>
            </w:r>
          </w:p>
        </w:tc>
      </w:tr>
      <w:tr>
        <w:trPr>
          <w:trHeight w:val="194"/>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Contingently redeemable preferred stock</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86</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164"/>
        </w:trPr>
        <w:tc>
          <w:tcPr>
            <w:tcW w:w="45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debt(4)</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1,313</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ind w:left="720"/>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line="176" w:lineRule="exact"/>
              <w:rPr>
                <w:sz w:val="20"/>
                <w:szCs w:val="20"/>
                <w:color w:val="auto"/>
              </w:rPr>
            </w:pPr>
            <w:r>
              <w:rPr>
                <w:rFonts w:ascii="Arial" w:cs="Arial" w:eastAsia="Arial" w:hAnsi="Arial"/>
                <w:sz w:val="16"/>
                <w:szCs w:val="16"/>
                <w:color w:val="auto"/>
              </w:rPr>
              <w:t>1,506</w:t>
            </w:r>
          </w:p>
        </w:tc>
        <w:tc>
          <w:tcPr>
            <w:tcW w:w="8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1,506</w:t>
            </w:r>
          </w:p>
        </w:tc>
      </w:tr>
      <w:tr>
        <w:trPr>
          <w:trHeight w:val="195"/>
        </w:trPr>
        <w:tc>
          <w:tcPr>
            <w:tcW w:w="452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360" w:type="dxa"/>
            <w:vAlign w:val="bottom"/>
          </w:tcPr>
          <w:p>
            <w:pPr>
              <w:spacing w:after="0"/>
              <w:rPr>
                <w:sz w:val="16"/>
                <w:szCs w:val="16"/>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23</w:t>
            </w:r>
          </w:p>
        </w:tc>
        <w:tc>
          <w:tcPr>
            <w:tcW w:w="860" w:type="dxa"/>
            <w:vAlign w:val="bottom"/>
          </w:tcPr>
          <w:p>
            <w:pPr>
              <w:spacing w:after="0"/>
              <w:rPr>
                <w:sz w:val="16"/>
                <w:szCs w:val="16"/>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hanging="396"/>
        <w:spacing w:after="0"/>
        <w:tabs>
          <w:tab w:leader="none" w:pos="6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 of the Notes to Consolidated Financial Statements in the Annual Report.</w:t>
      </w:r>
    </w:p>
    <w:p>
      <w:pPr>
        <w:spacing w:after="0" w:line="15" w:lineRule="exact"/>
        <w:rPr>
          <w:rFonts w:ascii="Arial" w:cs="Arial" w:eastAsia="Arial" w:hAnsi="Arial"/>
          <w:sz w:val="14"/>
          <w:szCs w:val="14"/>
          <w:i w:val="1"/>
          <w:iCs w:val="1"/>
          <w:color w:val="auto"/>
        </w:rPr>
      </w:pPr>
    </w:p>
    <w:p>
      <w:pPr>
        <w:ind w:left="620" w:right="120" w:hanging="396"/>
        <w:spacing w:after="0" w:line="241" w:lineRule="auto"/>
        <w:tabs>
          <w:tab w:leader="none" w:pos="6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$16 million at both March 31, 2012 and December 31, 2011, and excluding capital leases of $200 million at March 31, 2012 and $204 million at December 31, 2011, and commercial paper classified as long-term debt of $400 million at December 31, 2011. We discuss our long-term debt in Note 6 above and in Note 5 of the Notes to Consolidated Financial Statements in the Annual Report.</w:t>
      </w:r>
    </w:p>
    <w:p>
      <w:pPr>
        <w:spacing w:after="0" w:line="1" w:lineRule="exact"/>
        <w:rPr>
          <w:rFonts w:ascii="Arial" w:cs="Arial" w:eastAsia="Arial" w:hAnsi="Arial"/>
          <w:sz w:val="14"/>
          <w:szCs w:val="14"/>
          <w:i w:val="1"/>
          <w:iCs w:val="1"/>
          <w:color w:val="auto"/>
        </w:rPr>
      </w:pPr>
    </w:p>
    <w:p>
      <w:pPr>
        <w:ind w:left="620" w:right="60" w:hanging="396"/>
        <w:spacing w:after="0" w:line="241" w:lineRule="auto"/>
        <w:tabs>
          <w:tab w:leader="none" w:pos="6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$12 million at March 31, 2012 and $11 million at December 31, 2011, and excluding capital leases of $191 million at March 31, 2012 and $193 million at December 31, 2011.</w:t>
      </w:r>
    </w:p>
    <w:p>
      <w:pPr>
        <w:ind w:left="620" w:right="140" w:hanging="396"/>
        <w:spacing w:after="0" w:line="258" w:lineRule="auto"/>
        <w:tabs>
          <w:tab w:leader="none" w:pos="6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$2 million at March 31, 2012 and $3 million at December 31, 2011, and excluding capital leases of $9 million at March 31, 2012 and $11 million at December 31, 2011.</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calculate the fair value of our investments in affordable housing partnerships using an income approach based on the present value of estimated future cash flows discounted at rates available for similar investments (Level 3).</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base the fair value of certain of our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ectPr>
          <w:pgSz w:w="11900" w:h="16838" w:orient="portrait"/>
          <w:cols w:equalWidth="0" w:num="1">
            <w:col w:w="11420"/>
          </w:cols>
          <w:pgMar w:left="240" w:top="128" w:right="239" w:bottom="66"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We discuss SDG&amp;E’s investments in nuclear decommissioning trust funds in Note 6 of the Notes to Consolidated Financial Statements in the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180" w:type="dxa"/>
            <w:vAlign w:val="bottom"/>
          </w:tcPr>
          <w:p>
            <w:pPr>
              <w:jc w:val="center"/>
              <w:ind w:right="208"/>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Estimated</w:t>
            </w: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17"/>
                <w:szCs w:val="17"/>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7"/>
                <w:szCs w:val="17"/>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color w:val="auto"/>
              </w:rPr>
              <w:t>Fair</w:t>
            </w:r>
          </w:p>
        </w:tc>
      </w:tr>
      <w:tr>
        <w:trPr>
          <w:trHeight w:val="195"/>
        </w:trPr>
        <w:tc>
          <w:tcPr>
            <w:tcW w:w="20" w:type="dxa"/>
            <w:vAlign w:val="bottom"/>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Gains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Losses</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Value</w:t>
            </w: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As of March 31, 2012:</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340"/>
              <w:spacing w:after="0"/>
              <w:rPr>
                <w:sz w:val="20"/>
                <w:szCs w:val="20"/>
                <w:color w:val="auto"/>
              </w:rPr>
            </w:pPr>
            <w:r>
              <w:rPr>
                <w:rFonts w:ascii="Arial" w:cs="Arial" w:eastAsia="Arial" w:hAnsi="Arial"/>
                <w:sz w:val="14"/>
                <w:szCs w:val="14"/>
                <w:color w:val="auto"/>
              </w:rPr>
              <w:t>U.S. government corporations and agencies(1)</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162</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Municipal bonds(2)</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64"/>
        </w:trPr>
        <w:tc>
          <w:tcPr>
            <w:tcW w:w="20" w:type="dxa"/>
            <w:vAlign w:val="bottom"/>
          </w:tcPr>
          <w:p>
            <w:pPr>
              <w:spacing w:after="0"/>
              <w:rPr>
                <w:sz w:val="14"/>
                <w:szCs w:val="14"/>
                <w:color w:val="auto"/>
              </w:rPr>
            </w:pPr>
          </w:p>
        </w:tc>
        <w:tc>
          <w:tcPr>
            <w:tcW w:w="5060" w:type="dxa"/>
            <w:vAlign w:val="bottom"/>
          </w:tcPr>
          <w:p>
            <w:pPr>
              <w:ind w:left="140"/>
              <w:spacing w:after="0" w:line="137" w:lineRule="exact"/>
              <w:rPr>
                <w:sz w:val="20"/>
                <w:szCs w:val="20"/>
                <w:color w:val="auto"/>
              </w:rPr>
            </w:pPr>
            <w:r>
              <w:rPr>
                <w:rFonts w:ascii="Arial" w:cs="Arial" w:eastAsia="Arial" w:hAnsi="Arial"/>
                <w:sz w:val="14"/>
                <w:szCs w:val="14"/>
                <w:color w:val="auto"/>
              </w:rPr>
              <w:t>Other securities(3)</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80</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84</w:t>
            </w:r>
          </w:p>
        </w:tc>
      </w:tr>
      <w:tr>
        <w:trPr>
          <w:trHeight w:val="167"/>
        </w:trPr>
        <w:tc>
          <w:tcPr>
            <w:tcW w:w="508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308</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239</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278</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164"/>
        </w:trPr>
        <w:tc>
          <w:tcPr>
            <w:tcW w:w="5080" w:type="dxa"/>
            <w:vAlign w:val="bottom"/>
            <w:gridSpan w:val="2"/>
          </w:tcPr>
          <w:p>
            <w:pPr>
              <w:spacing w:after="0" w:line="137" w:lineRule="exact"/>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25</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w:t>
            </w:r>
          </w:p>
        </w:tc>
      </w:tr>
      <w:tr>
        <w:trPr>
          <w:trHeight w:val="169"/>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296</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r>
      <w:tr>
        <w:trPr>
          <w:trHeight w:val="167"/>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2011:</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340"/>
              <w:spacing w:after="0"/>
              <w:rPr>
                <w:sz w:val="20"/>
                <w:szCs w:val="20"/>
                <w:color w:val="auto"/>
              </w:rPr>
            </w:pPr>
            <w:r>
              <w:rPr>
                <w:rFonts w:ascii="Arial" w:cs="Arial" w:eastAsia="Arial" w:hAnsi="Arial"/>
                <w:sz w:val="14"/>
                <w:szCs w:val="14"/>
                <w:color w:val="auto"/>
              </w:rPr>
              <w:t>U.S. government corporations and agencies</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157</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Municipal bonds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64"/>
        </w:trPr>
        <w:tc>
          <w:tcPr>
            <w:tcW w:w="20" w:type="dxa"/>
            <w:vAlign w:val="bottom"/>
          </w:tcPr>
          <w:p>
            <w:pPr>
              <w:spacing w:after="0"/>
              <w:rPr>
                <w:sz w:val="14"/>
                <w:szCs w:val="14"/>
                <w:color w:val="auto"/>
              </w:rPr>
            </w:pPr>
          </w:p>
        </w:tc>
        <w:tc>
          <w:tcPr>
            <w:tcW w:w="5060" w:type="dxa"/>
            <w:vAlign w:val="bottom"/>
          </w:tcPr>
          <w:p>
            <w:pPr>
              <w:ind w:left="140"/>
              <w:spacing w:after="0" w:line="137" w:lineRule="exact"/>
              <w:rPr>
                <w:sz w:val="20"/>
                <w:szCs w:val="20"/>
                <w:color w:val="auto"/>
              </w:rPr>
            </w:pPr>
            <w:r>
              <w:rPr>
                <w:rFonts w:ascii="Arial" w:cs="Arial" w:eastAsia="Arial" w:hAnsi="Arial"/>
                <w:sz w:val="14"/>
                <w:szCs w:val="14"/>
                <w:color w:val="auto"/>
              </w:rPr>
              <w:t>Other securities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76</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78</w:t>
            </w:r>
          </w:p>
        </w:tc>
      </w:tr>
      <w:tr>
        <w:trPr>
          <w:trHeight w:val="167"/>
        </w:trPr>
        <w:tc>
          <w:tcPr>
            <w:tcW w:w="508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305</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325</w:t>
            </w: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246</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164"/>
        </w:trPr>
        <w:tc>
          <w:tcPr>
            <w:tcW w:w="5080" w:type="dxa"/>
            <w:vAlign w:val="bottom"/>
            <w:gridSpan w:val="2"/>
          </w:tcPr>
          <w:p>
            <w:pPr>
              <w:spacing w:after="0" w:line="137" w:lineRule="exact"/>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11</w:t>
            </w:r>
          </w:p>
        </w:tc>
      </w:tr>
      <w:tr>
        <w:trPr>
          <w:trHeight w:val="169"/>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562</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(6)</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r>
    </w:tbl>
    <w:p>
      <w:pPr>
        <w:ind w:left="200"/>
        <w:spacing w:after="0"/>
        <w:tabs>
          <w:tab w:leader="none" w:pos="540" w:val="left"/>
        </w:tabs>
        <w:rPr>
          <w:sz w:val="20"/>
          <w:szCs w:val="20"/>
          <w:color w:val="auto"/>
        </w:rPr>
      </w:pPr>
      <w:r>
        <w:rPr>
          <w:rFonts w:ascii="Arial" w:cs="Arial" w:eastAsia="Arial" w:hAnsi="Arial"/>
          <w:sz w:val="14"/>
          <w:szCs w:val="14"/>
          <w:i w:val="1"/>
          <w:iCs w:val="1"/>
          <w:color w:val="auto"/>
        </w:rPr>
        <w:t>(1)</w:t>
        <w:tab/>
        <w:t>Maturity dates are 2013-2042</w:t>
      </w:r>
    </w:p>
    <w:p>
      <w:pPr>
        <w:spacing w:after="0" w:line="6"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4"/>
          <w:szCs w:val="14"/>
          <w:i w:val="1"/>
          <w:iCs w:val="1"/>
          <w:color w:val="auto"/>
        </w:rPr>
        <w:t>(2)</w:t>
        <w:tab/>
        <w:t>Maturity dates are 2012-2057</w:t>
      </w:r>
    </w:p>
    <w:p>
      <w:pPr>
        <w:spacing w:after="0" w:line="1"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4"/>
          <w:szCs w:val="14"/>
          <w:i w:val="1"/>
          <w:iCs w:val="1"/>
          <w:color w:val="auto"/>
        </w:rPr>
        <w:t>(3)</w:t>
        <w:tab/>
        <w:t>Maturity dates are 2012-2051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jc w:val="right"/>
              <w:ind w:right="79"/>
              <w:spacing w:after="0" w:line="159" w:lineRule="exact"/>
              <w:rPr>
                <w:sz w:val="20"/>
                <w:szCs w:val="20"/>
                <w:color w:val="auto"/>
              </w:rPr>
            </w:pPr>
            <w:r>
              <w:rPr>
                <w:rFonts w:ascii="Arial" w:cs="Arial" w:eastAsia="Arial" w:hAnsi="Arial"/>
                <w:sz w:val="14"/>
                <w:szCs w:val="14"/>
                <w:color w:val="auto"/>
              </w:rPr>
              <w:t>Three months ended March 31,</w:t>
            </w:r>
          </w:p>
        </w:tc>
        <w:tc>
          <w:tcPr>
            <w:tcW w:w="19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2012</w:t>
            </w:r>
          </w:p>
        </w:tc>
        <w:tc>
          <w:tcPr>
            <w:tcW w:w="1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401"/>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5200" w:type="dxa"/>
            <w:vAlign w:val="bottom"/>
          </w:tcPr>
          <w:p>
            <w:pPr>
              <w:spacing w:after="0" w:line="164" w:lineRule="exact"/>
              <w:rPr>
                <w:sz w:val="20"/>
                <w:szCs w:val="20"/>
                <w:color w:val="auto"/>
              </w:rPr>
            </w:pPr>
            <w:r>
              <w:rPr>
                <w:rFonts w:ascii="Arial" w:cs="Arial" w:eastAsia="Arial" w:hAnsi="Arial"/>
                <w:sz w:val="16"/>
                <w:szCs w:val="16"/>
                <w:color w:val="auto"/>
              </w:rPr>
              <w:t>Proceeds from sales</w:t>
            </w:r>
          </w:p>
        </w:tc>
        <w:tc>
          <w:tcPr>
            <w:tcW w:w="1860" w:type="dxa"/>
            <w:vAlign w:val="bottom"/>
          </w:tcPr>
          <w:p>
            <w:pPr>
              <w:jc w:val="right"/>
              <w:ind w:right="803"/>
              <w:spacing w:after="0" w:line="164" w:lineRule="exact"/>
              <w:rPr>
                <w:sz w:val="20"/>
                <w:szCs w:val="20"/>
                <w:color w:val="auto"/>
              </w:rPr>
            </w:pPr>
            <w:r>
              <w:rPr>
                <w:rFonts w:ascii="Arial" w:cs="Arial" w:eastAsia="Arial" w:hAnsi="Arial"/>
                <w:sz w:val="16"/>
                <w:szCs w:val="16"/>
                <w:color w:val="auto"/>
              </w:rPr>
              <w:t>$</w:t>
            </w:r>
          </w:p>
        </w:tc>
        <w:tc>
          <w:tcPr>
            <w:tcW w:w="1540" w:type="dxa"/>
            <w:vAlign w:val="bottom"/>
          </w:tcPr>
          <w:p>
            <w:pPr>
              <w:jc w:val="right"/>
              <w:ind w:right="401"/>
              <w:spacing w:after="0" w:line="164" w:lineRule="exact"/>
              <w:rPr>
                <w:sz w:val="20"/>
                <w:szCs w:val="20"/>
                <w:color w:val="auto"/>
              </w:rPr>
            </w:pPr>
            <w:r>
              <w:rPr>
                <w:rFonts w:ascii="Arial" w:cs="Arial" w:eastAsia="Arial" w:hAnsi="Arial"/>
                <w:sz w:val="16"/>
                <w:szCs w:val="16"/>
                <w:color w:val="auto"/>
              </w:rPr>
              <w:t>129</w:t>
            </w:r>
          </w:p>
        </w:tc>
        <w:tc>
          <w:tcPr>
            <w:tcW w:w="860" w:type="dxa"/>
            <w:vAlign w:val="bottom"/>
          </w:tcPr>
          <w:p>
            <w:pPr>
              <w:jc w:val="right"/>
              <w:ind w:right="219"/>
              <w:spacing w:after="0" w:line="164" w:lineRule="exact"/>
              <w:rPr>
                <w:sz w:val="20"/>
                <w:szCs w:val="20"/>
                <w:color w:val="auto"/>
              </w:rPr>
            </w:pPr>
            <w:r>
              <w:rPr>
                <w:rFonts w:ascii="Arial" w:cs="Arial" w:eastAsia="Arial" w:hAnsi="Arial"/>
                <w:sz w:val="16"/>
                <w:szCs w:val="16"/>
                <w:color w:val="auto"/>
              </w:rPr>
              <w:t>$</w:t>
            </w:r>
          </w:p>
        </w:tc>
        <w:tc>
          <w:tcPr>
            <w:tcW w:w="1940" w:type="dxa"/>
            <w:vAlign w:val="bottom"/>
          </w:tcPr>
          <w:p>
            <w:pPr>
              <w:jc w:val="right"/>
              <w:spacing w:after="0" w:line="164" w:lineRule="exact"/>
              <w:rPr>
                <w:sz w:val="20"/>
                <w:szCs w:val="20"/>
                <w:color w:val="auto"/>
              </w:rPr>
            </w:pPr>
            <w:r>
              <w:rPr>
                <w:rFonts w:ascii="Arial" w:cs="Arial" w:eastAsia="Arial" w:hAnsi="Arial"/>
                <w:sz w:val="16"/>
                <w:szCs w:val="16"/>
                <w:color w:val="auto"/>
              </w:rPr>
              <w:t>42</w:t>
            </w:r>
          </w:p>
        </w:tc>
      </w:tr>
      <w:tr>
        <w:trPr>
          <w:trHeight w:val="176"/>
        </w:trPr>
        <w:tc>
          <w:tcPr>
            <w:tcW w:w="5220" w:type="dxa"/>
            <w:vAlign w:val="bottom"/>
            <w:gridSpan w:val="2"/>
          </w:tcPr>
          <w:p>
            <w:pPr>
              <w:spacing w:after="0" w:line="176" w:lineRule="exact"/>
              <w:rPr>
                <w:sz w:val="20"/>
                <w:szCs w:val="20"/>
                <w:color w:val="auto"/>
              </w:rPr>
            </w:pPr>
            <w:r>
              <w:rPr>
                <w:rFonts w:ascii="Arial" w:cs="Arial" w:eastAsia="Arial" w:hAnsi="Arial"/>
                <w:sz w:val="16"/>
                <w:szCs w:val="16"/>
                <w:color w:val="auto"/>
              </w:rPr>
              <w:t>Gross realized gains</w:t>
            </w:r>
          </w:p>
        </w:tc>
        <w:tc>
          <w:tcPr>
            <w:tcW w:w="1860" w:type="dxa"/>
            <w:vAlign w:val="bottom"/>
          </w:tcPr>
          <w:p>
            <w:pPr>
              <w:spacing w:after="0"/>
              <w:rPr>
                <w:sz w:val="15"/>
                <w:szCs w:val="15"/>
                <w:color w:val="auto"/>
              </w:rPr>
            </w:pPr>
          </w:p>
        </w:tc>
        <w:tc>
          <w:tcPr>
            <w:tcW w:w="1540" w:type="dxa"/>
            <w:vAlign w:val="bottom"/>
          </w:tcPr>
          <w:p>
            <w:pPr>
              <w:jc w:val="right"/>
              <w:ind w:right="401"/>
              <w:spacing w:after="0" w:line="176" w:lineRule="exact"/>
              <w:rPr>
                <w:sz w:val="20"/>
                <w:szCs w:val="20"/>
                <w:color w:val="auto"/>
              </w:rPr>
            </w:pPr>
            <w:r>
              <w:rPr>
                <w:rFonts w:ascii="Arial" w:cs="Arial" w:eastAsia="Arial" w:hAnsi="Arial"/>
                <w:sz w:val="16"/>
                <w:szCs w:val="16"/>
                <w:color w:val="auto"/>
              </w:rPr>
              <w:t>4</w:t>
            </w:r>
          </w:p>
        </w:tc>
        <w:tc>
          <w:tcPr>
            <w:tcW w:w="860" w:type="dxa"/>
            <w:vAlign w:val="bottom"/>
          </w:tcPr>
          <w:p>
            <w:pPr>
              <w:spacing w:after="0"/>
              <w:rPr>
                <w:sz w:val="15"/>
                <w:szCs w:val="15"/>
                <w:color w:val="auto"/>
              </w:rPr>
            </w:pPr>
          </w:p>
        </w:tc>
        <w:tc>
          <w:tcPr>
            <w:tcW w:w="19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Gross realized losses</w:t>
            </w:r>
          </w:p>
        </w:tc>
        <w:tc>
          <w:tcPr>
            <w:tcW w:w="1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Fair Value Measures – Sempra Energy Consolidated</w:t>
      </w:r>
    </w:p>
    <w:p>
      <w:pPr>
        <w:spacing w:after="0" w:line="2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discuss non-recurring fair value measures and the associated accounting impact on our investments in RBS Sempra Commodities and Argentina in Note 4 of the Notes to Consolidated Financial Statements in the Annual Report and, with regard to RBS Sempra Commodities, in Note 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NOTE 9. CALIFORNIA UTILITIES' REGULATORY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Rate Case (GRC)</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December 2010, the California Utilities filed their 2012 General Rate Case (GRC) applications to establish their authorized 2012 revenue requirements and the ratemaking mechanisms by which those requirements will change on an annual basis over the subsequent three-year (2013-2015) period. Both SDG&amp;E and SoCalGas filed revised applications with the CPUC in July 2011. Evidentiary hearings were completed in January 2012 and final briefs reflecting the results from these hearings are scheduled to be filed with the CPUC by May 14, 2012.</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February 2012, the California Utilities filed amendments to update their July 2011 revised applications. With these amendments, SDG&amp;E is requesting a revenue requirement in 2012 of $1.849 billion, an increase of $235 million (or 14.6%) over 2011, of which $67 million is being requested for cost recovery of the incremental wildfire insurance premiums which are not included in the 2011 revenue requirement as set forth in the 2008 GRC. SoCalGas is requesting a revenue requirement in 2012 of $2.112 billion, an increase of $268 million (14.5%) over 2011. The Division of Ratepayer Advocates and other intervening parties are recommending that the CPUC reduce the utilities’ revenue requirements in 2012 by approximately 5 percent compared to 2011.</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Until such time as a final decision for the 2012 GRC is issued, the California Utilities are recording revenues in 2012 based on levels authorized in 2011 plus, for SDG&amp;E, consistent with the recent CPUC decisions for cost recovery for SDG&amp;E’s incremental wildfire insurance premiums, an amount for the recovery of 2012 wildfire insurance premiums. We currently expect a final decision for the 2012 GRC, which will be made effective retroactive to January 1, 2012, in the second half of 2012.</w:t>
      </w:r>
    </w:p>
    <w:p>
      <w:pPr>
        <w:sectPr>
          <w:pgSz w:w="11900" w:h="16838" w:orient="portrait"/>
          <w:cols w:equalWidth="0" w:num="1">
            <w:col w:w="11420"/>
          </w:cols>
          <w:pgMar w:left="240" w:top="125" w:right="239" w:bottom="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Cost of Capital</w:t>
      </w:r>
    </w:p>
    <w:p>
      <w:pPr>
        <w:spacing w:after="0" w:line="205"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A cost of capital proceeding determines a utility’s authorized capital structure and authorized rate of return on rate base (ROR), which is a weighted average of the authorized returns on debt, preferred stock, and common equity (return on equity or ROE). The authorized ROR is the rate that the California Utilities are authorized to earn on their investment in electric and natural gas distribution, natural gas transmission and electric generation assets. In addition, a cost of capital proceeding also addresses market-based benchmarks to be monitored to determine whether an adjustment to the established authorized rate of return is required during the interim years between proceedings through the approved adjustment mechanism.</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SDG&amp;E and SoCalGas filed separate applications with the CPUC in April 2012 to update their cost of capital effective January 1, 2013. Southern California Edison (Edison) and Pacific Gas and Electric Company (PG&amp;E) also filed separate cost of capital applications with the CPUC. SDG&amp;E is proposing to adjust its authorized capital structure by increasing the amount of its common equity from 49.0 percent to 52.0 percent. SDG&amp;E is also proposing to lower its authorized ROE from 11.1 percent to 11.0 percent and to lower its authorized ROR from 8.40 percent to 8.20 percent. SoCalGas is proposing to adjust its authorized capital structure by increasing the amount of its common equity from 48.0 percent to 52.0 percent. SoCalGas is also proposing to increase its authorized ROE from 10.82 percent to 10.9 percent and to lower its authorized ROR from 8.68 percent to 8.42 percent. SDG&amp;E is proposing to continue its cost of capital adjustment mechanism which uses a utility bond benchmark. SoCalGas is proposing to switch from its current cost of capital adjustment mechanism, which is based on U.S. Treasury Bonds, to the utility bond benchmark used by SDG&amp;E, Edison and PG&amp;E. Both SDG&amp;E and SoCalGas are proposing to add an “off ramp” provision to the adjustment mechanism as a safeguard to protect against extreme changes in interest rates and to allow the CPUC latitude to suspend the annual mechanism if prudent.</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SDG&amp;E’s cost of capital adjustment mechanism benchmark is based on the 12-month average monthly A-rated utility bond yield as published by Moody’s for the 12-month period October through September of each fiscal year. If this 12-month average falls outside of a specified range, then SDG&amp;E’s authorized ROE would be adjusted, upward or downward, by one-half of the difference between the 12-month average and the mid-point of the specified range. In addition, SDG&amp;E’s authorized recovery rate for the cost of debt and preferred stock would also be adjusted to their respective actual weighted average cost. Therefore, SDG&amp;E’s authorized ROR would adjust, upward or downward, as a result of all three adjustments with the new rate going into effect on January 1 following the year in which the benchmark range was exceeded. However, SDG&amp;E expects the CPUC decision from the 2013 cost of capital application to supersede the rates that would result if, at the end of September 2012, this mechanism were to indicate that an adjustment is required.</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SoCalGas’ current cost of capital mechanism (the Market Indexed Capital Adjustment Mechanism or MICAM) identifies two conditions for determining whether a change in the authorized rate of return is required. Both conditions are based on the 30-year Treasury bond yields – one being the most recent trailing 12-month rolling average yield and the second being the corresponding 12-month forward forecast yield as published by Global Insight. If both conditions fall outside a specified range in a given month, SoCalGas’ authorized ROE would be adjusted, upward or downward, by one-half of the difference between the trailing 12-month rolling average yield and the midpoint of the range, effective January 1 following the year in which both conditions were exceeded. Also, SoCalGas’ authorized recovery rate for the cost of debt and preferred stock would be adjusted to their respective actual weighted average cost. Therefore, SoCalGas’ authorized ROR would adjust, upward or downward, as a result of all three cost adjustments. In the event of such an event occurring, the benchmark interest rate would be reset to the interest rate in effect at the time it was determined that the benchmark range had been exceeded.</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January 31, 2012, the historical rolling average yield for the 30-year Treasury bonds of 3.79 percent fell below the MICAM floor of 3.88 percent. In addition, the Global Insight 12-month forward forecasted yield of 3.48 percent published in February 2012 was also below the MICAM floor. Therefore, the MICAM calls for an adjustment of SoCalGas’ ROE and authorized recovery for the cost of debt and preferred stock to their actual weighted average cost to be effective on January 1, 2013. If the MICAM adjustment is implemented, SoCalGas’ ROE would be reduced to 10.02 percent effective January 1, 2013, a reduction of 80 basis points from its current authorized ROE, and its authorized ROR would be reduced to 7.99 percent, a reduction of 69 basis points from its current authorized ROR. However, SoCalGas expects that the CPUC decision from its 2013 cost of capital application will supersede the rates that would result from the MICAM adjustment. The CPUC proposed schedule calls for a final decision by the end of 2012.</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Pipeline Operations Safety Assessments</w:t>
      </w:r>
    </w:p>
    <w:p>
      <w:pPr>
        <w:spacing w:after="0" w:line="20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a result of recent natural gas pipeline explosions in the U.S., including the September 2010 rupture in San Bruno, California of a natural gas pipeline owned and operated by PG&amp;E (the San Bruno incident), various regulatory agencies, including the CPUC, are evaluating natural gas pipeline safety regulations, practices and procedures.</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June 2011, the CPUC directed SoCalGas, SDG&amp;E, PG&amp;E and Southwest Gas to file comprehensive implementation plans to test or replace all natural gas transmission pipelines that have not been pressure tested. The California Utilities filed their Pipeline Safety Enhancement Plan (PSEP) with the CPUC in August 2011. The proposed safety measures, investments and estimated costs are not included in the California Utilities’ 2012 GRC requests discussed above.</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w:t>
      </w:r>
    </w:p>
    <w:p>
      <w:pPr>
        <w:spacing w:after="0" w:line="12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January 2012, the CPUC Consumer Protection and Safety Division (CPSD) issued a Technical Report of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February 2012, the assigned Commissioner in the TCAP issued a ruling setting a schedule for the review of the SDG&amp;E and SoCalGas PSEP with evidentiary hearings in August 2012 and a final decision in the first quarter of 2013. 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April 2012, the CPUC issued a decision expanding the scope of the rulemaking proceeding to incorporate the provisions of California Senate Bill 705 which requires gas utilities to develop and implement a plan for the safe and reliable operation for their gas pipeline facilities. The CPUC must accept, modify or reject the plans by the end of 2012. The CPUC decision also orders the utilities to undergo independent management and financial audits to assure that the</w:t>
      </w:r>
    </w:p>
    <w:p>
      <w:pPr>
        <w:sectPr>
          <w:pgSz w:w="11900" w:h="16838" w:orient="portrait"/>
          <w:cols w:equalWidth="0" w:num="1">
            <w:col w:w="11420"/>
          </w:cols>
          <w:pgMar w:left="240" w:top="339" w:right="239" w:bottom="0" w:gutter="0" w:footer="0" w:header="0"/>
        </w:sectPr>
      </w:pPr>
    </w:p>
    <w:bookmarkStart w:id="40" w:name="page41"/>
    <w:bookmarkEnd w:id="40"/>
    <w:p>
      <w:pPr>
        <w:ind w:right="40"/>
        <w:spacing w:after="0" w:line="277" w:lineRule="auto"/>
        <w:rPr>
          <w:sz w:val="20"/>
          <w:szCs w:val="20"/>
          <w:color w:val="auto"/>
        </w:rPr>
      </w:pPr>
      <w:r>
        <w:rPr>
          <w:rFonts w:ascii="Arial" w:cs="Arial" w:eastAsia="Arial" w:hAnsi="Arial"/>
          <w:sz w:val="18"/>
          <w:szCs w:val="18"/>
          <w:color w:val="auto"/>
        </w:rPr>
        <w:t>utilities are fully meeting their safety responsibilities. CPSD will select the independent auditors and will oversee the audits. A schedule for the audits has not been established.</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Utility Incentive Mechanisms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provide additional information regarding these incentive mechanisms in Note 14 of the Notes to Consolidated Financial Statements in the Annual Report, and updates below.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2012, the CPUC approved and SoCalGas recorded SoCalGas’ application for its Gas Cost Incentive Mechanism award of $6.2 million for natural gas procured for its core customers during the 12-month period ending March 31, 2011.</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Power Procurement and Resource Planning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Renewable Energy</w:t>
      </w:r>
    </w:p>
    <w:p>
      <w:pPr>
        <w:spacing w:after="0" w:line="20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SDG&amp;E is subject to the Renewables Portfolio Standard (RPS) Program administered by both the CPUC and the California Energy Commission (CEC), which requires each California utility to procure 33 percent of its annual electric energy requirements from renewable energy sources by 2020, with an average of 20 percent required from January 1, 2011 to December 31, 2013; 25 percent by December 31, 2016; and 33 percent by December 31, 2020. The CPUC began a rulemaking in May 2011 to address the implementation of the 33% RPS Program. We discuss the RPS Program further in Note 14 of the Notes to Consolidated Financial Statements in the Annual Report.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 Orange County Reliability Enhancement</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SDG&amp;E plans to file an application with the CPUC in May 2012 for a Certificate of Public Convenience and Necessity (CPCN) to construct the South Orange County Reliability Enhancement project. The purpose of the project is to enhance the capacity and reliability of SDG&amp;E’s electric service to the south Orange County area. The proposed project primarily includes replacing and upgrading approximately eight miles of transmission lines and rebuilding and upgrading a substation at an existing site. SDG&amp;E will be requesting a CPUC decision approving the estimated $473 million project by the third quarter</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2013. SDG&amp;E obtained approval for the project from the California Independent System Operator (CAISO) in May 2011. The project is expected to be in service by the second half of 2017.</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Incremental Insurance Premium Cost Recovery</w:t>
      </w:r>
    </w:p>
    <w:p>
      <w:pPr>
        <w:spacing w:after="0" w:line="20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December 2010, the CPUC approved SDG&amp;E’s request for a $29 million revenue requirement for the recovery of the incremental increase in its general liability and wildfire liability insurance premium costs for the July 2009/June 2010 policy period. In its decision approving this cost recovery, the CPUC also authorized SDG&amp;E to request recovery of any incremental insurance premiums for future policy periods through December 31, 2011, with a $5 million deductible applied to each policy renewal period. This approval was in response to a request filed by SDG&amp;E with the CPUC in August 2009 seeking authorization to recover higher liability insurance premiums (amounts in excess of those authorized to be recovered in the 2008 GRC), which SDG&amp;E began incurring commencing July 1, 2009, and any losses realized due to higher deductibles associated with the new policies. SDG&amp;E made the filing under the CPUC’s rules allowing utilities to seek recovery of significant cost increases incurred between GRC filings resulting from unforeseen circumstances. The CPUC’s rules allow a utility to seek recovery of incurred costs that meet certain criteria, subject to a $5 million deductible per event.</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2011, the CPUC approved SDG&amp;E’s request for an incremental revenue requirement of $63 million for the July 2010/June 2011 policy period. SDG&amp;E recorded the revenue resulting from this decision in the fourth quarter of 2011. In addition, SDG&amp;E’s fourth quarter 2011 earnings included revenue to recover $28 million of incremental insurance premiums incurred in the six month period of July through December 2011 for which a final decision from the CPUC is pending. In April 2012, the CPUC issued a draft resolution approving the $28 million in cost recovery as requested. We expect a final CPUC resolution on this pending request by June 2012.</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CPUC’s December 2010 decision, discussed above, the CPUC directed SDG&amp;E to include in its 2012 GRC application the amount of the incremental wildfire insurance premiums it would be seeking recovery for in rates subsequent to December 31, 2011. SDG&amp;E’s 2012 GRC application does request $67 million of revenue requirement for cost recovery of wildfire insurance premiums in 2012. As a decision on SDG&amp;E’s 2012 GRC application is pending with the CPUC, with a decision currently expected in the second half of 2012, and based on the CPUC’s rulings for the recovery of the cost of the incremental wildfire insurance premiums incurred since July 2009, SDG&amp;E’s first quarter 2012 revenue reflects the expected recovery of the cost of the incremental wildfire insurance premiums incurred in the first quarter of 2012.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Excess Wildfire Claims Cost Recovery</w:t>
      </w:r>
    </w:p>
    <w:p>
      <w:pPr>
        <w:spacing w:after="0" w:line="20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SDG&amp;E and SoCalGas filed an application, along with other related filings, with the CPUC in August 2009 proposing a new mechanism for the future recovery of all wildfire-related expenses for claims, litigation expenses and insurance premiums that are in excess of amounts authorized by the CPUC for recovery in rates. This application was made jointly with Edison and PG&amp;E. In July 2010, the CPUC approved SDG&amp;E’s and SoCalGas’ requests for separate regulatory memorandum accounts to record the subject expenses while the application is pending before the CPUC. Several parties protested the</w:t>
      </w:r>
    </w:p>
    <w:p>
      <w:pPr>
        <w:sectPr>
          <w:pgSz w:w="11900" w:h="16838" w:orient="portrait"/>
          <w:cols w:equalWidth="0" w:num="1">
            <w:col w:w="11400"/>
          </w:cols>
          <w:pgMar w:left="240" w:top="125" w:right="259" w:bottom="0" w:gutter="0" w:footer="0" w:header="0"/>
        </w:sectPr>
      </w:pPr>
    </w:p>
    <w:bookmarkStart w:id="41" w:name="page42"/>
    <w:bookmarkEnd w:id="41"/>
    <w:p>
      <w:pPr>
        <w:spacing w:after="0" w:line="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original application and, in response, the four utilities jointly submitted an amended application in August 2010. In November 2011, Edison and PG&amp;E requested to withdraw from the joint utility application due, in part, to the delays in the proceeding. In January 2012, the CPUC granted their requests to withdraw and held evidentiary hearings for SDG&amp;E and SoCalGas, both of which are still moving forward with the application. Legal briefs were completed in March 2012. We expect a final CPUC decision in the second half of 2012.</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SDG&amp;E intends to request recovery for costs incurred associated with the 2007 wildfires that are in excess of amounts recovered from its insurance coverage and other responsible third parties in a future application. If a cost recovery mechanism covering the 2007 wildfire costs is approved by the CPUC as a result of these proceedings, SDG&amp;E intends to utilize the methodology authorized. Otherwise, SDG&amp;E will file an application for cost recovery utilizing other cost recovery application processes available through the CPUC.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MATTER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Aliso Canyon Natural Gas Storage Compressor Replacement</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2009, SoCalGas filed an application with the CPUC requesting approval to replace certain obsolete natural gas turbine compressors used in the operations of SoCalGas’ Aliso Canyon natural gas storage reservoir, with a new electric compressor station. In April 2012, the CPUC issued a draft environmental impact report for the project concluding that no significant or unavoidable adverse environmental impacts have been identified from the construction or operation of the proposed project. A final environmental impact report and CPUC decision on the estimated $200 million project are expected by the end of 2012.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discuss additional matters affecting our California Utilities in Note 14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coverages and could materially adversely affect our business, cash flows, results of operations, and financial condition. Unless otherwise indicated, we are unable to estimate reasonably possible losses in excess of any amounts accrued.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March 31, 2012, Sempra Energy’s accrued liabilities for material legal proceedings, on a consolidated basis, were $529 million. At March 31, 2012, accrued liabilities for material legal proceedings for SDG&amp;E and SoCalGas were $498 million and $18 million, respectively. At March 31, 2012, liabilities of $498 million at Sempra Energy and SDG&amp;E were related to wildfire litigation discussed below.</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1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4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The trial court has scheduled a Witch fire and Guejito fire trial to begin in March 2013.</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December 2010, SDG&amp;E and Cox reached an agreement settling SDG&amp;E’s claims against Cox and Cox’s insurers in the wildfire litigation (Cox Settlement). Among other things, the settlement agreement provided that SDG&amp;E receive approximately $444 million for wildfire related expenditures, and</w:t>
      </w:r>
    </w:p>
    <w:p>
      <w:pPr>
        <w:sectPr>
          <w:pgSz w:w="11900" w:h="16854" w:orient="portrait"/>
          <w:cols w:equalWidth="0" w:num="1">
            <w:col w:w="11400"/>
          </w:cols>
          <w:pgMar w:left="240" w:top="125" w:right="25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SDG&amp;E will defend and indemnify Cox against all compensatory damage claims and related costs arising out of the wildfires.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6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3,100 of these plaintiffs. Approximately 950 of the approximately 2,300 remaining individual and business plaintiffs have submitted settlement demands and damage estimates totaling approximately $950 million and government entity claims totaling approximately $80 million. SDG&amp;E expects to receive additional settlement demands and damage estimates as settlement negotiations continue. SDG&amp;E has established reserves for the wildfire litigation as we discuss below.</w:t>
      </w:r>
    </w:p>
    <w:p>
      <w:pPr>
        <w:spacing w:after="0" w:line="15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SDG&amp;E’s settled claims and defense costs have exceeded its $1.1 billion of liability insurance coverage and the approximately $450 million it has received from third parties, including Cox. It expects that its wildfire reserves and amounts paid to resolve wildfire claims will continue to increase as it obtains additional information; it is presently unable to reasonably estimate the amount or timing of recoveries from other potentially responsible parties.</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SDG&amp;E has concluded, however, that it is probable that it will be permitted to recover from its utility customers substantially all reasonably incurred costs of resolving wildfire claims in excess of its liability insurance coverage and any amounts recovered from other potentially responsible parties. Accordingly, although such recovery will require future regulatory actions, at March 31, 2012, SDG&amp;E recorded a regulatory asset of $603 million, which represents the amount substantially equal to the aggregate amount it has paid or reserved for payment for the resolution of wildfire claims and related costs in excess of its liability insurance coverage and amounts received from Cox. SDG&amp;E will increase the regulatory asset as additional amounts are paid or reserves are recorded and reduce it by any amounts recovered from other potentially responsible parties.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a consequence of the expected recovery of wildfire costs from utility customers, Sempra Energy and SDG&amp;E expect no significant earnings impact from the resolution of the remaining wildfire claims. However, SDG&amp;E’s cash flow may be materially adversely affected due to the timing differences between the resolution of claims and the recoveries from other potentially responsible parties and utility customers,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financial position, cash flows and results of operations.</w:t>
      </w:r>
    </w:p>
    <w:p>
      <w:pPr>
        <w:spacing w:after="0" w:line="15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2010 and 2011, as liabilities for wildfire litigation have become reasonably estimable in the form of settlement demands, damage estimates, and other damage information, SDG&amp;E has recorded related reserves as a liability. The impact of this liability at March 31, 2012 is offset by the recognition of a regulatory asset, as discussed above, for reserves in excess of the insurance coverage and the Cox Settlement. The impact of the reserves on SDG&amp;E’s and Sempra Energy’s after-tax earnings was $2 million and $1 million for the three months ended March 31, 2012 and 2011, respectively. At March 31, 2012, wildfire litigation reserves were $498 million ($441 million in current and $57 million in long-term). Additionally, through March 31, 2012, SDG&amp;E has expended $204 million (excluding amounts covered by insurance and amounts recovered from other responsible third parties) to pay costs associated with the settlement of wildfire claims.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SDG&amp;E commenced construction on the Sunrise Powerlink in the fall of 2010. The Sunrise Powerlink is a new 117-mile, 500-kV electric transmission line that is being built between the Imperial Valley and the San Diego region, along a route that generally runs south of the Anza-Borrego Desert State Park. The current project plan provides for the transmission line to be completed and in-service by mid-2012.</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Sunrise Powerlink project was originally approved by the CPUC in December 2008, including approval of the environmental impact review conducted jointly with the Bureau of Land Management (BLM). The CPUC has subsequently denied or dismissed all requests for rehearing of its approval of the project. In February 2011, the California Supreme Court denied a petition filed jointly by the Utility Consumers’ Action Network (UCAN) and the Center for Biological Diversity/Sierra Club (CBD) challenging the CPUC’s decision with regard to implementation of the California Environmental Quality Act (CEQA).</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January 2009, the BLM issued its decision approving the portions of the project, route and environmental review within its jurisdiction. The Interior Board of Land Appeals (IBLA) subsequently denied or dismissed all administrative appeals that were filed challenging the BLM’s approval of the project.</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2010, parties opposed to the project filed a lawsuit in Federal District Court in San Diego alleging that the BLM failed to properly address the environmental impacts of the approved Sunrise Powerlink route and the related potential development of renewable resources in east San Diego County and Imperial County. In June 2011, the court granted the defendants’ motion for summary judgment. The plaintiffs have appealed to the U.S. Court of Appeals for the Ninth Circuit.</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July 2010, the United States Forest Service (USFS) issued its decision approving the portions of the project, route and environmental review within its jurisdiction. The USFS has subsequently denied all administrative appeals challenging its approval of the project.</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CPUC and BLM jointly approved the final Project Modification Report for Sunrise Powerlink in September 2010, accepting all of the proposed modifications to the approved route and finding that no additional environmental review was required. In March 2011, opponents of the Sunrise Powerlink filed a petition with the California Supreme Court challenging the CPUC’s acceptance of the Project Modification Report. The California Supreme Court denied the petition in April 2011.</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In October 2011, the opponents appealed the court’s denial of their motion for a preliminary injunction.</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CEQA.</w:t>
      </w:r>
    </w:p>
    <w:p>
      <w:pPr>
        <w:sectPr>
          <w:pgSz w:w="11900" w:h="16838" w:orient="portrait"/>
          <w:cols w:equalWidth="0" w:num="1">
            <w:col w:w="11420"/>
          </w:cols>
          <w:pgMar w:left="240" w:top="125" w:right="239" w:bottom="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September 2011 Power Outage</w:t>
      </w:r>
    </w:p>
    <w:p>
      <w:pPr>
        <w:spacing w:after="0" w:line="2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against Arizona Public Service Company, Pinnacle West, and SDG&amp;E alleging that the companies failed to prevent the outage. The lawsuit seeks recovery of unspecified amounts of damages, including punitive damages. In March 2012, the court stayed the case until the conclusion of the joint regulatory investigation and dismissed Arizona Public Service Company and Pinnacle West but allowed plaintiffs to amend their complaint. In addition, more than 7,000 customers’ claims, primarily related to food spoilage, have been submitted directly to SDG&amp;E. The Federal Energy Regulatory Commission (FERC) and North American Electric Reliability Corp. (NERC) conducted a joint inquiry to determine the cause of the power failure and issued a report in May 2012 regarding their findings. The report does not include any findings of failure on SDG&amp;E’s part that led to the power failure.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Smart Meters Patent Infringement Lawsuit</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SoCalGas, along with Monsanto Co., Solutia, Inc., Pharmacia Corp., and Pfizer, Inc., are defendants in four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Sempra Mexico has been engaged in a long-running land dispute relating to property adjacent to its Energía Costa Azul liquefied natural gas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June 2010, a Mexican federal appeals court revoked a district court order, issued at the behest of the claimant, directing Mexican regulatory authorities to provisionally suspend authorizations for the operation of the LNG terminal.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Sempra Mexico expects additional Mexican court proceedings and governmental actions regarding the claimant’s assertions as to whether the terminal’s permits should be modified or revoked in any manner.</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December 2000 to June 2001 time period.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in the Pacific Northwest, but potential claims may exist regarding sales between Sempra Commodities and other buyers in the Pacific Northwest.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Sempra Energy and several subsidiaries, along with three oil and natural gas companies, the City of Beverly Hills, and the Beverly Hills Unified School District, are defendants in toxic tort lawsuits filed beginning in 2003 in Los Angeles County Superior Court by approximately 1,000 plaintiffs. These lawsuits claim that various emissions resulted in cancer or fear of cancer. In November 2006, the court granted the defendants’ summary judgment motions based on lack of medical causation for the 12 initial plaintiffs scheduled to go to trial first. The court also granted summary judgment excluding punitive damages. The court has stayed the lawsuits as to the remaining plaintiffs pending the appeal of the rulings. A mediation occurred in June 2010, after which the plaintiffs’ counsel agreed to recommend a settlement of the lawsuits as to Sempra Energy and its subsidiaries for an amount that is not significant and has been recorded. Any such settlement will require approval by each of the plaintiffs. If approval is obtained, finalization of the settlement is expected to occur within six months.</w:t>
      </w:r>
    </w:p>
    <w:p>
      <w:pPr>
        <w:sectPr>
          <w:pgSz w:w="11900" w:h="16838" w:orient="portrait"/>
          <w:cols w:equalWidth="0" w:num="1">
            <w:col w:w="11420"/>
          </w:cols>
          <w:pgMar w:left="240" w:top="339" w:right="239" w:bottom="134" w:gutter="0" w:footer="0" w:header="0"/>
        </w:sectPr>
      </w:pPr>
    </w:p>
    <w:bookmarkStart w:id="44" w:name="page45"/>
    <w:bookmarkEnd w:id="44"/>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described in Note 4, we hold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tax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The letter states VAT paid in connection with these transactions totals £86 million. While RBS has not yet responded to the letter and there has been no formal tax assessment issued by HMRC, it is possible that RBS Sempra Commodities could incur losses as a result of this matter that were not previously anticipated.</w:t>
      </w:r>
    </w:p>
    <w:p>
      <w:pPr>
        <w:spacing w:after="0" w:line="16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types of cases.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$9.6 million.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00" w:lineRule="exact"/>
        <w:rPr>
          <w:sz w:val="20"/>
          <w:szCs w:val="20"/>
          <w:color w:val="auto"/>
        </w:rPr>
      </w:pPr>
    </w:p>
    <w:p>
      <w:pPr>
        <w:spacing w:after="0" w:line="250" w:lineRule="exact"/>
        <w:rPr>
          <w:sz w:val="20"/>
          <w:szCs w:val="20"/>
          <w:color w:val="auto"/>
        </w:rPr>
      </w:pPr>
    </w:p>
    <w:p>
      <w:pPr>
        <w:ind w:right="1620"/>
        <w:spacing w:after="0" w:line="277" w:lineRule="auto"/>
        <w:rPr>
          <w:sz w:val="20"/>
          <w:szCs w:val="20"/>
          <w:color w:val="auto"/>
        </w:rPr>
      </w:pPr>
      <w:r>
        <w:rPr>
          <w:rFonts w:ascii="Arial" w:cs="Arial" w:eastAsia="Arial" w:hAnsi="Arial"/>
          <w:sz w:val="18"/>
          <w:szCs w:val="18"/>
          <w:color w:val="auto"/>
        </w:rPr>
        <w:t>We discuss below significant changes in the first three months of 2012 to contractual commitments discussed in Note 15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SoCalGas’ natural gas purchase and pipeline capacity commitments have decreased by $25 million since December 31, 2011. The decrease, primarily due to a reduction of $222 million from fulfillment of commitments in the first three months of 2012, is offset by new natural gas purchase and pipeline capacity contracts of $197 million. Net future payments are therefore expected to decrease by $78 million in 2012 and to increase by $51 million in 2013 and $2 million in 2014 compared to December 31, 2011.</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Sempra Mexico’s natural gas purchase commitments have decreased by $121 million since December 31, 2011, primarily due to changes in forward prices and fulfillment of commitments in the first three months of 2012. Net future payments are therefore expected to decrease by $51 million in 2012, $31 million in 2013 and $39 million in 2014 compared to December 31, 2011.</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Sempra Natural Gas’ natural gas purchase and storage capacity commitments have increased by $41 million since December 31, 2011, primarily due to new storage capacity contracts in the first three months of 2012. Net future payments are therefore expected to decrease by $1 million in 2012, and increase by $10 million in 2013, $9 million in 2014, $8 million in 2015, $8 million in 2016 and $7 million thereafter compared to December 31, 2011.</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Agreements</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March 31, 2012, Sempra Natural Gas has various purchase agreements with major international companies for the supply of LNG to the Energía Costa Azul and Cameron receipt terminals. We discuss these agreements further in Note 15 of the Notes to Consolidated Financial Statements in the Annual Report. Sempra Natural Gas’ commitments under all LNG purchase agreements, reflecting changes in forward prices since December 31, 2011 and actual transactions for the first three months of 2012, are expected to decrease by $221 million in 2012, $83 million in 2013, $67 million in 2014, $57 million in 2015 and $55 million in 2016 and $912 million thereafter compared to December 31, 2011.</w:t>
      </w:r>
    </w:p>
    <w:p>
      <w:pPr>
        <w:spacing w:after="0" w:line="173"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LNG commitment amounts above are based on Sempra Natural Gas’ commitment to accept the maximum possible delivery of cargoes under the agreements. Actual LNG purchases for the three months ended March 31, 2012 have been significantly lower than the maximum amounts possible.</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SDG&amp;E’s purchased-power contracts have decreased by $165 million since December 31, 2011. The decrease is primarily due to cancellation of certain long-term renewable energy contracts and changes in expected prices. Net future payments are therefore expected to decrease by $6 million in 2012, increase by $1 million in 2013, decrease by $4 million in 2014, $4 million in 2015, $4 million in 2016 and $148 million thereafter compared to December 31, 2011.</w:t>
      </w:r>
    </w:p>
    <w:p>
      <w:pPr>
        <w:spacing w:after="0" w:line="14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Sempra South American Utilities’ purchased-power contracts have increased by $676 million since December 31, 2011, primarily due to foreign currency translation (as the contracts are denominated in the local currency) and changes in expected prices. Net future payments for the purchased-power contracts at</w:t>
      </w:r>
    </w:p>
    <w:p>
      <w:pPr>
        <w:sectPr>
          <w:pgSz w:w="11900" w:h="16840" w:orient="portrait"/>
          <w:cols w:equalWidth="0" w:num="1">
            <w:col w:w="11420"/>
          </w:cols>
          <w:pgMar w:left="240" w:top="125" w:right="239" w:bottom="0" w:gutter="0" w:footer="0" w:header="0"/>
        </w:sectPr>
      </w:pPr>
    </w:p>
    <w:bookmarkStart w:id="45" w:name="page46"/>
    <w:bookmarkEnd w:id="45"/>
    <w:p>
      <w:pPr>
        <w:spacing w:after="0" w:line="5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Luz del Sur are expected to decrease by $39 million in 2012, and increase by $38 million in 2013, $23 million in 2014, $24 million in 2015, $26 million in 2016 and $209 million thereafter. Net future payments for the purchased-power contracts at Chilquinta Energía are expected to decrease by $49 million in 2012, and increase by $29 million in 2013, $32 million in 2014, $34 million in 2015, $33 million in 2016 and $316 million thereafter. These amounts are based on estimated future purchases at current contracted rates, as the contracts require no minimum purchases.</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first three months of 2012, significant increases to contractual commitments at SDG&amp;E were $22 million for electric distribution systems and electric generation plant and equipment and $8 million for biological monitoring and construction costs associated with the Sunrise Powerlink project. The future payments for these contractual commitments are all expected to be in 2012.</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the first three months of 2012, significant increases to contractual commitments at SoCalGas were $49 million for construction and infrastructure improvements for natural gas transmission and distribution operations. The future payments for these contractual commitments are all expected to be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63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11.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have six separately managed reportable segments, as follows:</w:t>
      </w:r>
    </w:p>
    <w:p>
      <w:pPr>
        <w:spacing w:after="0" w:line="225" w:lineRule="exact"/>
        <w:rPr>
          <w:sz w:val="20"/>
          <w:szCs w:val="20"/>
          <w:color w:val="auto"/>
        </w:rPr>
      </w:pPr>
    </w:p>
    <w:p>
      <w:pPr>
        <w:ind w:left="660" w:hanging="229"/>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11" w:lineRule="exact"/>
        <w:rPr>
          <w:rFonts w:ascii="Arial" w:cs="Arial" w:eastAsia="Arial" w:hAnsi="Arial"/>
          <w:sz w:val="18"/>
          <w:szCs w:val="18"/>
          <w:i w:val="1"/>
          <w:iCs w:val="1"/>
          <w:color w:val="auto"/>
        </w:rPr>
      </w:pPr>
    </w:p>
    <w:p>
      <w:pPr>
        <w:ind w:left="660" w:hanging="229"/>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11" w:lineRule="exact"/>
        <w:rPr>
          <w:rFonts w:ascii="Arial" w:cs="Arial" w:eastAsia="Arial" w:hAnsi="Arial"/>
          <w:sz w:val="18"/>
          <w:szCs w:val="18"/>
          <w:i w:val="1"/>
          <w:iCs w:val="1"/>
          <w:color w:val="auto"/>
        </w:rPr>
      </w:pPr>
    </w:p>
    <w:p>
      <w:pPr>
        <w:jc w:val="both"/>
        <w:ind w:left="660" w:hanging="229"/>
        <w:spacing w:after="0" w:line="264"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and owns interests in utilities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 We are currently pursuing the sale of our interests in the Argentine utilities, which we discuss further in Note 4 of the Notes to Consolidated Financial Statements in the Annual Report.</w:t>
      </w:r>
    </w:p>
    <w:p>
      <w:pPr>
        <w:spacing w:after="0" w:line="167" w:lineRule="exact"/>
        <w:rPr>
          <w:rFonts w:ascii="Arial" w:cs="Arial" w:eastAsia="Arial" w:hAnsi="Arial"/>
          <w:sz w:val="18"/>
          <w:szCs w:val="18"/>
          <w:i w:val="1"/>
          <w:iCs w:val="1"/>
          <w:color w:val="auto"/>
        </w:rPr>
      </w:pPr>
    </w:p>
    <w:p>
      <w:pPr>
        <w:ind w:left="660" w:right="20" w:hanging="229"/>
        <w:spacing w:after="0" w:line="277"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Mexico </w:t>
      </w:r>
      <w:r>
        <w:rPr>
          <w:rFonts w:ascii="Arial" w:cs="Arial" w:eastAsia="Arial" w:hAnsi="Arial"/>
          <w:sz w:val="18"/>
          <w:szCs w:val="18"/>
          <w:color w:val="auto"/>
        </w:rPr>
        <w:t>owns and operates, or holds interests in, natural gas transmission pipelines and propane systems, a natural gas distribution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generation facilities and a terminal for the import of LNG and sale of natural gas in Mexico.</w:t>
      </w:r>
    </w:p>
    <w:p>
      <w:pPr>
        <w:spacing w:after="0" w:line="156" w:lineRule="exact"/>
        <w:rPr>
          <w:rFonts w:ascii="Arial" w:cs="Arial" w:eastAsia="Arial" w:hAnsi="Arial"/>
          <w:sz w:val="18"/>
          <w:szCs w:val="18"/>
          <w:i w:val="1"/>
          <w:iCs w:val="1"/>
          <w:color w:val="auto"/>
        </w:rPr>
      </w:pPr>
    </w:p>
    <w:p>
      <w:pPr>
        <w:ind w:left="660" w:hanging="229"/>
        <w:spacing w:after="0" w:line="277"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Renewables </w:t>
      </w:r>
      <w:r>
        <w:rPr>
          <w:rFonts w:ascii="Arial" w:cs="Arial" w:eastAsia="Arial" w:hAnsi="Arial"/>
          <w:sz w:val="18"/>
          <w:szCs w:val="18"/>
          <w:color w:val="auto"/>
        </w:rPr>
        <w:t>develops, owns and operates, or holds interests in, wind and solar energy projects in Arizona, California, Colorado, Hawaii,</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Kansas, Nevada and Pennsylvania to serve wholesale electricity markets in the United States.</w:t>
      </w:r>
    </w:p>
    <w:p>
      <w:pPr>
        <w:spacing w:after="0" w:line="197" w:lineRule="exact"/>
        <w:rPr>
          <w:rFonts w:ascii="Arial" w:cs="Arial" w:eastAsia="Arial" w:hAnsi="Arial"/>
          <w:sz w:val="18"/>
          <w:szCs w:val="18"/>
          <w:i w:val="1"/>
          <w:iCs w:val="1"/>
          <w:color w:val="auto"/>
        </w:rPr>
      </w:pPr>
    </w:p>
    <w:p>
      <w:pPr>
        <w:ind w:left="660" w:hanging="229"/>
        <w:spacing w:after="0" w:line="342"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plant,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a natural gas distribution utility and a terminal for the import and export of LNG and sale of natural gas, all within the United States.</w:t>
      </w:r>
    </w:p>
    <w:p>
      <w:pPr>
        <w:spacing w:after="0" w:line="1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following tables show selected information by segment from our Condensed Consolidated Statements of Operations and Condensed Consolidated Balance Sheets. Amounts labeled as “All other” in the following tables consist primarily of parent organizations and the former commodities-marketing businesses.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Three months ended March 31,</w:t>
            </w: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2012</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line="164" w:lineRule="exact"/>
              <w:rPr>
                <w:sz w:val="20"/>
                <w:szCs w:val="20"/>
                <w:color w:val="auto"/>
              </w:rPr>
            </w:pPr>
            <w:r>
              <w:rPr>
                <w:rFonts w:ascii="Arial" w:cs="Arial" w:eastAsia="Arial" w:hAnsi="Arial"/>
                <w:sz w:val="16"/>
                <w:szCs w:val="16"/>
                <w:color w:val="auto"/>
              </w:rPr>
              <w:t>REVENUES</w:t>
            </w: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2380" w:type="dxa"/>
            <w:vAlign w:val="bottom"/>
            <w:gridSpan w:val="2"/>
          </w:tcPr>
          <w:p>
            <w:pPr>
              <w:jc w:val="right"/>
              <w:ind w:right="404"/>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834</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35 %</w:t>
            </w:r>
          </w:p>
        </w:tc>
        <w:tc>
          <w:tcPr>
            <w:tcW w:w="1140" w:type="dxa"/>
            <w:vAlign w:val="bottom"/>
          </w:tcPr>
          <w:p>
            <w:pPr>
              <w:jc w:val="right"/>
              <w:ind w:right="87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840</w:t>
            </w:r>
          </w:p>
        </w:tc>
        <w:tc>
          <w:tcPr>
            <w:tcW w:w="92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35 %</w:t>
            </w: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880</w:t>
            </w:r>
          </w:p>
        </w:tc>
        <w:tc>
          <w:tcPr>
            <w:tcW w:w="98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37</w:t>
            </w: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w w:val="99"/>
              </w:rPr>
              <w:t>1,056</w:t>
            </w:r>
          </w:p>
        </w:tc>
        <w:tc>
          <w:tcPr>
            <w:tcW w:w="9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43</w:t>
            </w: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357</w:t>
            </w:r>
          </w:p>
        </w:tc>
        <w:tc>
          <w:tcPr>
            <w:tcW w:w="98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15</w:t>
            </w: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135</w:t>
            </w:r>
          </w:p>
        </w:tc>
        <w:tc>
          <w:tcPr>
            <w:tcW w:w="98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6</w:t>
            </w: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207</w:t>
            </w:r>
          </w:p>
        </w:tc>
        <w:tc>
          <w:tcPr>
            <w:tcW w:w="9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9</w:t>
            </w: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8</w:t>
            </w:r>
          </w:p>
        </w:tc>
        <w:tc>
          <w:tcPr>
            <w:tcW w:w="98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4</w:t>
            </w:r>
          </w:p>
        </w:tc>
        <w:tc>
          <w:tcPr>
            <w:tcW w:w="9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269</w:t>
            </w:r>
          </w:p>
        </w:tc>
        <w:tc>
          <w:tcPr>
            <w:tcW w:w="98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11</w:t>
            </w: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449</w:t>
            </w:r>
          </w:p>
        </w:tc>
        <w:tc>
          <w:tcPr>
            <w:tcW w:w="920" w:type="dxa"/>
            <w:vAlign w:val="bottom"/>
          </w:tcPr>
          <w:p>
            <w:pPr>
              <w:jc w:val="right"/>
              <w:ind w:right="299"/>
              <w:spacing w:after="0" w:line="176" w:lineRule="exact"/>
              <w:rPr>
                <w:sz w:val="20"/>
                <w:szCs w:val="20"/>
                <w:color w:val="auto"/>
              </w:rPr>
            </w:pPr>
            <w:r>
              <w:rPr>
                <w:rFonts w:ascii="Arial" w:cs="Arial" w:eastAsia="Arial" w:hAnsi="Arial"/>
                <w:sz w:val="16"/>
                <w:szCs w:val="16"/>
                <w:color w:val="auto"/>
              </w:rPr>
              <w:t>18</w:t>
            </w:r>
          </w:p>
        </w:tc>
      </w:tr>
      <w:tr>
        <w:trPr>
          <w:trHeight w:val="194"/>
        </w:trPr>
        <w:tc>
          <w:tcPr>
            <w:tcW w:w="20" w:type="dxa"/>
            <w:vAlign w:val="bottom"/>
          </w:tcPr>
          <w:p>
            <w:pPr>
              <w:spacing w:after="0"/>
              <w:rPr>
                <w:sz w:val="16"/>
                <w:szCs w:val="16"/>
                <w:color w:val="auto"/>
              </w:rPr>
            </w:pPr>
          </w:p>
        </w:tc>
        <w:tc>
          <w:tcPr>
            <w:tcW w:w="4240" w:type="dxa"/>
            <w:vAlign w:val="bottom"/>
          </w:tcPr>
          <w:p>
            <w:pPr>
              <w:ind w:left="80"/>
              <w:spacing w:after="0"/>
              <w:rPr>
                <w:sz w:val="20"/>
                <w:szCs w:val="20"/>
                <w:color w:val="auto"/>
              </w:rPr>
            </w:pPr>
            <w:r>
              <w:rPr>
                <w:rFonts w:ascii="Arial" w:cs="Arial" w:eastAsia="Arial" w:hAnsi="Arial"/>
                <w:sz w:val="16"/>
                <w:szCs w:val="16"/>
                <w:color w:val="auto"/>
              </w:rPr>
              <w:t>Intersegment revenues(1)</w:t>
            </w:r>
          </w:p>
        </w:tc>
        <w:tc>
          <w:tcPr>
            <w:tcW w:w="18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w:t>
            </w: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(122)</w:t>
            </w: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w:t>
            </w:r>
          </w:p>
        </w:tc>
      </w:tr>
      <w:tr>
        <w:trPr>
          <w:trHeight w:val="183"/>
        </w:trPr>
        <w:tc>
          <w:tcPr>
            <w:tcW w:w="20" w:type="dxa"/>
            <w:vAlign w:val="bottom"/>
          </w:tcPr>
          <w:p>
            <w:pPr>
              <w:spacing w:after="0"/>
              <w:rPr>
                <w:sz w:val="15"/>
                <w:szCs w:val="15"/>
                <w:color w:val="auto"/>
              </w:rPr>
            </w:pPr>
          </w:p>
        </w:tc>
        <w:tc>
          <w:tcPr>
            <w:tcW w:w="424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2,383</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100 %</w:t>
            </w:r>
          </w:p>
        </w:tc>
        <w:tc>
          <w:tcPr>
            <w:tcW w:w="1140" w:type="dxa"/>
            <w:vAlign w:val="bottom"/>
            <w:tcBorders>
              <w:bottom w:val="single" w:sz="8" w:color="auto"/>
            </w:tcBorders>
          </w:tcPr>
          <w:p>
            <w:pPr>
              <w:jc w:val="right"/>
              <w:ind w:right="879"/>
              <w:spacing w:after="0" w:line="176"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w w:val="99"/>
              </w:rPr>
              <w:t>2,434</w:t>
            </w:r>
          </w:p>
        </w:tc>
        <w:tc>
          <w:tcPr>
            <w:tcW w:w="92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100 %</w:t>
            </w:r>
          </w:p>
        </w:tc>
      </w:tr>
      <w:tr>
        <w:trPr>
          <w:trHeight w:val="164"/>
        </w:trPr>
        <w:tc>
          <w:tcPr>
            <w:tcW w:w="20" w:type="dxa"/>
            <w:vAlign w:val="bottom"/>
          </w:tcPr>
          <w:p>
            <w:pPr>
              <w:spacing w:after="0"/>
              <w:rPr>
                <w:sz w:val="14"/>
                <w:szCs w:val="14"/>
                <w:color w:val="auto"/>
              </w:rPr>
            </w:pPr>
          </w:p>
        </w:tc>
        <w:tc>
          <w:tcPr>
            <w:tcW w:w="4240" w:type="dxa"/>
            <w:vAlign w:val="bottom"/>
          </w:tcPr>
          <w:p>
            <w:pPr>
              <w:spacing w:after="0" w:line="164" w:lineRule="exact"/>
              <w:rPr>
                <w:sz w:val="20"/>
                <w:szCs w:val="20"/>
                <w:color w:val="auto"/>
              </w:rPr>
            </w:pPr>
            <w:r>
              <w:rPr>
                <w:rFonts w:ascii="Arial" w:cs="Arial" w:eastAsia="Arial" w:hAnsi="Arial"/>
                <w:sz w:val="16"/>
                <w:szCs w:val="16"/>
                <w:color w:val="auto"/>
              </w:rPr>
              <w:t>INTEREST EXPENSE</w:t>
            </w: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2380" w:type="dxa"/>
            <w:vAlign w:val="bottom"/>
            <w:gridSpan w:val="2"/>
          </w:tcPr>
          <w:p>
            <w:pPr>
              <w:jc w:val="right"/>
              <w:ind w:right="404"/>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36</w:t>
            </w:r>
          </w:p>
        </w:tc>
        <w:tc>
          <w:tcPr>
            <w:tcW w:w="980" w:type="dxa"/>
            <w:vAlign w:val="bottom"/>
          </w:tcPr>
          <w:p>
            <w:pPr>
              <w:spacing w:after="0"/>
              <w:rPr>
                <w:sz w:val="15"/>
                <w:szCs w:val="15"/>
                <w:color w:val="auto"/>
              </w:rPr>
            </w:pPr>
          </w:p>
        </w:tc>
        <w:tc>
          <w:tcPr>
            <w:tcW w:w="1140" w:type="dxa"/>
            <w:vAlign w:val="bottom"/>
          </w:tcPr>
          <w:p>
            <w:pPr>
              <w:jc w:val="right"/>
              <w:ind w:right="87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36</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17</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17</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10</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5</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3</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20</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20</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60"/>
              <w:spacing w:after="0" w:line="176" w:lineRule="exact"/>
              <w:rPr>
                <w:sz w:val="20"/>
                <w:szCs w:val="20"/>
                <w:color w:val="auto"/>
              </w:rPr>
            </w:pPr>
            <w:r>
              <w:rPr>
                <w:rFonts w:ascii="Arial" w:cs="Arial" w:eastAsia="Arial" w:hAnsi="Arial"/>
                <w:sz w:val="16"/>
                <w:szCs w:val="16"/>
                <w:color w:val="auto"/>
              </w:rPr>
              <w:t>All other</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58</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56</w:t>
            </w:r>
          </w:p>
        </w:tc>
        <w:tc>
          <w:tcPr>
            <w:tcW w:w="9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240" w:type="dxa"/>
            <w:vAlign w:val="bottom"/>
          </w:tcPr>
          <w:p>
            <w:pPr>
              <w:ind w:left="80"/>
              <w:spacing w:after="0"/>
              <w:rPr>
                <w:sz w:val="20"/>
                <w:szCs w:val="20"/>
                <w:color w:val="auto"/>
              </w:rPr>
            </w:pPr>
            <w:r>
              <w:rPr>
                <w:rFonts w:ascii="Arial" w:cs="Arial" w:eastAsia="Arial" w:hAnsi="Arial"/>
                <w:sz w:val="16"/>
                <w:szCs w:val="16"/>
                <w:color w:val="auto"/>
              </w:rPr>
              <w:t>Intercompany eliminations(2)</w:t>
            </w:r>
          </w:p>
        </w:tc>
        <w:tc>
          <w:tcPr>
            <w:tcW w:w="18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w:t>
            </w:r>
          </w:p>
        </w:tc>
        <w:tc>
          <w:tcPr>
            <w:tcW w:w="92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24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113</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79"/>
              <w:spacing w:after="0" w:line="176"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108</w:t>
            </w:r>
          </w:p>
        </w:tc>
        <w:tc>
          <w:tcPr>
            <w:tcW w:w="92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line="164" w:lineRule="exact"/>
              <w:rPr>
                <w:sz w:val="20"/>
                <w:szCs w:val="20"/>
                <w:color w:val="auto"/>
              </w:rPr>
            </w:pPr>
            <w:r>
              <w:rPr>
                <w:rFonts w:ascii="Arial" w:cs="Arial" w:eastAsia="Arial" w:hAnsi="Arial"/>
                <w:sz w:val="16"/>
                <w:szCs w:val="16"/>
                <w:color w:val="auto"/>
              </w:rPr>
              <w:t>INTEREST INCOME</w:t>
            </w: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2380" w:type="dxa"/>
            <w:vAlign w:val="bottom"/>
            <w:gridSpan w:val="2"/>
          </w:tcPr>
          <w:p>
            <w:pPr>
              <w:jc w:val="right"/>
              <w:ind w:right="404"/>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w:t>
            </w:r>
          </w:p>
        </w:tc>
        <w:tc>
          <w:tcPr>
            <w:tcW w:w="980" w:type="dxa"/>
            <w:vAlign w:val="bottom"/>
          </w:tcPr>
          <w:p>
            <w:pPr>
              <w:spacing w:after="0"/>
              <w:rPr>
                <w:sz w:val="15"/>
                <w:szCs w:val="15"/>
                <w:color w:val="auto"/>
              </w:rPr>
            </w:pPr>
          </w:p>
        </w:tc>
        <w:tc>
          <w:tcPr>
            <w:tcW w:w="1140" w:type="dxa"/>
            <w:vAlign w:val="bottom"/>
          </w:tcPr>
          <w:p>
            <w:pPr>
              <w:jc w:val="right"/>
              <w:ind w:right="87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11</w:t>
            </w:r>
          </w:p>
        </w:tc>
        <w:tc>
          <w:tcPr>
            <w:tcW w:w="9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240" w:type="dxa"/>
            <w:vAlign w:val="bottom"/>
          </w:tcPr>
          <w:p>
            <w:pPr>
              <w:ind w:left="60"/>
              <w:spacing w:after="0" w:line="176" w:lineRule="exact"/>
              <w:rPr>
                <w:sz w:val="20"/>
                <w:szCs w:val="20"/>
                <w:color w:val="auto"/>
              </w:rPr>
            </w:pPr>
            <w:r>
              <w:rPr>
                <w:rFonts w:ascii="Arial" w:cs="Arial" w:eastAsia="Arial" w:hAnsi="Arial"/>
                <w:sz w:val="16"/>
                <w:szCs w:val="16"/>
                <w:color w:val="auto"/>
              </w:rPr>
              <w:t>All other</w:t>
            </w: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w:t>
            </w:r>
          </w:p>
        </w:tc>
        <w:tc>
          <w:tcPr>
            <w:tcW w:w="9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240" w:type="dxa"/>
            <w:vAlign w:val="bottom"/>
          </w:tcPr>
          <w:p>
            <w:pPr>
              <w:ind w:left="80"/>
              <w:spacing w:after="0"/>
              <w:rPr>
                <w:sz w:val="20"/>
                <w:szCs w:val="20"/>
                <w:color w:val="auto"/>
              </w:rPr>
            </w:pPr>
            <w:r>
              <w:rPr>
                <w:rFonts w:ascii="Arial" w:cs="Arial" w:eastAsia="Arial" w:hAnsi="Arial"/>
                <w:sz w:val="16"/>
                <w:szCs w:val="16"/>
                <w:color w:val="auto"/>
              </w:rPr>
              <w:t>Intercompany eliminations(2)</w:t>
            </w:r>
          </w:p>
        </w:tc>
        <w:tc>
          <w:tcPr>
            <w:tcW w:w="18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w:t>
            </w:r>
          </w:p>
        </w:tc>
        <w:tc>
          <w:tcPr>
            <w:tcW w:w="920" w:type="dxa"/>
            <w:vAlign w:val="bottom"/>
            <w:tcBorders>
              <w:bottom w:val="single" w:sz="8" w:color="auto"/>
            </w:tcBorders>
          </w:tcPr>
          <w:p>
            <w:pPr>
              <w:spacing w:after="0"/>
              <w:rPr>
                <w:sz w:val="16"/>
                <w:szCs w:val="16"/>
                <w:color w:val="auto"/>
              </w:rPr>
            </w:pPr>
          </w:p>
        </w:tc>
      </w:tr>
    </w:tbl>
    <w:p>
      <w:pPr>
        <w:sectPr>
          <w:pgSz w:w="11900" w:h="16897" w:orient="portrait"/>
          <w:cols w:equalWidth="0" w:num="1">
            <w:col w:w="11420"/>
          </w:cols>
          <w:pgMar w:left="240" w:top="125"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5160" w:type="dxa"/>
            <w:vAlign w:val="bottom"/>
          </w:tcPr>
          <w:p>
            <w:pPr>
              <w:spacing w:after="0" w:line="164" w:lineRule="exact"/>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1320" w:type="dxa"/>
            <w:vAlign w:val="bottom"/>
            <w:gridSpan w:val="3"/>
          </w:tcPr>
          <w:p>
            <w:pPr>
              <w:jc w:val="right"/>
              <w:ind w:right="26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112</w:t>
            </w:r>
          </w:p>
        </w:tc>
        <w:tc>
          <w:tcPr>
            <w:tcW w:w="1100" w:type="dxa"/>
            <w:vAlign w:val="bottom"/>
            <w:gridSpan w:val="2"/>
          </w:tcPr>
          <w:p>
            <w:pPr>
              <w:jc w:val="right"/>
              <w:ind w:right="99"/>
              <w:spacing w:after="0" w:line="176" w:lineRule="exact"/>
              <w:rPr>
                <w:sz w:val="20"/>
                <w:szCs w:val="20"/>
                <w:color w:val="auto"/>
              </w:rPr>
            </w:pPr>
            <w:r>
              <w:rPr>
                <w:rFonts w:ascii="Arial" w:cs="Arial" w:eastAsia="Arial" w:hAnsi="Arial"/>
                <w:sz w:val="16"/>
                <w:szCs w:val="16"/>
                <w:color w:val="auto"/>
              </w:rPr>
              <w:t>44 %</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103</w:t>
            </w:r>
          </w:p>
        </w:tc>
        <w:tc>
          <w:tcPr>
            <w:tcW w:w="700" w:type="dxa"/>
            <w:vAlign w:val="bottom"/>
            <w:gridSpan w:val="3"/>
          </w:tcPr>
          <w:p>
            <w:pPr>
              <w:jc w:val="right"/>
              <w:ind w:right="119"/>
              <w:spacing w:after="0" w:line="176" w:lineRule="exact"/>
              <w:rPr>
                <w:sz w:val="20"/>
                <w:szCs w:val="20"/>
                <w:color w:val="auto"/>
              </w:rPr>
            </w:pPr>
            <w:r>
              <w:rPr>
                <w:rFonts w:ascii="Arial" w:cs="Arial" w:eastAsia="Arial" w:hAnsi="Arial"/>
                <w:sz w:val="16"/>
                <w:szCs w:val="16"/>
                <w:color w:val="auto"/>
              </w:rPr>
              <w:t>45 %</w:t>
            </w:r>
          </w:p>
        </w:tc>
      </w:tr>
      <w:tr>
        <w:trPr>
          <w:trHeight w:val="195"/>
        </w:trPr>
        <w:tc>
          <w:tcPr>
            <w:tcW w:w="20" w:type="dxa"/>
            <w:vAlign w:val="bottom"/>
          </w:tcPr>
          <w:p>
            <w:pPr>
              <w:spacing w:after="0"/>
              <w:rPr>
                <w:sz w:val="16"/>
                <w:szCs w:val="16"/>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SoCalGas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81</w:t>
            </w:r>
          </w:p>
        </w:tc>
        <w:tc>
          <w:tcPr>
            <w:tcW w:w="3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Pr>
          <w:p>
            <w:pPr>
              <w:ind w:left="80"/>
              <w:spacing w:after="0"/>
              <w:rPr>
                <w:sz w:val="20"/>
                <w:szCs w:val="20"/>
                <w:color w:val="auto"/>
              </w:rPr>
            </w:pPr>
            <w:r>
              <w:rPr>
                <w:rFonts w:ascii="Arial" w:cs="Arial" w:eastAsia="Arial" w:hAnsi="Arial"/>
                <w:sz w:val="16"/>
                <w:szCs w:val="16"/>
                <w:color w:val="auto"/>
              </w:rPr>
              <w:t>Sempra South American Utilities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15</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15</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1</w:t>
            </w:r>
          </w:p>
        </w:tc>
        <w:tc>
          <w:tcPr>
            <w:tcW w:w="440" w:type="dxa"/>
            <w:vAlign w:val="bottom"/>
            <w:gridSpan w:val="2"/>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23</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26</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60"/>
              <w:spacing w:after="0"/>
              <w:rPr>
                <w:sz w:val="20"/>
                <w:szCs w:val="20"/>
                <w:color w:val="auto"/>
              </w:rPr>
            </w:pPr>
            <w:r>
              <w:rPr>
                <w:rFonts w:ascii="Arial" w:cs="Arial" w:eastAsia="Arial" w:hAnsi="Arial"/>
                <w:sz w:val="16"/>
                <w:szCs w:val="16"/>
                <w:color w:val="auto"/>
              </w:rPr>
              <w:t>All other</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257</w:t>
            </w:r>
          </w:p>
        </w:tc>
        <w:tc>
          <w:tcPr>
            <w:tcW w:w="1100" w:type="dxa"/>
            <w:vAlign w:val="bottom"/>
            <w:tcBorders>
              <w:bottom w:val="single" w:sz="8" w:color="auto"/>
            </w:tcBorders>
            <w:gridSpan w:val="2"/>
          </w:tcPr>
          <w:p>
            <w:pPr>
              <w:jc w:val="right"/>
              <w:ind w:right="99"/>
              <w:spacing w:after="0" w:line="176" w:lineRule="exact"/>
              <w:rPr>
                <w:sz w:val="20"/>
                <w:szCs w:val="20"/>
                <w:color w:val="auto"/>
              </w:rPr>
            </w:pPr>
            <w:r>
              <w:rPr>
                <w:rFonts w:ascii="Arial" w:cs="Arial" w:eastAsia="Arial" w:hAnsi="Arial"/>
                <w:sz w:val="16"/>
                <w:szCs w:val="16"/>
                <w:color w:val="auto"/>
              </w:rPr>
              <w:t>100 %</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439"/>
              <w:spacing w:after="0" w:line="176" w:lineRule="exact"/>
              <w:rPr>
                <w:sz w:val="20"/>
                <w:szCs w:val="20"/>
                <w:color w:val="auto"/>
              </w:rPr>
            </w:pPr>
            <w:r>
              <w:rPr>
                <w:rFonts w:ascii="Arial" w:cs="Arial" w:eastAsia="Arial" w:hAnsi="Arial"/>
                <w:sz w:val="16"/>
                <w:szCs w:val="16"/>
                <w:color w:val="auto"/>
              </w:rPr>
              <w:t>230</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gridSpan w:val="2"/>
          </w:tcPr>
          <w:p>
            <w:pPr>
              <w:jc w:val="right"/>
              <w:ind w:right="119"/>
              <w:spacing w:after="0" w:line="176" w:lineRule="exact"/>
              <w:rPr>
                <w:sz w:val="20"/>
                <w:szCs w:val="20"/>
                <w:color w:val="auto"/>
              </w:rPr>
            </w:pPr>
            <w:r>
              <w:rPr>
                <w:rFonts w:ascii="Arial" w:cs="Arial" w:eastAsia="Arial" w:hAnsi="Arial"/>
                <w:sz w:val="16"/>
                <w:szCs w:val="16"/>
                <w:color w:val="auto"/>
                <w:w w:val="84"/>
              </w:rPr>
              <w:t>%</w:t>
            </w:r>
          </w:p>
        </w:tc>
      </w:tr>
      <w:tr>
        <w:trPr>
          <w:trHeight w:val="191"/>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1320" w:type="dxa"/>
            <w:vAlign w:val="bottom"/>
            <w:gridSpan w:val="3"/>
          </w:tcPr>
          <w:p>
            <w:pPr>
              <w:jc w:val="right"/>
              <w:ind w:right="26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60</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49</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40</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37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13</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20</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18</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399"/>
              <w:spacing w:after="0" w:line="176" w:lineRule="exact"/>
              <w:rPr>
                <w:sz w:val="20"/>
                <w:szCs w:val="20"/>
                <w:color w:val="auto"/>
              </w:rPr>
            </w:pPr>
            <w:r>
              <w:rPr>
                <w:rFonts w:ascii="Arial" w:cs="Arial" w:eastAsia="Arial" w:hAnsi="Arial"/>
                <w:sz w:val="16"/>
                <w:szCs w:val="16"/>
                <w:color w:val="auto"/>
              </w:rPr>
              <w:t>(7)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39"/>
              <w:spacing w:after="0" w:line="176" w:lineRule="exact"/>
              <w:rPr>
                <w:sz w:val="20"/>
                <w:szCs w:val="20"/>
                <w:color w:val="auto"/>
              </w:rPr>
            </w:pPr>
            <w:r>
              <w:rPr>
                <w:rFonts w:ascii="Arial" w:cs="Arial" w:eastAsia="Arial" w:hAnsi="Arial"/>
                <w:sz w:val="16"/>
                <w:szCs w:val="16"/>
                <w:color w:val="auto"/>
              </w:rPr>
              <w:t>32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60"/>
              <w:spacing w:after="0"/>
              <w:rPr>
                <w:sz w:val="20"/>
                <w:szCs w:val="20"/>
                <w:color w:val="auto"/>
              </w:rPr>
            </w:pPr>
            <w:r>
              <w:rPr>
                <w:rFonts w:ascii="Arial" w:cs="Arial" w:eastAsia="Arial" w:hAnsi="Arial"/>
                <w:sz w:val="16"/>
                <w:szCs w:val="16"/>
                <w:color w:val="auto"/>
              </w:rPr>
              <w:t>All other</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117</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439"/>
              <w:spacing w:after="0" w:line="176" w:lineRule="exact"/>
              <w:rPr>
                <w:sz w:val="20"/>
                <w:szCs w:val="20"/>
                <w:color w:val="auto"/>
              </w:rPr>
            </w:pPr>
            <w:r>
              <w:rPr>
                <w:rFonts w:ascii="Arial" w:cs="Arial" w:eastAsia="Arial" w:hAnsi="Arial"/>
                <w:sz w:val="16"/>
                <w:szCs w:val="16"/>
                <w:color w:val="auto"/>
              </w:rPr>
              <w:t>114</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729"/>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16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SEGMENT INFORMATION (Continued)</w:t>
            </w:r>
          </w:p>
        </w:tc>
        <w:tc>
          <w:tcPr>
            <w:tcW w:w="860" w:type="dxa"/>
            <w:vAlign w:val="bottom"/>
            <w:shd w:val="clear" w:color="auto" w:fill="C0C0C0"/>
          </w:tcPr>
          <w:p>
            <w:pPr>
              <w:spacing w:after="0"/>
              <w:rPr>
                <w:sz w:val="13"/>
                <w:szCs w:val="13"/>
                <w:color w:val="auto"/>
              </w:rPr>
            </w:pPr>
          </w:p>
        </w:tc>
        <w:tc>
          <w:tcPr>
            <w:tcW w:w="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1140" w:type="dxa"/>
            <w:vAlign w:val="bottom"/>
            <w:shd w:val="clear" w:color="auto" w:fill="C0C0C0"/>
          </w:tcPr>
          <w:p>
            <w:pPr>
              <w:spacing w:after="0"/>
              <w:rPr>
                <w:sz w:val="13"/>
                <w:szCs w:val="13"/>
                <w:color w:val="auto"/>
              </w:rPr>
            </w:pPr>
          </w:p>
        </w:tc>
        <w:tc>
          <w:tcPr>
            <w:tcW w:w="760" w:type="dxa"/>
            <w:vAlign w:val="bottom"/>
            <w:shd w:val="clear" w:color="auto" w:fill="C0C0C0"/>
          </w:tcPr>
          <w:p>
            <w:pPr>
              <w:spacing w:after="0"/>
              <w:rPr>
                <w:sz w:val="13"/>
                <w:szCs w:val="13"/>
                <w:color w:val="auto"/>
              </w:rPr>
            </w:pPr>
          </w:p>
        </w:tc>
        <w:tc>
          <w:tcPr>
            <w:tcW w:w="34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62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8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1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76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62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8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2012</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60" w:type="dxa"/>
            <w:vAlign w:val="bottom"/>
          </w:tcPr>
          <w:p>
            <w:pPr>
              <w:spacing w:after="0" w:line="164" w:lineRule="exact"/>
              <w:rPr>
                <w:sz w:val="20"/>
                <w:szCs w:val="20"/>
                <w:color w:val="auto"/>
              </w:rPr>
            </w:pPr>
            <w:r>
              <w:rPr>
                <w:rFonts w:ascii="Arial" w:cs="Arial" w:eastAsia="Arial" w:hAnsi="Arial"/>
                <w:sz w:val="16"/>
                <w:szCs w:val="16"/>
                <w:color w:val="auto"/>
              </w:rPr>
              <w:t>EQUITY EARNINGS</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40"/>
              <w:spacing w:after="0" w:line="176" w:lineRule="exact"/>
              <w:rPr>
                <w:sz w:val="20"/>
                <w:szCs w:val="20"/>
                <w:color w:val="auto"/>
              </w:rPr>
            </w:pPr>
            <w:r>
              <w:rPr>
                <w:rFonts w:ascii="Arial" w:cs="Arial" w:eastAsia="Arial" w:hAnsi="Arial"/>
                <w:sz w:val="16"/>
                <w:szCs w:val="16"/>
                <w:color w:val="auto"/>
              </w:rPr>
              <w:t>Earnings (losses) recorded before tax:</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1320" w:type="dxa"/>
            <w:vAlign w:val="bottom"/>
            <w:gridSpan w:val="3"/>
          </w:tcPr>
          <w:p>
            <w:pPr>
              <w:jc w:val="right"/>
              <w:ind w:right="2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w:t>
            </w:r>
          </w:p>
        </w:tc>
        <w:tc>
          <w:tcPr>
            <w:tcW w:w="7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11</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9</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Arial" w:cs="Arial" w:eastAsia="Arial" w:hAnsi="Arial"/>
                <w:sz w:val="16"/>
                <w:szCs w:val="16"/>
                <w:color w:val="auto"/>
              </w:rPr>
              <w:t>Total</w:t>
            </w:r>
          </w:p>
        </w:tc>
        <w:tc>
          <w:tcPr>
            <w:tcW w:w="860" w:type="dxa"/>
            <w:vAlign w:val="bottom"/>
          </w:tcPr>
          <w:p>
            <w:pPr>
              <w:spacing w:after="0"/>
              <w:rPr>
                <w:sz w:val="15"/>
                <w:szCs w:val="15"/>
                <w:color w:val="auto"/>
              </w:rPr>
            </w:pPr>
          </w:p>
        </w:tc>
        <w:tc>
          <w:tcPr>
            <w:tcW w:w="460" w:type="dxa"/>
            <w:vAlign w:val="bottom"/>
            <w:tcBorders>
              <w:bottom w:val="single" w:sz="8" w:color="auto"/>
            </w:tcBorders>
            <w:gridSpan w:val="2"/>
          </w:tcPr>
          <w:p>
            <w:pPr>
              <w:jc w:val="right"/>
              <w:ind w:right="284"/>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12</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99"/>
              <w:spacing w:after="0" w:line="176" w:lineRule="exact"/>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60" w:type="dxa"/>
            <w:vAlign w:val="bottom"/>
          </w:tcPr>
          <w:p>
            <w:pPr>
              <w:ind w:left="40"/>
              <w:spacing w:after="0" w:line="164" w:lineRule="exact"/>
              <w:rPr>
                <w:sz w:val="20"/>
                <w:szCs w:val="20"/>
                <w:color w:val="auto"/>
              </w:rPr>
            </w:pPr>
            <w:r>
              <w:rPr>
                <w:rFonts w:ascii="Arial" w:cs="Arial" w:eastAsia="Arial" w:hAnsi="Arial"/>
                <w:sz w:val="16"/>
                <w:szCs w:val="16"/>
                <w:color w:val="auto"/>
              </w:rPr>
              <w:t>Earnings recorded net of tax:</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1320" w:type="dxa"/>
            <w:vAlign w:val="bottom"/>
            <w:gridSpan w:val="3"/>
          </w:tcPr>
          <w:p>
            <w:pPr>
              <w:jc w:val="right"/>
              <w:ind w:right="2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7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24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Arial" w:cs="Arial" w:eastAsia="Arial" w:hAnsi="Arial"/>
                <w:sz w:val="16"/>
                <w:szCs w:val="16"/>
                <w:color w:val="auto"/>
              </w:rPr>
              <w:t>Sempra Mexico</w:t>
            </w:r>
          </w:p>
        </w:tc>
        <w:tc>
          <w:tcPr>
            <w:tcW w:w="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284"/>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11</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99"/>
              <w:spacing w:after="0" w:line="176" w:lineRule="exact"/>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60" w:type="dxa"/>
            <w:vAlign w:val="bottom"/>
          </w:tcPr>
          <w:p>
            <w:pPr>
              <w:spacing w:after="0" w:line="164" w:lineRule="exact"/>
              <w:rPr>
                <w:sz w:val="20"/>
                <w:szCs w:val="20"/>
                <w:color w:val="auto"/>
              </w:rPr>
            </w:pPr>
            <w:r>
              <w:rPr>
                <w:rFonts w:ascii="Arial" w:cs="Arial" w:eastAsia="Arial" w:hAnsi="Arial"/>
                <w:sz w:val="16"/>
                <w:szCs w:val="16"/>
                <w:color w:val="auto"/>
              </w:rPr>
              <w:t>EARNINGS (LOSSES)</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SDG&amp;E(3)</w:t>
            </w:r>
          </w:p>
        </w:tc>
        <w:tc>
          <w:tcPr>
            <w:tcW w:w="1320" w:type="dxa"/>
            <w:vAlign w:val="bottom"/>
            <w:gridSpan w:val="3"/>
          </w:tcPr>
          <w:p>
            <w:pPr>
              <w:jc w:val="right"/>
              <w:ind w:right="2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105</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45</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 $</w:t>
            </w: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89</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80" w:type="dxa"/>
            <w:vAlign w:val="bottom"/>
          </w:tcPr>
          <w:p>
            <w:pPr>
              <w:spacing w:after="0"/>
              <w:rPr>
                <w:sz w:val="15"/>
                <w:szCs w:val="15"/>
                <w:color w:val="auto"/>
              </w:rPr>
            </w:pP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SoCalGas(3)</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66</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28</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68</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40</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17</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22</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37</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16</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39</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10</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4</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63</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(31)</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284"/>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236</w:t>
            </w:r>
          </w:p>
        </w:tc>
        <w:tc>
          <w:tcPr>
            <w:tcW w:w="7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 $</w:t>
            </w: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99"/>
              <w:spacing w:after="0" w:line="176" w:lineRule="exact"/>
              <w:rPr>
                <w:sz w:val="20"/>
                <w:szCs w:val="20"/>
                <w:color w:val="auto"/>
              </w:rPr>
            </w:pPr>
            <w:r>
              <w:rPr>
                <w:rFonts w:ascii="Arial" w:cs="Arial" w:eastAsia="Arial" w:hAnsi="Arial"/>
                <w:sz w:val="16"/>
                <w:szCs w:val="16"/>
                <w:color w:val="auto"/>
              </w:rPr>
              <w:t>254</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r>
      <w:tr>
        <w:trPr>
          <w:trHeight w:val="164"/>
        </w:trPr>
        <w:tc>
          <w:tcPr>
            <w:tcW w:w="20" w:type="dxa"/>
            <w:vAlign w:val="bottom"/>
          </w:tcPr>
          <w:p>
            <w:pPr>
              <w:spacing w:after="0"/>
              <w:rPr>
                <w:sz w:val="14"/>
                <w:szCs w:val="14"/>
                <w:color w:val="auto"/>
              </w:rPr>
            </w:pPr>
          </w:p>
        </w:tc>
        <w:tc>
          <w:tcPr>
            <w:tcW w:w="5160" w:type="dxa"/>
            <w:vAlign w:val="bottom"/>
          </w:tcPr>
          <w:p>
            <w:pPr>
              <w:spacing w:after="0" w:line="164" w:lineRule="exact"/>
              <w:rPr>
                <w:sz w:val="20"/>
                <w:szCs w:val="20"/>
                <w:color w:val="auto"/>
              </w:rPr>
            </w:pPr>
            <w:r>
              <w:rPr>
                <w:rFonts w:ascii="Arial" w:cs="Arial" w:eastAsia="Arial" w:hAnsi="Arial"/>
                <w:sz w:val="16"/>
                <w:szCs w:val="16"/>
                <w:color w:val="auto"/>
              </w:rPr>
              <w:t>EXPENDITURES FOR PROPERTY PLANT &amp; EQUIPMENT</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SDG&amp;E</w:t>
            </w:r>
          </w:p>
        </w:tc>
        <w:tc>
          <w:tcPr>
            <w:tcW w:w="1320" w:type="dxa"/>
            <w:vAlign w:val="bottom"/>
            <w:gridSpan w:val="3"/>
          </w:tcPr>
          <w:p>
            <w:pPr>
              <w:jc w:val="right"/>
              <w:ind w:right="2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398</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49</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 $</w:t>
            </w: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348</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57</w:t>
            </w:r>
          </w:p>
        </w:tc>
        <w:tc>
          <w:tcPr>
            <w:tcW w:w="80" w:type="dxa"/>
            <w:vAlign w:val="bottom"/>
          </w:tcPr>
          <w:p>
            <w:pPr>
              <w:spacing w:after="0"/>
              <w:rPr>
                <w:sz w:val="15"/>
                <w:szCs w:val="15"/>
                <w:color w:val="auto"/>
              </w:rPr>
            </w:pP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SoCalGas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165</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20</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168</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19</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5</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3</w:t>
            </w:r>
          </w:p>
        </w:tc>
        <w:tc>
          <w:tcPr>
            <w:tcW w:w="440" w:type="dxa"/>
            <w:vAlign w:val="bottom"/>
            <w:gridSpan w:val="2"/>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201</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25</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46</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22</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3</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42</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284"/>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811</w:t>
            </w:r>
          </w:p>
        </w:tc>
        <w:tc>
          <w:tcPr>
            <w:tcW w:w="7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 $</w:t>
            </w: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99"/>
              <w:spacing w:after="0" w:line="176" w:lineRule="exact"/>
              <w:rPr>
                <w:sz w:val="20"/>
                <w:szCs w:val="20"/>
                <w:color w:val="auto"/>
              </w:rPr>
            </w:pPr>
            <w:r>
              <w:rPr>
                <w:rFonts w:ascii="Arial" w:cs="Arial" w:eastAsia="Arial" w:hAnsi="Arial"/>
                <w:sz w:val="16"/>
                <w:szCs w:val="16"/>
                <w:color w:val="auto"/>
              </w:rPr>
              <w:t>607</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color w:val="auto"/>
              </w:rPr>
              <w:t>March 31, 2012</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2011</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64"/>
        </w:trPr>
        <w:tc>
          <w:tcPr>
            <w:tcW w:w="20" w:type="dxa"/>
            <w:vAlign w:val="bottom"/>
          </w:tcPr>
          <w:p>
            <w:pPr>
              <w:spacing w:after="0"/>
              <w:rPr>
                <w:sz w:val="14"/>
                <w:szCs w:val="14"/>
                <w:color w:val="auto"/>
              </w:rPr>
            </w:pPr>
          </w:p>
        </w:tc>
        <w:tc>
          <w:tcPr>
            <w:tcW w:w="5160" w:type="dxa"/>
            <w:vAlign w:val="bottom"/>
          </w:tcPr>
          <w:p>
            <w:pPr>
              <w:spacing w:after="0" w:line="164" w:lineRule="exact"/>
              <w:rPr>
                <w:sz w:val="20"/>
                <w:szCs w:val="20"/>
                <w:color w:val="auto"/>
              </w:rPr>
            </w:pPr>
            <w:r>
              <w:rPr>
                <w:rFonts w:ascii="Arial" w:cs="Arial" w:eastAsia="Arial" w:hAnsi="Arial"/>
                <w:sz w:val="16"/>
                <w:szCs w:val="16"/>
                <w:color w:val="auto"/>
              </w:rPr>
              <w:t>ASSETS</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SDG&amp;E</w:t>
            </w:r>
          </w:p>
        </w:tc>
        <w:tc>
          <w:tcPr>
            <w:tcW w:w="1320" w:type="dxa"/>
            <w:vAlign w:val="bottom"/>
            <w:gridSpan w:val="3"/>
          </w:tcPr>
          <w:p>
            <w:pPr>
              <w:jc w:val="right"/>
              <w:ind w:right="2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14,048</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41</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 $</w:t>
            </w: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13,555</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80" w:type="dxa"/>
            <w:vAlign w:val="bottom"/>
          </w:tcPr>
          <w:p>
            <w:pPr>
              <w:spacing w:after="0"/>
              <w:rPr>
                <w:sz w:val="15"/>
                <w:szCs w:val="15"/>
                <w:color w:val="auto"/>
              </w:rPr>
            </w:pP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SoCalGas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8,492</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25</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8,475</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South American Utilities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3,161</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9</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2,981</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2,931</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9</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2,914</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1,581</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5</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1,210</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5,852</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17</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5,738</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All other</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497</w:t>
            </w:r>
          </w:p>
        </w:tc>
        <w:tc>
          <w:tcPr>
            <w:tcW w:w="7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538</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Arial" w:cs="Arial" w:eastAsia="Arial" w:hAnsi="Arial"/>
                <w:sz w:val="16"/>
                <w:szCs w:val="16"/>
                <w:color w:val="auto"/>
              </w:rPr>
              <w:t>Intersegment receivables</w:t>
            </w:r>
          </w:p>
        </w:tc>
        <w:tc>
          <w:tcPr>
            <w:tcW w:w="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(2,162)</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284"/>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34,045</w:t>
            </w:r>
          </w:p>
        </w:tc>
        <w:tc>
          <w:tcPr>
            <w:tcW w:w="7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 $</w:t>
            </w: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99"/>
              <w:spacing w:after="0" w:line="176" w:lineRule="exact"/>
              <w:rPr>
                <w:sz w:val="20"/>
                <w:szCs w:val="20"/>
                <w:color w:val="auto"/>
              </w:rPr>
            </w:pPr>
            <w:r>
              <w:rPr>
                <w:rFonts w:ascii="Arial" w:cs="Arial" w:eastAsia="Arial" w:hAnsi="Arial"/>
                <w:sz w:val="16"/>
                <w:szCs w:val="16"/>
                <w:color w:val="auto"/>
              </w:rPr>
              <w:t>33,249</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INVESTMENTS IN EQUITY METHOD INVESTEES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Mexico</w:t>
            </w:r>
          </w:p>
        </w:tc>
        <w:tc>
          <w:tcPr>
            <w:tcW w:w="1320" w:type="dxa"/>
            <w:vAlign w:val="bottom"/>
            <w:gridSpan w:val="3"/>
          </w:tcPr>
          <w:p>
            <w:pPr>
              <w:jc w:val="right"/>
              <w:ind w:right="284"/>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313</w:t>
            </w:r>
          </w:p>
        </w:tc>
        <w:tc>
          <w:tcPr>
            <w:tcW w:w="7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302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Renewables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442</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390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line="176" w:lineRule="exact"/>
              <w:rPr>
                <w:sz w:val="20"/>
                <w:szCs w:val="20"/>
                <w:color w:val="auto"/>
              </w:rPr>
            </w:pPr>
            <w:r>
              <w:rPr>
                <w:rFonts w:ascii="Arial" w:cs="Arial" w:eastAsia="Arial" w:hAnsi="Arial"/>
                <w:sz w:val="16"/>
                <w:szCs w:val="16"/>
                <w:color w:val="auto"/>
              </w:rPr>
              <w:t>Sempra Natural Gas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789</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800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w:t>
            </w: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137</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160" w:type="dxa"/>
            <w:vAlign w:val="bottom"/>
          </w:tcPr>
          <w:p>
            <w:pPr>
              <w:ind w:left="300"/>
              <w:spacing w:after="0"/>
              <w:rPr>
                <w:sz w:val="20"/>
                <w:szCs w:val="20"/>
                <w:color w:val="auto"/>
              </w:rPr>
            </w:pPr>
            <w:r>
              <w:rPr>
                <w:rFonts w:ascii="Arial" w:cs="Arial" w:eastAsia="Arial" w:hAnsi="Arial"/>
                <w:sz w:val="16"/>
                <w:szCs w:val="16"/>
                <w:color w:val="auto"/>
              </w:rPr>
              <w:t>Total</w:t>
            </w:r>
          </w:p>
        </w:tc>
        <w:tc>
          <w:tcPr>
            <w:tcW w:w="860" w:type="dxa"/>
            <w:vAlign w:val="bottom"/>
          </w:tcPr>
          <w:p>
            <w:pPr>
              <w:spacing w:after="0"/>
              <w:rPr>
                <w:sz w:val="16"/>
                <w:szCs w:val="16"/>
                <w:color w:val="auto"/>
              </w:rPr>
            </w:pPr>
          </w:p>
        </w:tc>
        <w:tc>
          <w:tcPr>
            <w:tcW w:w="460" w:type="dxa"/>
            <w:vAlign w:val="bottom"/>
            <w:gridSpan w:val="2"/>
          </w:tcPr>
          <w:p>
            <w:pPr>
              <w:jc w:val="right"/>
              <w:ind w:right="284"/>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1,680</w:t>
            </w: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color w:val="auto"/>
              </w:rPr>
              <w:t>1,629</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hanging="396"/>
        <w:spacing w:after="0"/>
        <w:tabs>
          <w:tab w:leader="none" w:pos="6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13" w:lineRule="exact"/>
        <w:rPr>
          <w:rFonts w:ascii="Arial" w:cs="Arial" w:eastAsia="Arial" w:hAnsi="Arial"/>
          <w:sz w:val="14"/>
          <w:szCs w:val="14"/>
          <w:i w:val="1"/>
          <w:iCs w:val="1"/>
          <w:color w:val="auto"/>
        </w:rPr>
      </w:pPr>
    </w:p>
    <w:p>
      <w:pPr>
        <w:ind w:left="620"/>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$2 million, $15 million, $46 million and $37 million for the three months ended March 31, 2012, and $2 million, $13 million, $58 million and $49 million for the three months ended March 31, 2011 for SDG&amp;E, SoCalGas, Sempra Mexico and Sempra Natural Gas, respectively.</w:t>
      </w:r>
    </w:p>
    <w:p>
      <w:pPr>
        <w:ind w:left="620" w:hanging="396"/>
        <w:spacing w:after="0"/>
        <w:tabs>
          <w:tab w:leader="none" w:pos="6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Prior year amounts have been revised to present amounts after eliminations between Parent and corporate entities.</w:t>
      </w:r>
    </w:p>
    <w:p>
      <w:pPr>
        <w:spacing w:after="0" w:line="1" w:lineRule="exact"/>
        <w:rPr>
          <w:rFonts w:ascii="Arial" w:cs="Arial" w:eastAsia="Arial" w:hAnsi="Arial"/>
          <w:sz w:val="14"/>
          <w:szCs w:val="14"/>
          <w:i w:val="1"/>
          <w:iCs w:val="1"/>
          <w:color w:val="auto"/>
        </w:rPr>
      </w:pPr>
    </w:p>
    <w:p>
      <w:pPr>
        <w:ind w:left="620" w:hanging="396"/>
        <w:spacing w:after="0"/>
        <w:tabs>
          <w:tab w:leader="none" w:pos="62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ectPr>
          <w:pgSz w:w="11900" w:h="16838" w:orient="portrait"/>
          <w:cols w:equalWidth="0" w:num="1">
            <w:col w:w="11420"/>
          </w:cols>
          <w:pgMar w:left="240" w:top="128" w:right="239" w:bottom="1440" w:gutter="0" w:footer="0" w:header="0"/>
        </w:sectPr>
      </w:pPr>
    </w:p>
    <w:bookmarkStart w:id="47" w:name="page48"/>
    <w:bookmarkEnd w:id="47"/>
    <w:p>
      <w:pPr>
        <w:spacing w:after="0" w:line="62" w:lineRule="exact"/>
        <w:rPr>
          <w:sz w:val="20"/>
          <w:szCs w:val="20"/>
          <w:color w:val="auto"/>
        </w:rPr>
      </w:pPr>
    </w:p>
    <w:p>
      <w:pPr>
        <w:ind w:right="240"/>
        <w:spacing w:after="0" w:line="260"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1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You should read the following discussion in conjunction with the financial statements contained in this Form 10-Q, “Management’s Discussion and Analysis of Financial Condition and Results of Operations” contained in our 2011 Annual Report on Form 10-K (Annual Report), and “Risk Factors” contained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2012 Business Segment Realignment</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Effective January 1, 2012, management realigned some of the company’s major subsidiaries to better fit its strategic direction and to enhance the management and integration of our assets. This realignment resulted in a change in reportable segments in 2012. In accordance with accounting principles generally accepted in the United States (GAAP), we have restated historical information in this Form 10-Q to reflect the effect of this change. All discussions of our operating units and reportable segments in this report reflect the new segments and operating structure.</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5" w:lineRule="exact"/>
        <w:rPr>
          <w:sz w:val="20"/>
          <w:szCs w:val="20"/>
          <w:color w:val="auto"/>
        </w:rPr>
      </w:pPr>
    </w:p>
    <w:p>
      <w:pPr>
        <w:ind w:left="340" w:hanging="188"/>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References in this report to “we,” “our” and “Sempra Energy Consolidated” are to Sempra Energy and its consolidated entities, collectively, unless otherwise indicated by its context. All references in this report to “Sempra International” and “Sempra U.S. Gas &amp; Power,” and to their respective principal segments, are not intended to refer to any legal entity with the same or similar name.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MARKET</w:t>
            </w:r>
          </w:p>
        </w:tc>
        <w:tc>
          <w:tcPr>
            <w:tcW w:w="37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SAN DIEGO GAS &amp; ELECTRIC COMPANY</w:t>
            </w:r>
          </w:p>
        </w:tc>
        <w:tc>
          <w:tcPr>
            <w:tcW w:w="500" w:type="dxa"/>
            <w:vAlign w:val="bottom"/>
          </w:tcPr>
          <w:p>
            <w:pPr>
              <w:ind w:left="320"/>
              <w:spacing w:after="0" w:line="162"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Provides electricity to 3.4 million consumers</w:t>
            </w:r>
          </w:p>
        </w:tc>
        <w:tc>
          <w:tcPr>
            <w:tcW w:w="3780" w:type="dxa"/>
            <w:vAlign w:val="bottom"/>
          </w:tcPr>
          <w:p>
            <w:pPr>
              <w:spacing w:after="0" w:line="162"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177"/>
        </w:trPr>
        <w:tc>
          <w:tcPr>
            <w:tcW w:w="38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(SDG&amp;E)</w:t>
            </w: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(1.4 million meters)</w:t>
            </w:r>
          </w:p>
        </w:tc>
        <w:tc>
          <w:tcPr>
            <w:tcW w:w="3780" w:type="dxa"/>
            <w:vAlign w:val="bottom"/>
          </w:tcPr>
          <w:p>
            <w:pPr>
              <w:spacing w:after="0" w:line="178" w:lineRule="exact"/>
              <w:rPr>
                <w:sz w:val="20"/>
                <w:szCs w:val="20"/>
                <w:color w:val="auto"/>
              </w:rPr>
            </w:pPr>
            <w:r>
              <w:rPr>
                <w:rFonts w:ascii="Arial" w:cs="Arial" w:eastAsia="Arial" w:hAnsi="Arial"/>
                <w:sz w:val="16"/>
                <w:szCs w:val="16"/>
                <w:color w:val="auto"/>
              </w:rPr>
              <w:t>adjacent portion of southern Orange County</w:t>
            </w:r>
          </w:p>
        </w:tc>
        <w:tc>
          <w:tcPr>
            <w:tcW w:w="0" w:type="dxa"/>
            <w:vAlign w:val="bottom"/>
          </w:tcPr>
          <w:p>
            <w:pPr>
              <w:spacing w:after="0"/>
              <w:rPr>
                <w:sz w:val="1"/>
                <w:szCs w:val="1"/>
                <w:color w:val="auto"/>
              </w:rPr>
            </w:pPr>
          </w:p>
        </w:tc>
      </w:tr>
      <w:tr>
        <w:trPr>
          <w:trHeight w:val="73"/>
        </w:trPr>
        <w:tc>
          <w:tcPr>
            <w:tcW w:w="384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tcBorders>
              <w:right w:val="single" w:sz="8" w:color="auto"/>
            </w:tcBorders>
            <w:gridSpan w:val="2"/>
            <w:vMerge w:val="continue"/>
          </w:tcPr>
          <w:p>
            <w:pPr>
              <w:spacing w:after="0"/>
              <w:rPr>
                <w:sz w:val="6"/>
                <w:szCs w:val="6"/>
                <w:color w:val="auto"/>
              </w:rPr>
            </w:pPr>
          </w:p>
        </w:tc>
        <w:tc>
          <w:tcPr>
            <w:tcW w:w="3780" w:type="dxa"/>
            <w:vAlign w:val="bottom"/>
            <w:vMerge w:val="restart"/>
          </w:tcPr>
          <w:p>
            <w:pPr>
              <w:spacing w:after="0" w:line="176" w:lineRule="exact"/>
              <w:rPr>
                <w:sz w:val="20"/>
                <w:szCs w:val="20"/>
                <w:color w:val="auto"/>
              </w:rPr>
            </w:pPr>
            <w:r>
              <w:rPr>
                <w:rFonts w:ascii="Arial" w:cs="Arial" w:eastAsia="Arial" w:hAnsi="Arial"/>
                <w:sz w:val="16"/>
                <w:szCs w:val="16"/>
                <w:color w:val="auto"/>
              </w:rPr>
              <w:t>covering 4,100 square miles</w:t>
            </w:r>
          </w:p>
        </w:tc>
        <w:tc>
          <w:tcPr>
            <w:tcW w:w="0" w:type="dxa"/>
            <w:vAlign w:val="bottom"/>
          </w:tcPr>
          <w:p>
            <w:pPr>
              <w:spacing w:after="0"/>
              <w:rPr>
                <w:sz w:val="1"/>
                <w:szCs w:val="1"/>
                <w:color w:val="auto"/>
              </w:rPr>
            </w:pPr>
          </w:p>
        </w:tc>
      </w:tr>
      <w:tr>
        <w:trPr>
          <w:trHeight w:val="102"/>
        </w:trPr>
        <w:tc>
          <w:tcPr>
            <w:tcW w:w="3840" w:type="dxa"/>
            <w:vAlign w:val="bottom"/>
            <w:tcBorders>
              <w:right w:val="single" w:sz="8" w:color="auto"/>
            </w:tcBorders>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electric generation, transmission and distribution,</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Provides natural gas to 3.1 million</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and natural gas distribution</w:t>
            </w:r>
          </w:p>
        </w:tc>
        <w:tc>
          <w:tcPr>
            <w:tcW w:w="500" w:type="dxa"/>
            <w:vAlign w:val="bottom"/>
            <w:vMerge w:val="continue"/>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40" w:type="dxa"/>
            <w:vAlign w:val="bottom"/>
            <w:tcBorders>
              <w:right w:val="single" w:sz="8" w:color="auto"/>
            </w:tcBorders>
            <w:gridSpan w:val="2"/>
            <w:vMerge w:val="continue"/>
          </w:tcPr>
          <w:p>
            <w:pPr>
              <w:spacing w:after="0"/>
              <w:rPr>
                <w:sz w:val="4"/>
                <w:szCs w:val="4"/>
                <w:color w:val="auto"/>
              </w:rPr>
            </w:pP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consumers (855,000 meters)</w:t>
            </w: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right w:val="single" w:sz="8" w:color="auto"/>
            </w:tcBorders>
          </w:tcPr>
          <w:p>
            <w:pPr>
              <w:spacing w:after="0"/>
              <w:rPr>
                <w:sz w:val="12"/>
                <w:szCs w:val="12"/>
                <w:color w:val="auto"/>
              </w:rPr>
            </w:pPr>
          </w:p>
        </w:tc>
        <w:tc>
          <w:tcPr>
            <w:tcW w:w="3800" w:type="dxa"/>
            <w:vAlign w:val="bottom"/>
            <w:tcBorders>
              <w:right w:val="single" w:sz="8" w:color="auto"/>
            </w:tcBorders>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SOUTHERN CALIFORNIA GAS COMPANY</w:t>
            </w:r>
          </w:p>
        </w:tc>
        <w:tc>
          <w:tcPr>
            <w:tcW w:w="500" w:type="dxa"/>
            <w:vAlign w:val="bottom"/>
          </w:tcPr>
          <w:p>
            <w:pPr>
              <w:ind w:left="320"/>
              <w:spacing w:after="0" w:line="162"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Residential, commercial, industrial, utility</w:t>
            </w:r>
          </w:p>
        </w:tc>
        <w:tc>
          <w:tcPr>
            <w:tcW w:w="3780" w:type="dxa"/>
            <w:vAlign w:val="bottom"/>
          </w:tcPr>
          <w:p>
            <w:pPr>
              <w:spacing w:after="0" w:line="162"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7"/>
        </w:trPr>
        <w:tc>
          <w:tcPr>
            <w:tcW w:w="38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(SOCALGAS)</w:t>
            </w: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electric generation and wholesale customers</w:t>
            </w:r>
          </w:p>
        </w:tc>
        <w:tc>
          <w:tcPr>
            <w:tcW w:w="3780" w:type="dxa"/>
            <w:vAlign w:val="bottom"/>
          </w:tcPr>
          <w:p>
            <w:pPr>
              <w:spacing w:after="0" w:line="178"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3"/>
        </w:trPr>
        <w:tc>
          <w:tcPr>
            <w:tcW w:w="3840" w:type="dxa"/>
            <w:vAlign w:val="bottom"/>
            <w:tcBorders>
              <w:right w:val="single" w:sz="8" w:color="auto"/>
            </w:tcBorders>
            <w:gridSpan w:val="2"/>
            <w:vMerge w:val="restart"/>
          </w:tcPr>
          <w:p>
            <w:pPr>
              <w:spacing w:after="0" w:line="176"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tcBorders>
              <w:right w:val="single" w:sz="8" w:color="auto"/>
            </w:tcBorders>
            <w:gridSpan w:val="2"/>
            <w:vMerge w:val="continue"/>
          </w:tcPr>
          <w:p>
            <w:pPr>
              <w:spacing w:after="0"/>
              <w:rPr>
                <w:sz w:val="6"/>
                <w:szCs w:val="6"/>
                <w:color w:val="auto"/>
              </w:rPr>
            </w:pPr>
          </w:p>
        </w:tc>
        <w:tc>
          <w:tcPr>
            <w:tcW w:w="3780" w:type="dxa"/>
            <w:vAlign w:val="bottom"/>
            <w:vMerge w:val="restart"/>
          </w:tcPr>
          <w:p>
            <w:pPr>
              <w:spacing w:after="0" w:line="176"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02"/>
        </w:trPr>
        <w:tc>
          <w:tcPr>
            <w:tcW w:w="3840" w:type="dxa"/>
            <w:vAlign w:val="bottom"/>
            <w:tcBorders>
              <w:right w:val="single" w:sz="8" w:color="auto"/>
            </w:tcBorders>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natural gas distribution, transmission and storage</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Covers a population of 21 million (5.8</w:t>
            </w:r>
          </w:p>
        </w:tc>
        <w:tc>
          <w:tcPr>
            <w:tcW w:w="378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500" w:type="dxa"/>
            <w:vAlign w:val="bottom"/>
            <w:vMerge w:val="continue"/>
          </w:tcPr>
          <w:p>
            <w:pPr>
              <w:spacing w:after="0"/>
              <w:rPr>
                <w:sz w:val="10"/>
                <w:szCs w:val="10"/>
                <w:color w:val="auto"/>
              </w:rPr>
            </w:pPr>
          </w:p>
        </w:tc>
        <w:tc>
          <w:tcPr>
            <w:tcW w:w="3300" w:type="dxa"/>
            <w:vAlign w:val="bottom"/>
            <w:tcBorders>
              <w:right w:val="single" w:sz="8" w:color="auto"/>
            </w:tcBorders>
            <w:vMerge w:val="continue"/>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million meters)</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and Sempra U.S. Gas &amp; Power operating units described below.</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this report is the first time that we are presenting results based on our new operating units (Sempra International and Sempra U.S. Gas &amp; Power) and their reportable segments, we provide descriptions of our reorganized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MARKET</w:t>
            </w:r>
          </w:p>
        </w:tc>
        <w:tc>
          <w:tcPr>
            <w:tcW w:w="37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SOUTH AMERICAN UTILITIES</w:t>
            </w:r>
          </w:p>
        </w:tc>
        <w:tc>
          <w:tcPr>
            <w:tcW w:w="3800" w:type="dxa"/>
            <w:vAlign w:val="bottom"/>
            <w:tcBorders>
              <w:right w:val="single" w:sz="8" w:color="auto"/>
            </w:tcBorders>
          </w:tcPr>
          <w:p>
            <w:pPr>
              <w:ind w:left="320"/>
              <w:spacing w:after="0" w:line="164" w:lineRule="exact"/>
              <w:rPr>
                <w:sz w:val="20"/>
                <w:szCs w:val="20"/>
                <w:color w:val="auto"/>
              </w:rPr>
            </w:pPr>
            <w:r>
              <w:rPr>
                <w:rFonts w:ascii="Arial" w:cs="Arial" w:eastAsia="Arial" w:hAnsi="Arial"/>
                <w:sz w:val="16"/>
                <w:szCs w:val="16"/>
                <w:color w:val="auto"/>
              </w:rPr>
              <w:t>§   Provides electricity to more than 600,000</w:t>
            </w:r>
          </w:p>
        </w:tc>
        <w:tc>
          <w:tcPr>
            <w:tcW w:w="3780" w:type="dxa"/>
            <w:vAlign w:val="bottom"/>
          </w:tcPr>
          <w:p>
            <w:pPr>
              <w:ind w:left="320"/>
              <w:spacing w:after="0" w:line="164" w:lineRule="exact"/>
              <w:rPr>
                <w:sz w:val="20"/>
                <w:szCs w:val="20"/>
                <w:color w:val="auto"/>
              </w:rPr>
            </w:pPr>
            <w:r>
              <w:rPr>
                <w:rFonts w:ascii="Arial" w:cs="Arial" w:eastAsia="Arial" w:hAnsi="Arial"/>
                <w:sz w:val="16"/>
                <w:szCs w:val="16"/>
                <w:color w:val="auto"/>
              </w:rPr>
              <w:t>§   Serves the cities of Valparaiso and Viña del</w:t>
            </w: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Infrastructure supports electric transmission and</w:t>
            </w:r>
          </w:p>
        </w:tc>
        <w:tc>
          <w:tcPr>
            <w:tcW w:w="3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customers in Chile and more than 900,000</w:t>
            </w:r>
          </w:p>
        </w:tc>
        <w:tc>
          <w:tcPr>
            <w:tcW w:w="3780" w:type="dxa"/>
            <w:vAlign w:val="bottom"/>
            <w:vMerge w:val="restart"/>
          </w:tcPr>
          <w:p>
            <w:pPr>
              <w:ind w:left="320"/>
              <w:spacing w:after="0"/>
              <w:rPr>
                <w:sz w:val="20"/>
                <w:szCs w:val="20"/>
                <w:color w:val="auto"/>
              </w:rPr>
            </w:pPr>
            <w:r>
              <w:rPr>
                <w:rFonts w:ascii="Arial" w:cs="Arial" w:eastAsia="Arial" w:hAnsi="Arial"/>
                <w:sz w:val="16"/>
                <w:szCs w:val="16"/>
                <w:color w:val="auto"/>
              </w:rPr>
              <w:t>Mar in central Chile</w:t>
            </w:r>
          </w:p>
        </w:tc>
        <w:tc>
          <w:tcPr>
            <w:tcW w:w="0" w:type="dxa"/>
            <w:vAlign w:val="bottom"/>
          </w:tcPr>
          <w:p>
            <w:pPr>
              <w:spacing w:after="0"/>
              <w:rPr>
                <w:sz w:val="1"/>
                <w:szCs w:val="1"/>
                <w:color w:val="auto"/>
              </w:rPr>
            </w:pPr>
          </w:p>
        </w:tc>
      </w:tr>
      <w:tr>
        <w:trPr>
          <w:trHeight w:val="68"/>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distribution</w:t>
            </w:r>
          </w:p>
        </w:tc>
        <w:tc>
          <w:tcPr>
            <w:tcW w:w="3800" w:type="dxa"/>
            <w:vAlign w:val="bottom"/>
            <w:tcBorders>
              <w:right w:val="single" w:sz="8" w:color="auto"/>
            </w:tcBorders>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840" w:type="dxa"/>
            <w:vAlign w:val="bottom"/>
            <w:tcBorders>
              <w:right w:val="single" w:sz="8" w:color="auto"/>
            </w:tcBorders>
            <w:gridSpan w:val="2"/>
            <w:vMerge w:val="continue"/>
          </w:tcPr>
          <w:p>
            <w:pPr>
              <w:spacing w:after="0"/>
              <w:rPr>
                <w:sz w:val="11"/>
                <w:szCs w:val="11"/>
                <w:color w:val="auto"/>
              </w:rPr>
            </w:pPr>
          </w:p>
        </w:tc>
        <w:tc>
          <w:tcPr>
            <w:tcW w:w="3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customers in Peru</w:t>
            </w: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20" w:type="dxa"/>
            <w:vAlign w:val="bottom"/>
            <w:tcBorders>
              <w:right w:val="single" w:sz="8" w:color="auto"/>
            </w:tcBorders>
          </w:tcPr>
          <w:p>
            <w:pPr>
              <w:spacing w:after="0"/>
              <w:rPr>
                <w:sz w:val="5"/>
                <w:szCs w:val="5"/>
                <w:color w:val="auto"/>
              </w:rPr>
            </w:pPr>
          </w:p>
        </w:tc>
        <w:tc>
          <w:tcPr>
            <w:tcW w:w="3800" w:type="dxa"/>
            <w:vAlign w:val="bottom"/>
            <w:tcBorders>
              <w:right w:val="single" w:sz="8" w:color="auto"/>
            </w:tcBorders>
            <w:vMerge w:val="continue"/>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19"/>
                <w:szCs w:val="19"/>
                <w:color w:val="auto"/>
              </w:rPr>
            </w:pPr>
          </w:p>
        </w:tc>
        <w:tc>
          <w:tcPr>
            <w:tcW w:w="3780" w:type="dxa"/>
            <w:vAlign w:val="bottom"/>
          </w:tcPr>
          <w:p>
            <w:pPr>
              <w:ind w:left="320"/>
              <w:spacing w:after="0"/>
              <w:rPr>
                <w:sz w:val="20"/>
                <w:szCs w:val="20"/>
                <w:color w:val="auto"/>
              </w:rPr>
            </w:pPr>
            <w:r>
              <w:rPr>
                <w:rFonts w:ascii="Arial" w:cs="Arial" w:eastAsia="Arial" w:hAnsi="Arial"/>
                <w:sz w:val="16"/>
                <w:szCs w:val="16"/>
                <w:color w:val="auto"/>
              </w:rPr>
              <w:t>§   Serves the southern zone of metropolitan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3780" w:type="dxa"/>
            <w:vAlign w:val="bottom"/>
          </w:tcPr>
          <w:p>
            <w:pPr>
              <w:ind w:left="320"/>
              <w:spacing w:after="0"/>
              <w:rPr>
                <w:sz w:val="20"/>
                <w:szCs w:val="20"/>
                <w:color w:val="auto"/>
              </w:rPr>
            </w:pPr>
            <w:r>
              <w:rPr>
                <w:rFonts w:ascii="Arial" w:cs="Arial" w:eastAsia="Arial" w:hAnsi="Arial"/>
                <w:sz w:val="16"/>
                <w:szCs w:val="16"/>
                <w:color w:val="auto"/>
              </w:rPr>
              <w:t>Lima, Peru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tcBorders>
              <w:right w:val="single" w:sz="8" w:color="auto"/>
            </w:tcBorders>
          </w:tcPr>
          <w:p>
            <w:pPr>
              <w:spacing w:after="0"/>
              <w:rPr>
                <w:sz w:val="11"/>
                <w:szCs w:val="11"/>
                <w:color w:val="auto"/>
              </w:rPr>
            </w:pPr>
          </w:p>
        </w:tc>
        <w:tc>
          <w:tcPr>
            <w:tcW w:w="3800" w:type="dxa"/>
            <w:vAlign w:val="bottom"/>
            <w:tcBorders>
              <w:right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36" w:right="239" w:bottom="0" w:gutter="0" w:footer="0" w:header="0"/>
        </w:sectPr>
      </w:pPr>
    </w:p>
    <w:bookmarkStart w:id="48" w:name="page49"/>
    <w:bookmarkEnd w:id="48"/>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MEXICO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Owns and operates, or holds interests in:</w:t>
      </w:r>
    </w:p>
    <w:p>
      <w:pPr>
        <w:spacing w:after="0" w:line="19" w:lineRule="exact"/>
        <w:rPr>
          <w:sz w:val="20"/>
          <w:szCs w:val="20"/>
          <w:color w:val="auto"/>
        </w:rPr>
      </w:pPr>
    </w:p>
    <w:p>
      <w:pPr>
        <w:ind w:left="340" w:right="240" w:hanging="8"/>
        <w:spacing w:after="0" w:line="278" w:lineRule="auto"/>
        <w:tabs>
          <w:tab w:leader="none" w:pos="6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natural gas transmission pipelines and propane systems</w:t>
      </w:r>
    </w:p>
    <w:p>
      <w:pPr>
        <w:spacing w:after="0" w:line="195" w:lineRule="exact"/>
        <w:rPr>
          <w:rFonts w:ascii="Arial" w:cs="Arial" w:eastAsia="Arial" w:hAnsi="Arial"/>
          <w:sz w:val="16"/>
          <w:szCs w:val="16"/>
          <w:color w:val="auto"/>
        </w:rPr>
      </w:pPr>
    </w:p>
    <w:p>
      <w:pPr>
        <w:ind w:left="620" w:hanging="288"/>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natural gas distribution utility</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electric generation facilities</w:t>
      </w:r>
    </w:p>
    <w:p>
      <w:pPr>
        <w:spacing w:after="0" w:line="248" w:lineRule="exact"/>
        <w:rPr>
          <w:rFonts w:ascii="Arial" w:cs="Arial" w:eastAsia="Arial" w:hAnsi="Arial"/>
          <w:sz w:val="16"/>
          <w:szCs w:val="16"/>
          <w:color w:val="auto"/>
        </w:rPr>
      </w:pPr>
    </w:p>
    <w:p>
      <w:pPr>
        <w:jc w:val="both"/>
        <w:ind w:left="340" w:hanging="8"/>
        <w:spacing w:after="0" w:line="262" w:lineRule="auto"/>
        <w:tabs>
          <w:tab w:leader="none" w:pos="6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terminal in Mexico for the importation of liquefied natural gas (LNG) and purchase and sale of natural gas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   Natural gas</w:t>
            </w:r>
          </w:p>
        </w:tc>
        <w:tc>
          <w:tcPr>
            <w:tcW w:w="2140" w:type="dxa"/>
            <w:vAlign w:val="bottom"/>
          </w:tcPr>
          <w:p>
            <w:pPr>
              <w:ind w:left="1340"/>
              <w:spacing w:after="0"/>
              <w:rPr>
                <w:sz w:val="20"/>
                <w:szCs w:val="20"/>
                <w:color w:val="auto"/>
              </w:rPr>
            </w:pPr>
            <w:r>
              <w:rPr>
                <w:rFonts w:ascii="Arial" w:cs="Arial" w:eastAsia="Arial" w:hAnsi="Arial"/>
                <w:sz w:val="16"/>
                <w:szCs w:val="16"/>
                <w:color w:val="auto"/>
              </w:rPr>
              <w:t>§   Mexico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-132715</wp:posOffset>
            </wp:positionV>
            <wp:extent cx="7246620" cy="1697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218" w:lineRule="exact"/>
        <w:rPr>
          <w:sz w:val="20"/>
          <w:szCs w:val="20"/>
          <w:color w:val="auto"/>
        </w:rPr>
      </w:pPr>
    </w:p>
    <w:p>
      <w:pPr>
        <w:ind w:left="286" w:hanging="286"/>
        <w:spacing w:after="0"/>
        <w:tabs>
          <w:tab w:leader="none" w:pos="286"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Wholesale electricity</w:t>
      </w:r>
    </w:p>
    <w:p>
      <w:pPr>
        <w:spacing w:after="0" w:line="248" w:lineRule="exact"/>
        <w:rPr>
          <w:rFonts w:ascii="Arial" w:cs="Arial" w:eastAsia="Arial" w:hAnsi="Arial"/>
          <w:sz w:val="16"/>
          <w:szCs w:val="16"/>
          <w:color w:val="auto"/>
        </w:rPr>
      </w:pPr>
    </w:p>
    <w:p>
      <w:pPr>
        <w:ind w:left="286" w:hanging="286"/>
        <w:spacing w:after="0"/>
        <w:tabs>
          <w:tab w:leader="none" w:pos="286"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Liquefied natural gas</w:t>
      </w:r>
    </w:p>
    <w:p>
      <w:pPr>
        <w:spacing w:after="0" w:line="1590" w:lineRule="exact"/>
        <w:rPr>
          <w:sz w:val="20"/>
          <w:szCs w:val="20"/>
          <w:color w:val="auto"/>
        </w:rPr>
      </w:pPr>
    </w:p>
    <w:p>
      <w:pPr>
        <w:sectPr>
          <w:pgSz w:w="11900" w:h="16900" w:orient="portrait"/>
          <w:cols w:equalWidth="0" w:num="2">
            <w:col w:w="3620" w:space="534"/>
            <w:col w:w="7266"/>
          </w:cols>
          <w:pgMar w:left="240" w:top="108" w:right="239" w:bottom="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International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South American Utilities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Sempra South American Utilities operates electric transmission and distribution utilities in Chile and Peru, and owns interests in utilities in Argentina.</w:t>
      </w:r>
    </w:p>
    <w:p>
      <w:pPr>
        <w:spacing w:after="0" w:line="23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6, 2011, Sempra South American Utilities completed the acquisition of AEI’s interests in Chilquinta Energía S.A. (Chilquinta Energía) in Chile and Luz del Sur S.A.A. (Luz del Sur) in Peru. Upon completion of the transaction, Sempra South American Utilities owned 100 percent of Chilquinta Energía and approximately 76 percent of Luz del Sur, and the companies are now consolidated. Pursuant to a tender offer that was completed in September 2011, Sempra South American Utilities now owns 79.82 percent of Luz del Sur, as we discuss in Note 3 of the Notes to Consolidated Financial Statements in the Annual Report. The remaining shares of Luz del Sur are held by institutional investors and the general public.</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additional information about the acquisition and Sempra South American Utilities’ investments in Chilquinta Energía and Luz del Sur in Note 3 of the Notes to Condensed Consolidated Financial Statements herein.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Sempra South American Utilities also is currently pursuing the sale of its interests in the Argentine utilities, which we discuss further in Note 4 of the Notes to Consolidated Financial Statements in the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01"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Transportation</w:t>
      </w:r>
      <w:r>
        <w:rPr>
          <w:rFonts w:ascii="Arial" w:cs="Arial" w:eastAsia="Arial" w:hAnsi="Arial"/>
          <w:sz w:val="16"/>
          <w:szCs w:val="16"/>
          <w:color w:val="auto"/>
        </w:rPr>
        <w:t>. Sempra Mexico owns and operates natural gas transmission pipelines and propane systems in Mexico. These facilities are contracted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U.S. dollar-based agreements with PEMEX (the Mexican state-owned oil company), the Federal Electricity Commission (Comisión Federal de Electricidad, or CFE), Shell México Gas Natural (Shell), Gazprom Marketing &amp; Trading Mexico (Gazprom) and other similar counterparties.</w:t>
      </w:r>
    </w:p>
    <w:p>
      <w:pPr>
        <w:spacing w:after="0" w:line="14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Sempra Mexico’s natural gas distribution utility, Ecogas Mexico, S de RL de CV (Ecogas), operates in three separate areas in Mexico, and had</w:t>
      </w:r>
      <w:r>
        <w:rPr>
          <w:rFonts w:ascii="Arial" w:cs="Arial" w:eastAsia="Arial" w:hAnsi="Arial"/>
          <w:sz w:val="18"/>
          <w:szCs w:val="18"/>
          <w:b w:val="1"/>
          <w:bCs w:val="1"/>
          <w:color w:val="auto"/>
        </w:rPr>
        <w:t xml:space="preserve"> </w:t>
      </w:r>
      <w:r>
        <w:rPr>
          <w:rFonts w:ascii="Arial" w:cs="Arial" w:eastAsia="Arial" w:hAnsi="Arial"/>
          <w:sz w:val="18"/>
          <w:szCs w:val="18"/>
          <w:color w:val="auto"/>
        </w:rPr>
        <w:t>a customer count of 89,800 and sales volume of 60 million cubic feet per day in 2011.</w:t>
      </w:r>
    </w:p>
    <w:p>
      <w:pPr>
        <w:spacing w:after="0" w:line="162"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Generation</w:t>
      </w:r>
      <w:r>
        <w:rPr>
          <w:rFonts w:ascii="Arial" w:cs="Arial" w:eastAsia="Arial" w:hAnsi="Arial"/>
          <w:sz w:val="16"/>
          <w:szCs w:val="16"/>
          <w:color w:val="auto"/>
        </w:rPr>
        <w:t>. Sempra Mexico’s Termoeléctrica de Mexicali, a 625-megawatt (MW) natural gas-fired power plant, is located in Mexicali, Baja California,</w:t>
      </w:r>
      <w:r>
        <w:rPr>
          <w:rFonts w:ascii="Arial" w:cs="Arial" w:eastAsia="Arial" w:hAnsi="Arial"/>
          <w:sz w:val="16"/>
          <w:szCs w:val="16"/>
          <w:b w:val="1"/>
          <w:bCs w:val="1"/>
          <w:color w:val="auto"/>
        </w:rPr>
        <w:t xml:space="preserve"> </w:t>
      </w:r>
      <w:r>
        <w:rPr>
          <w:rFonts w:ascii="Arial" w:cs="Arial" w:eastAsia="Arial" w:hAnsi="Arial"/>
          <w:sz w:val="16"/>
          <w:szCs w:val="16"/>
          <w:color w:val="auto"/>
        </w:rPr>
        <w:t>Mexico. Under an agreement with Sempra Natural Gas, Sempra Mexico records revenue for the sale of power generated by Termoeléctrica de Mexicali to Sempra Natural Gas, and records cost of sales for purchases from Sempra Natural Gas of natural gas to fuel the facility. J.P. Morgan Ventures Energy Corporation (J.P. Morgan Ventures) facilitates the transactions between the segments. Sempra Mexico also develops renewable energy generation facilities.</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LNG</w:t>
      </w:r>
      <w:r>
        <w:rPr>
          <w:rFonts w:ascii="Arial" w:cs="Arial" w:eastAsia="Arial" w:hAnsi="Arial"/>
          <w:sz w:val="18"/>
          <w:szCs w:val="18"/>
          <w:color w:val="auto"/>
        </w:rPr>
        <w:t>. Sempra Mexico’s Energía Costa Azul LNG terminal in Baja California, Mexico is capable of processing 1 billion cubic feet (Bcf) of natural gas per</w:t>
      </w:r>
      <w:r>
        <w:rPr>
          <w:rFonts w:ascii="Arial" w:cs="Arial" w:eastAsia="Arial" w:hAnsi="Arial"/>
          <w:sz w:val="18"/>
          <w:szCs w:val="18"/>
          <w:b w:val="1"/>
          <w:bCs w:val="1"/>
          <w:color w:val="auto"/>
        </w:rPr>
        <w:t xml:space="preserve"> </w:t>
      </w:r>
      <w:r>
        <w:rPr>
          <w:rFonts w:ascii="Arial" w:cs="Arial" w:eastAsia="Arial" w:hAnsi="Arial"/>
          <w:sz w:val="18"/>
          <w:szCs w:val="18"/>
          <w:color w:val="auto"/>
        </w:rPr>
        <w:t>day. The Energía Costa Azul facility generates revenue under a capacity services agreement with Shell, expiring in 2028, that originally permitted Shell to use one-half of the terminal’s capacity. In April 2009, Shell assigned a portion of its terminal capacity at Energía Costa Azul to Gazprom, transferring all further rights and obligations with respect to the assigned capacity, and a separate capacity services agreement between Energía Costa Azul and Gazprom was put into place.</w:t>
      </w:r>
    </w:p>
    <w:p>
      <w:pPr>
        <w:spacing w:after="0" w:line="18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 nitrogen-injection facility at Energía Costa Azul allows the terminal to process LNG cargoes from a wider variety of sources and provides additional revenue from payments for capacity reservation and usage fees for nitrogen injection services for Shell and Gazprom.</w:t>
      </w:r>
    </w:p>
    <w:p>
      <w:pPr>
        <w:spacing w:after="0" w:line="14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connection with Sempra Natural Gas’ LNG purchase agreement with Tangguh PSC Contractors (Tangguh PSC), which we discuss below, Sempra Mexico purchases from Sempra Natural Gas the LNG delivered to Energía Costa Azul by Tangguh PSC. Sempra Mexico uses the natural gas produced from this LNG to supply a contract through 2022 for the sale of an average of approximately 150 million cubic feet per day of natural gas to Mexico’s national electric company, the CFE, at prices that are based on the Southern California border index. If LNG volumes received from Tangguh PSC are not sufficient to satisfy the commitment to the CFE, Sempra Mexico may purchase natural gas from Sempra Natural Gas’ natural gas marketing operations. Under an agreement among Sempra Natural Gas, Sempra Mexico, J.P. Morgan Mexico and J.P. Morgan Ventures, Sempra Natural Gas and Sempra Mexico sell to J.P. Morgan Ventures and J.P. Morgan Mexico any volumes received from Tangguh PSC that are not sold to the CFE. The agreement was previously with RBS Sempra Commodities LLP (RBS Sempra Commodities). In connection with the 2010 sale of businesses within RBS Sempra Commodities, substantially all contracts with RBS Sempra Commodities were assigned to J.P. Morgan Ventures by May 1, 2011, as we discuss under “Transactions with RBS Sempra Commodities” in Note 5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MARKET</w:t>
            </w:r>
          </w:p>
        </w:tc>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SEMPRA RENEWABLES</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280" w:type="dxa"/>
            <w:vAlign w:val="bottom"/>
          </w:tcPr>
          <w:p>
            <w:pPr>
              <w:ind w:left="120"/>
              <w:spacing w:after="0" w:line="164"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6"/>
        </w:trPr>
        <w:tc>
          <w:tcPr>
            <w:tcW w:w="384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Develops, owns, operates, or holds interests in</w:t>
            </w:r>
          </w:p>
        </w:tc>
        <w:tc>
          <w:tcPr>
            <w:tcW w:w="500" w:type="dxa"/>
            <w:vAlign w:val="bottom"/>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renewable energy generation projects</w:t>
            </w:r>
          </w:p>
        </w:tc>
        <w:tc>
          <w:tcPr>
            <w:tcW w:w="500" w:type="dxa"/>
            <w:vAlign w:val="bottom"/>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40" w:type="dxa"/>
            <w:vAlign w:val="bottom"/>
            <w:tcBorders>
              <w:bottom w:val="single" w:sz="8" w:color="auto"/>
              <w:right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840" w:type="dxa"/>
            <w:vAlign w:val="bottom"/>
            <w:tcBorders>
              <w:right w:val="single" w:sz="8" w:color="auto"/>
            </w:tcBorders>
            <w:gridSpan w:val="2"/>
          </w:tcPr>
          <w:p>
            <w:pPr>
              <w:spacing w:after="0" w:line="164" w:lineRule="exact"/>
              <w:rPr>
                <w:sz w:val="20"/>
                <w:szCs w:val="20"/>
                <w:color w:val="auto"/>
              </w:rPr>
            </w:pPr>
            <w:r>
              <w:rPr>
                <w:rFonts w:ascii="Arial" w:cs="Arial" w:eastAsia="Arial" w:hAnsi="Arial"/>
                <w:sz w:val="16"/>
                <w:szCs w:val="16"/>
                <w:b w:val="1"/>
                <w:bCs w:val="1"/>
                <w:color w:val="auto"/>
              </w:rPr>
              <w:t>SEMPRA NATURAL GAS</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3280" w:type="dxa"/>
            <w:vAlign w:val="bottom"/>
          </w:tcPr>
          <w:p>
            <w:pPr>
              <w:ind w:left="120"/>
              <w:spacing w:after="0" w:line="164"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500" w:type="dxa"/>
            <w:vAlign w:val="bottom"/>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natural gas-fired electric generation plant</w:t>
            </w:r>
          </w:p>
        </w:tc>
        <w:tc>
          <w:tcPr>
            <w:tcW w:w="5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Natural gas</w:t>
            </w:r>
          </w:p>
        </w:tc>
        <w:tc>
          <w:tcPr>
            <w:tcW w:w="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8" w:right="239" w:bottom="0" w:gutter="0" w:footer="0" w:header="0"/>
          <w:type w:val="continuous"/>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2350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06"/>
        </w:trPr>
        <w:tc>
          <w:tcPr>
            <w:tcW w:w="3560" w:type="dxa"/>
            <w:vAlign w:val="bottom"/>
          </w:tcPr>
          <w:p>
            <w:pPr>
              <w:spacing w:after="0"/>
              <w:rPr>
                <w:sz w:val="20"/>
                <w:szCs w:val="20"/>
                <w:color w:val="auto"/>
              </w:rPr>
            </w:pPr>
            <w:r>
              <w:rPr>
                <w:rFonts w:ascii="Arial" w:cs="Arial" w:eastAsia="Arial" w:hAnsi="Arial"/>
                <w:sz w:val="16"/>
                <w:szCs w:val="16"/>
                <w:color w:val="auto"/>
              </w:rPr>
              <w:t>§   natural gas pipelines and storage facilities</w:t>
            </w:r>
          </w:p>
        </w:tc>
        <w:tc>
          <w:tcPr>
            <w:tcW w:w="2040" w:type="dxa"/>
            <w:vAlign w:val="bottom"/>
          </w:tcPr>
          <w:p>
            <w:pPr>
              <w:ind w:left="260"/>
              <w:spacing w:after="0"/>
              <w:rPr>
                <w:sz w:val="20"/>
                <w:szCs w:val="20"/>
                <w:color w:val="auto"/>
              </w:rPr>
            </w:pPr>
            <w:r>
              <w:rPr>
                <w:rFonts w:ascii="Arial" w:cs="Arial" w:eastAsia="Arial" w:hAnsi="Arial"/>
                <w:sz w:val="16"/>
                <w:szCs w:val="16"/>
                <w:color w:val="auto"/>
              </w:rPr>
              <w:t>§   Liquefied natural gas</w:t>
            </w:r>
          </w:p>
        </w:tc>
      </w:tr>
    </w:tbl>
    <w:p>
      <w:pPr>
        <w:spacing w:after="0" w:line="238" w:lineRule="exact"/>
        <w:rPr>
          <w:sz w:val="20"/>
          <w:szCs w:val="20"/>
          <w:color w:val="auto"/>
        </w:rPr>
      </w:pPr>
    </w:p>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natural gas distribution utility</w:t>
      </w:r>
    </w:p>
    <w:p>
      <w:pPr>
        <w:spacing w:after="0" w:line="248" w:lineRule="exact"/>
        <w:rPr>
          <w:rFonts w:ascii="Arial" w:cs="Arial" w:eastAsia="Arial" w:hAnsi="Arial"/>
          <w:sz w:val="16"/>
          <w:szCs w:val="16"/>
          <w:color w:val="auto"/>
        </w:rPr>
      </w:pPr>
    </w:p>
    <w:p>
      <w:pPr>
        <w:ind w:left="340" w:right="7760" w:hanging="8"/>
        <w:spacing w:after="0" w:line="278" w:lineRule="auto"/>
        <w:tabs>
          <w:tab w:leader="none" w:pos="62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terminal in the U.S. for the importation and export of LNG and sale of natural gas</w:t>
      </w:r>
    </w:p>
    <w:p>
      <w:pPr>
        <w:spacing w:after="0" w:line="195" w:lineRule="exact"/>
        <w:rPr>
          <w:rFonts w:ascii="Arial" w:cs="Arial" w:eastAsia="Arial" w:hAnsi="Arial"/>
          <w:sz w:val="16"/>
          <w:szCs w:val="16"/>
          <w:color w:val="auto"/>
        </w:rPr>
      </w:pPr>
    </w:p>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marketing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U.S. Gas &amp; Power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Renewables</w:t>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information about the Sempra Renewables facilities that were operational as of March 31, 2012. The generating capacity of these facilities is fully contracted under long-term contracts, as we discuss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RENEWABLES OPERATING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20"/>
                <w:szCs w:val="20"/>
                <w:color w:val="auto"/>
              </w:rPr>
            </w:pPr>
            <w:r>
              <w:rPr>
                <w:rFonts w:ascii="Arial" w:cs="Arial" w:eastAsia="Arial" w:hAnsi="Arial"/>
                <w:sz w:val="14"/>
                <w:szCs w:val="14"/>
                <w:i w:val="1"/>
                <w:iCs w:val="1"/>
                <w:color w:val="auto"/>
              </w:rPr>
              <w:t>Capacity in Megawatts (MW)</w:t>
            </w: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4"/>
                <w:szCs w:val="14"/>
                <w:color w:val="auto"/>
              </w:rPr>
              <w:t>First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2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Maximum Generating Capacity</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2"/>
              <w:spacing w:after="0" w:line="157" w:lineRule="exact"/>
              <w:rPr>
                <w:sz w:val="20"/>
                <w:szCs w:val="20"/>
                <w:color w:val="auto"/>
              </w:rPr>
            </w:pPr>
            <w:r>
              <w:rPr>
                <w:rFonts w:ascii="Arial" w:cs="Arial" w:eastAsia="Arial" w:hAnsi="Arial"/>
                <w:sz w:val="14"/>
                <w:szCs w:val="14"/>
                <w:color w:val="auto"/>
              </w:rPr>
              <w:t>In Service</w:t>
            </w:r>
          </w:p>
        </w:tc>
        <w:tc>
          <w:tcPr>
            <w:tcW w:w="380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24"/>
        </w:trPr>
        <w:tc>
          <w:tcPr>
            <w:tcW w:w="3980" w:type="dxa"/>
            <w:vAlign w:val="bottom"/>
          </w:tcPr>
          <w:p>
            <w:pPr>
              <w:spacing w:after="0"/>
              <w:rPr>
                <w:sz w:val="20"/>
                <w:szCs w:val="20"/>
                <w:color w:val="auto"/>
              </w:rPr>
            </w:pPr>
            <w:r>
              <w:rPr>
                <w:rFonts w:ascii="Arial" w:cs="Arial" w:eastAsia="Arial" w:hAnsi="Arial"/>
                <w:sz w:val="16"/>
                <w:szCs w:val="16"/>
                <w:color w:val="auto"/>
              </w:rPr>
              <w:t>Cedar Creek 2 Wind Farm (50% owned)</w:t>
            </w:r>
          </w:p>
        </w:tc>
        <w:tc>
          <w:tcPr>
            <w:tcW w:w="2100" w:type="dxa"/>
            <w:vAlign w:val="bottom"/>
          </w:tcPr>
          <w:p>
            <w:pPr>
              <w:jc w:val="right"/>
              <w:spacing w:after="0"/>
              <w:rPr>
                <w:sz w:val="20"/>
                <w:szCs w:val="20"/>
                <w:color w:val="auto"/>
              </w:rPr>
            </w:pPr>
            <w:r>
              <w:rPr>
                <w:rFonts w:ascii="Arial" w:cs="Arial" w:eastAsia="Arial" w:hAnsi="Arial"/>
                <w:sz w:val="16"/>
                <w:szCs w:val="16"/>
                <w:color w:val="auto"/>
              </w:rPr>
              <w:t>125</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2011</w:t>
            </w:r>
          </w:p>
        </w:tc>
        <w:tc>
          <w:tcPr>
            <w:tcW w:w="3800" w:type="dxa"/>
            <w:vAlign w:val="bottom"/>
          </w:tcPr>
          <w:p>
            <w:pPr>
              <w:ind w:left="40"/>
              <w:spacing w:after="0"/>
              <w:rPr>
                <w:sz w:val="20"/>
                <w:szCs w:val="20"/>
                <w:color w:val="auto"/>
              </w:rPr>
            </w:pPr>
            <w:r>
              <w:rPr>
                <w:rFonts w:ascii="Arial" w:cs="Arial" w:eastAsia="Arial" w:hAnsi="Arial"/>
                <w:sz w:val="16"/>
                <w:szCs w:val="16"/>
                <w:color w:val="auto"/>
              </w:rPr>
              <w:t>New Raymer, CO</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Fowler Ridge 2 Wind Farm (50% owned)</w:t>
            </w:r>
          </w:p>
        </w:tc>
        <w:tc>
          <w:tcPr>
            <w:tcW w:w="210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2009</w:t>
            </w:r>
          </w:p>
        </w:tc>
        <w:tc>
          <w:tcPr>
            <w:tcW w:w="3800" w:type="dxa"/>
            <w:vAlign w:val="bottom"/>
          </w:tcPr>
          <w:p>
            <w:pPr>
              <w:ind w:left="40"/>
              <w:spacing w:after="0"/>
              <w:rPr>
                <w:sz w:val="20"/>
                <w:szCs w:val="20"/>
                <w:color w:val="auto"/>
              </w:rPr>
            </w:pPr>
            <w:r>
              <w:rPr>
                <w:rFonts w:ascii="Arial" w:cs="Arial" w:eastAsia="Arial" w:hAnsi="Arial"/>
                <w:sz w:val="16"/>
                <w:szCs w:val="16"/>
                <w:color w:val="auto"/>
              </w:rPr>
              <w:t>Benton County, IN</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6"/>
                <w:szCs w:val="16"/>
                <w:color w:val="auto"/>
              </w:rPr>
              <w:t>Copper Mountain Solar 1</w:t>
            </w:r>
          </w:p>
        </w:tc>
        <w:tc>
          <w:tcPr>
            <w:tcW w:w="2100" w:type="dxa"/>
            <w:vAlign w:val="bottom"/>
          </w:tcPr>
          <w:p>
            <w:pPr>
              <w:jc w:val="right"/>
              <w:spacing w:after="0"/>
              <w:rPr>
                <w:sz w:val="20"/>
                <w:szCs w:val="20"/>
                <w:color w:val="auto"/>
              </w:rPr>
            </w:pPr>
            <w:r>
              <w:rPr>
                <w:rFonts w:ascii="Arial" w:cs="Arial" w:eastAsia="Arial" w:hAnsi="Arial"/>
                <w:sz w:val="16"/>
                <w:szCs w:val="16"/>
                <w:color w:val="auto"/>
              </w:rPr>
              <w:t>58</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40" w:type="dxa"/>
            <w:vAlign w:val="bottom"/>
          </w:tcPr>
          <w:p>
            <w:pPr>
              <w:jc w:val="right"/>
              <w:spacing w:after="0"/>
              <w:rPr>
                <w:sz w:val="20"/>
                <w:szCs w:val="20"/>
                <w:color w:val="auto"/>
              </w:rPr>
            </w:pPr>
            <w:r>
              <w:rPr>
                <w:rFonts w:ascii="Arial" w:cs="Arial" w:eastAsia="Arial" w:hAnsi="Arial"/>
                <w:sz w:val="16"/>
                <w:szCs w:val="16"/>
                <w:color w:val="auto"/>
              </w:rPr>
              <w:t>2010</w:t>
            </w:r>
          </w:p>
        </w:tc>
        <w:tc>
          <w:tcPr>
            <w:tcW w:w="3800" w:type="dxa"/>
            <w:vAlign w:val="bottom"/>
          </w:tcPr>
          <w:p>
            <w:pPr>
              <w:ind w:left="40"/>
              <w:spacing w:after="0"/>
              <w:rPr>
                <w:sz w:val="20"/>
                <w:szCs w:val="20"/>
                <w:color w:val="auto"/>
              </w:rPr>
            </w:pPr>
            <w:r>
              <w:rPr>
                <w:rFonts w:ascii="Arial" w:cs="Arial" w:eastAsia="Arial" w:hAnsi="Arial"/>
                <w:sz w:val="16"/>
                <w:szCs w:val="16"/>
                <w:color w:val="auto"/>
              </w:rPr>
              <w:t>Boulder City, NV</w:t>
            </w:r>
          </w:p>
        </w:tc>
        <w:tc>
          <w:tcPr>
            <w:tcW w:w="0" w:type="dxa"/>
            <w:vAlign w:val="bottom"/>
          </w:tcPr>
          <w:p>
            <w:pPr>
              <w:spacing w:after="0"/>
              <w:rPr>
                <w:sz w:val="1"/>
                <w:szCs w:val="1"/>
                <w:color w:val="auto"/>
              </w:rPr>
            </w:pPr>
          </w:p>
        </w:tc>
      </w:tr>
      <w:tr>
        <w:trPr>
          <w:trHeight w:val="194"/>
        </w:trPr>
        <w:tc>
          <w:tcPr>
            <w:tcW w:w="3980" w:type="dxa"/>
            <w:vAlign w:val="bottom"/>
          </w:tcPr>
          <w:p>
            <w:pPr>
              <w:spacing w:after="0"/>
              <w:rPr>
                <w:sz w:val="20"/>
                <w:szCs w:val="20"/>
                <w:color w:val="auto"/>
              </w:rPr>
            </w:pPr>
            <w:r>
              <w:rPr>
                <w:rFonts w:ascii="Arial" w:cs="Arial" w:eastAsia="Arial" w:hAnsi="Arial"/>
                <w:sz w:val="16"/>
                <w:szCs w:val="16"/>
                <w:color w:val="auto"/>
              </w:rPr>
              <w:t>Mesquite Solar 1</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40" w:type="dxa"/>
            <w:vAlign w:val="bottom"/>
          </w:tcPr>
          <w:p>
            <w:pPr>
              <w:jc w:val="right"/>
              <w:spacing w:after="0"/>
              <w:rPr>
                <w:sz w:val="20"/>
                <w:szCs w:val="20"/>
                <w:color w:val="auto"/>
              </w:rPr>
            </w:pPr>
            <w:r>
              <w:rPr>
                <w:rFonts w:ascii="Arial" w:cs="Arial" w:eastAsia="Arial" w:hAnsi="Arial"/>
                <w:sz w:val="16"/>
                <w:szCs w:val="16"/>
                <w:color w:val="auto"/>
              </w:rPr>
              <w:t>2011</w:t>
            </w:r>
          </w:p>
        </w:tc>
        <w:tc>
          <w:tcPr>
            <w:tcW w:w="3800" w:type="dxa"/>
            <w:vAlign w:val="bottom"/>
          </w:tcPr>
          <w:p>
            <w:pPr>
              <w:ind w:left="40"/>
              <w:spacing w:after="0"/>
              <w:rPr>
                <w:sz w:val="20"/>
                <w:szCs w:val="20"/>
                <w:color w:val="auto"/>
              </w:rPr>
            </w:pPr>
            <w:r>
              <w:rPr>
                <w:rFonts w:ascii="Arial" w:cs="Arial" w:eastAsia="Arial" w:hAnsi="Arial"/>
                <w:sz w:val="16"/>
                <w:szCs w:val="16"/>
                <w:color w:val="auto"/>
              </w:rPr>
              <w:t>Arlington, AZ</w:t>
            </w:r>
          </w:p>
        </w:tc>
        <w:tc>
          <w:tcPr>
            <w:tcW w:w="0" w:type="dxa"/>
            <w:vAlign w:val="bottom"/>
          </w:tcPr>
          <w:p>
            <w:pPr>
              <w:spacing w:after="0"/>
              <w:rPr>
                <w:sz w:val="1"/>
                <w:szCs w:val="1"/>
                <w:color w:val="auto"/>
              </w:rPr>
            </w:pPr>
          </w:p>
        </w:tc>
      </w:tr>
      <w:tr>
        <w:trPr>
          <w:trHeight w:val="224"/>
        </w:trPr>
        <w:tc>
          <w:tcPr>
            <w:tcW w:w="3980" w:type="dxa"/>
            <w:vAlign w:val="bottom"/>
          </w:tcPr>
          <w:p>
            <w:pPr>
              <w:ind w:left="380"/>
              <w:spacing w:after="0"/>
              <w:rPr>
                <w:sz w:val="20"/>
                <w:szCs w:val="20"/>
                <w:color w:val="auto"/>
              </w:rPr>
            </w:pPr>
            <w:r>
              <w:rPr>
                <w:rFonts w:ascii="Arial" w:cs="Arial" w:eastAsia="Arial" w:hAnsi="Arial"/>
                <w:sz w:val="16"/>
                <w:szCs w:val="16"/>
                <w:color w:val="auto"/>
              </w:rPr>
              <w:t>Total MW in operation</w:t>
            </w:r>
          </w:p>
        </w:tc>
        <w:tc>
          <w:tcPr>
            <w:tcW w:w="2100" w:type="dxa"/>
            <w:vAlign w:val="bottom"/>
          </w:tcPr>
          <w:p>
            <w:pPr>
              <w:jc w:val="right"/>
              <w:spacing w:after="0"/>
              <w:rPr>
                <w:sz w:val="20"/>
                <w:szCs w:val="20"/>
                <w:color w:val="auto"/>
              </w:rPr>
            </w:pPr>
            <w:r>
              <w:rPr>
                <w:rFonts w:ascii="Arial" w:cs="Arial" w:eastAsia="Arial" w:hAnsi="Arial"/>
                <w:sz w:val="16"/>
                <w:szCs w:val="16"/>
                <w:color w:val="auto"/>
              </w:rPr>
              <w:t>325</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hanging="278"/>
        <w:spacing w:after="0"/>
        <w:tabs>
          <w:tab w:leader="none" w:pos="38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Sempra Renewables’ share.</w:t>
      </w:r>
    </w:p>
    <w:p>
      <w:pPr>
        <w:spacing w:after="0" w:line="25" w:lineRule="exact"/>
        <w:rPr>
          <w:rFonts w:ascii="Arial" w:cs="Arial" w:eastAsia="Arial" w:hAnsi="Arial"/>
          <w:sz w:val="14"/>
          <w:szCs w:val="14"/>
          <w:i w:val="1"/>
          <w:iCs w:val="1"/>
          <w:color w:val="auto"/>
        </w:rPr>
      </w:pPr>
    </w:p>
    <w:p>
      <w:pPr>
        <w:ind w:left="380" w:hanging="278"/>
        <w:spacing w:after="0"/>
        <w:tabs>
          <w:tab w:leader="none" w:pos="38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10-MW facility previously referred to as El Dorado Solar, which was first placed in service in 2008.</w:t>
      </w:r>
    </w:p>
    <w:p>
      <w:pPr>
        <w:spacing w:after="0" w:line="14" w:lineRule="exact"/>
        <w:rPr>
          <w:rFonts w:ascii="Arial" w:cs="Arial" w:eastAsia="Arial" w:hAnsi="Arial"/>
          <w:sz w:val="14"/>
          <w:szCs w:val="14"/>
          <w:i w:val="1"/>
          <w:iCs w:val="1"/>
          <w:color w:val="auto"/>
        </w:rPr>
      </w:pPr>
    </w:p>
    <w:p>
      <w:pPr>
        <w:ind w:left="380" w:hanging="278"/>
        <w:spacing w:after="0"/>
        <w:tabs>
          <w:tab w:leader="none" w:pos="38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only the portion of the project that was completed in 2011. The entire 150-MW project is expected to be completed in early 2013.</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We discuss these facilities in more detail in “Management’s Discussion and Analysis of Financial Condition and Results of Operations” in our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0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Generation</w:t>
      </w:r>
      <w:r>
        <w:rPr>
          <w:rFonts w:ascii="Arial" w:cs="Arial" w:eastAsia="Arial" w:hAnsi="Arial"/>
          <w:sz w:val="18"/>
          <w:szCs w:val="18"/>
          <w:color w:val="auto"/>
        </w:rPr>
        <w:t>. Sempra Natural Gas sells electricity under short-term and long-term contracts and into the spot market and other competitive markets. While it</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purchase electricity in the open market to satisfy its contractual obligations, Sempra Natural Gas generally purchases natural gas to fuel its Mesquite Power natural gas-fired power plant, and, as we discuss above, Sempra Mexico’s Termoeléctrica de Mexicali plant. The Mesquite Power plant is a 1,250-MW facility located in Arlington, Arizona.</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Sempra Natural Gas’ El Dorado natural gas-fired generation plant (excluding the solar facility) was sold to SDG&amp;E on October 1, 2011. This sale, pursuant to an option to acquire the plant that was exercised by SDG&amp;E in 2007, coincided with the end of a contract with the California Department of Water Resources (DWR). During the first three quarters of 2011, the Mesquite Power plant and the El Dorado generation plant, along with Sempra Mexico’s Termoeléctrica de Mexicali power plant, sold the majority of their output under this long-term purchased-power contract with the DWR which provided for 1,200 MW to be supplied during all hours and an additional 400 MW during on-peak hours, and ended on September 30, 2011.</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Sempra Natural Gas also has other power sale transactions, primarily with J.P. Morgan Ventures, to sell varying amounts of power through 2012. These contracts were initially with RBS Sempra Commodities. In connection with the 2010 sale of businesses within RBS Sempra Commodities, substantially all of these transactions with RBS Sempra Commodities were assigned to J.P. Morgan Ventures by May 1, 2011. The remaining output of our natural gas facilities, including that of Sempra Mexico’s Termoeléctrica de Mexicali power plant, is available to be sold into energy markets on a day-to-day basis. Sempra Natural Gas has sold certain quantities of expected future generation output under long-term contracts.</w:t>
      </w:r>
    </w:p>
    <w:p>
      <w:pPr>
        <w:spacing w:after="0" w:line="157"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Transportation and Storage</w:t>
      </w:r>
      <w:r>
        <w:rPr>
          <w:rFonts w:ascii="Arial" w:cs="Arial" w:eastAsia="Arial" w:hAnsi="Arial"/>
          <w:sz w:val="16"/>
          <w:szCs w:val="16"/>
          <w:color w:val="auto"/>
        </w:rPr>
        <w:t>. Sempra Natural Gas owns and operates, or holds interests in, natural gas underground storage and related pipeline facilities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Alabama and Mississippi. Sempra Natural Gas provides natural gas marketing, trading and risk management activities through the utilization and optimization of contracted natural gas supply, transportation and storage capacity, as well as optimizing its assets in the short-term services market.</w:t>
      </w:r>
    </w:p>
    <w:p>
      <w:pPr>
        <w:spacing w:after="0" w:line="1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Sempra Natural Gas, Kinder Morgan Energy Partners, L.P. (KMP) and ConocoPhillips jointly own, through Rockies Express Pipeline LLC (Rockies Express), the Rockies Express Pipeline (REX) that links producing areas in the Rocky Mountain region to the upper Midwest and the eastern United States. Our ownership interest in the pipeline is 25 percent. Sempra Rockies Marketing has an agreement with Rockies Express for 200 million cubic feet per day of capacity on REX, which has a total capacity of 1.8 Bcf per day. Sempra Rockies Marketing released a portion of its capacity to RBS Sempra Commodities, which capacity was assigned to J.P. Morgan Ventures effective January 1, 2011 in connection with the sale of businesses within RBS Sempra Commodities.</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KMP, the majority owner, has announced its intention to sell certain assets, including its interest in REX. KMP is proposing to divest these assets in order for KMP’s general partner, Kinder Morgan, Inc., to obtain approval for a proposed acquisition. We believe that this sales process could result in an indication of fair value for KMP’s interest in REX. If so, we would consider what, if any, impacts this information could have on our recorded value for REX. If such information indicated an impairment of our investment, we would also need to evaluate whether such impairment, if any, was other than temporary, in accordance with applicable accounting standards for equity method investments.</w:t>
      </w:r>
    </w:p>
    <w:p>
      <w:pPr>
        <w:spacing w:after="0" w:line="16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Sempra Natural Gas owns and operates Mobile Gas Service Corporation (Mobile Gas), a regulated natural gas distribution utility in southwest</w:t>
      </w:r>
      <w:r>
        <w:rPr>
          <w:rFonts w:ascii="Arial" w:cs="Arial" w:eastAsia="Arial" w:hAnsi="Arial"/>
          <w:sz w:val="18"/>
          <w:szCs w:val="18"/>
          <w:b w:val="1"/>
          <w:bCs w:val="1"/>
          <w:color w:val="auto"/>
        </w:rPr>
        <w:t xml:space="preserve"> </w:t>
      </w:r>
      <w:r>
        <w:rPr>
          <w:rFonts w:ascii="Arial" w:cs="Arial" w:eastAsia="Arial" w:hAnsi="Arial"/>
          <w:sz w:val="18"/>
          <w:szCs w:val="18"/>
          <w:color w:val="auto"/>
        </w:rPr>
        <w:t>Alabama.</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LNG</w:t>
      </w:r>
      <w:r>
        <w:rPr>
          <w:rFonts w:ascii="Arial" w:cs="Arial" w:eastAsia="Arial" w:hAnsi="Arial"/>
          <w:sz w:val="18"/>
          <w:szCs w:val="18"/>
          <w:color w:val="auto"/>
        </w:rPr>
        <w:t>. Sempra Natural Gas’ Cameron LNG terminal in Hackberry, Louisiana is capable of processing 1.5 Bcf of natural gas per day. Cameron LNG generates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under a capacity services agreement for approximately 600 million cubic feet of natural gas per day through 2029. The agreement allows customers to pay Sempra Natural Gas capacity reservation and usage fees to use its facilities to receive, store and regasify the customer’s LNG. Sempra Natural Gas also may enter into short-term and/or long-term supply agreements to purchase LNG to be received, stored and regasified at its terminals for sale to other parties. Sempra Natural Gas is currently taking steps towards the development of a liquefaction facility at the Cameron LNG terminal. We discuss these activities below in “Factors Influencing Future Performance.”</w:t>
      </w:r>
    </w:p>
    <w:p>
      <w:pPr>
        <w:sectPr>
          <w:pgSz w:w="11900" w:h="16838" w:orient="portrait"/>
          <w:cols w:equalWidth="0" w:num="1">
            <w:col w:w="11420"/>
          </w:cols>
          <w:pgMar w:left="240" w:top="143" w:right="239" w:bottom="0" w:gutter="0" w:footer="0" w:header="0"/>
        </w:sectPr>
      </w:pPr>
    </w:p>
    <w:bookmarkStart w:id="50" w:name="page51"/>
    <w:bookmarkEnd w:id="50"/>
    <w:p>
      <w:pPr>
        <w:ind w:right="40"/>
        <w:spacing w:after="0" w:line="293" w:lineRule="auto"/>
        <w:rPr>
          <w:sz w:val="20"/>
          <w:szCs w:val="20"/>
          <w:color w:val="auto"/>
        </w:rPr>
      </w:pPr>
      <w:r>
        <w:rPr>
          <w:rFonts w:ascii="Arial" w:cs="Arial" w:eastAsia="Arial" w:hAnsi="Arial"/>
          <w:sz w:val="16"/>
          <w:szCs w:val="16"/>
          <w:color w:val="auto"/>
        </w:rPr>
        <w:t>Sempra Natural Gas has an LNG purchase agreement with Tangguh PSC for the supply of the equivalent of 500 million cubic feet of natural gas per day from Tangguh PSC’s Indonesian liquefaction facility with delivery to Sempra Mexico’s Energía Costa Azul receipt terminal at a price based on the Southern California border index for natural gas. As discussed above, Sempra Natural Gas has an agreement to sell to J.P. Morgan Ventures any volumes purchased from Tangguh PSC that are not sold to the CFE or J.P. Morgan Mexico. This agreement was previously with RBS Sempra Commodities. In connection with the 2010 sale of businesses within RBS Sempra Commodities, substantially all contracts with RBS Sempra Commodities were assigned to J.P. Morgan Ventures by May 1, 2011. Sempra Natural Gas may also record revenues from non-delivery of cargoes related to this contract.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also owns property in Port Arthur, Texas, that it is evaluating for potential development.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 LLP</w:t>
      </w:r>
    </w:p>
    <w:p>
      <w:pPr>
        <w:spacing w:after="0" w:line="2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The Royal Bank of Scotland plc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Notes 4 and 10 of the Notes to Condensed Consolidated Financial Statements herein and in Note 4 of the Notes to Consolidated Financial Statements in the Annual Report.</w:t>
      </w:r>
    </w:p>
    <w:p>
      <w:pPr>
        <w:spacing w:after="0" w:line="15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activity in the partnership no longer meets the quantitative thresholds that require Sempra Commodities to be reported as a reportable segment under applicable accounting rules, and we do not consider the remaining wind-down activities of the partnership to be of continuing significance. As a result, effective January 1, 2011, we are reporting the former Sempra Commodities segment in Parent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25" w:lineRule="exact"/>
        <w:rPr>
          <w:sz w:val="20"/>
          <w:szCs w:val="20"/>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three months ended March 31, 2012, our earnings decreased by $18 million (7%) to $236 million primarily due to lower earnings at Sempra Natural Gas, offset by higher earnings at Sempra South American Utilities and SDG&amp;E.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Diluted earnings per share for the three-month period decreased by $0.08 per share to $0.97 per share primarily due to the lower earnings in 2012.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34"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As we discuss in Note 1 of the Notes to Condensed Consolidated Financial Statements herein, effective January 1, 2012, we changed our method of accounting for investment tax credits (ITC) from the flow-through method to the deferral method. We applied this change in accounting principle by retrospectively adjusting the historical financial statement amounts for all periods presented. The change in accounting principle has no impact on the financial results of SDG&amp;E or SoCalGas for prior or future periods.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59"/>
              <w:spacing w:after="0" w:line="159" w:lineRule="exact"/>
              <w:rPr>
                <w:sz w:val="20"/>
                <w:szCs w:val="20"/>
                <w:color w:val="auto"/>
              </w:rPr>
            </w:pPr>
            <w:r>
              <w:rPr>
                <w:rFonts w:ascii="Arial" w:cs="Arial" w:eastAsia="Arial" w:hAnsi="Arial"/>
                <w:sz w:val="14"/>
                <w:szCs w:val="14"/>
                <w:color w:val="auto"/>
              </w:rPr>
              <w:t>Three months ended March 31,</w:t>
            </w:r>
          </w:p>
        </w:tc>
        <w:tc>
          <w:tcPr>
            <w:tcW w:w="9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40" w:type="dxa"/>
            <w:vAlign w:val="bottom"/>
          </w:tcPr>
          <w:p>
            <w:pPr>
              <w:spacing w:after="0" w:line="164" w:lineRule="exact"/>
              <w:rPr>
                <w:sz w:val="20"/>
                <w:szCs w:val="20"/>
                <w:color w:val="auto"/>
              </w:rPr>
            </w:pPr>
            <w:r>
              <w:rPr>
                <w:rFonts w:ascii="Arial" w:cs="Arial" w:eastAsia="Arial" w:hAnsi="Arial"/>
                <w:sz w:val="16"/>
                <w:szCs w:val="16"/>
                <w:color w:val="auto"/>
              </w:rPr>
              <w:t>California Utilities:</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SDG&amp;E(1)</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105</w:t>
            </w:r>
          </w:p>
        </w:tc>
        <w:tc>
          <w:tcPr>
            <w:tcW w:w="1080" w:type="dxa"/>
            <w:vAlign w:val="bottom"/>
          </w:tcPr>
          <w:p>
            <w:pPr>
              <w:jc w:val="right"/>
              <w:ind w:right="60"/>
              <w:spacing w:after="0" w:line="176" w:lineRule="exact"/>
              <w:rPr>
                <w:sz w:val="20"/>
                <w:szCs w:val="20"/>
                <w:color w:val="auto"/>
              </w:rPr>
            </w:pPr>
            <w:r>
              <w:rPr>
                <w:rFonts w:ascii="Arial" w:cs="Arial" w:eastAsia="Arial" w:hAnsi="Arial"/>
                <w:sz w:val="16"/>
                <w:szCs w:val="16"/>
                <w:color w:val="auto"/>
              </w:rPr>
              <w:t>45 %</w:t>
            </w:r>
          </w:p>
        </w:tc>
        <w:tc>
          <w:tcPr>
            <w:tcW w:w="1300" w:type="dxa"/>
            <w:vAlign w:val="bottom"/>
          </w:tcPr>
          <w:p>
            <w:pPr>
              <w:jc w:val="right"/>
              <w:ind w:right="999"/>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89</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35 %</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SoCalGas(1)</w:t>
            </w:r>
          </w:p>
        </w:tc>
        <w:tc>
          <w:tcPr>
            <w:tcW w:w="680" w:type="dxa"/>
            <w:vAlign w:val="bottom"/>
          </w:tcPr>
          <w:p>
            <w:pPr>
              <w:spacing w:after="0"/>
              <w:rPr>
                <w:sz w:val="15"/>
                <w:szCs w:val="15"/>
                <w:color w:val="auto"/>
              </w:rPr>
            </w:pPr>
          </w:p>
        </w:tc>
        <w:tc>
          <w:tcPr>
            <w:tcW w:w="126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66</w:t>
            </w:r>
          </w:p>
        </w:tc>
        <w:tc>
          <w:tcPr>
            <w:tcW w:w="10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28</w:t>
            </w:r>
          </w:p>
        </w:tc>
        <w:tc>
          <w:tcPr>
            <w:tcW w:w="1300" w:type="dxa"/>
            <w:vAlign w:val="bottom"/>
          </w:tcPr>
          <w:p>
            <w:pPr>
              <w:spacing w:after="0"/>
              <w:rPr>
                <w:sz w:val="15"/>
                <w:szCs w:val="15"/>
                <w:color w:val="auto"/>
              </w:rPr>
            </w:pPr>
          </w:p>
        </w:tc>
        <w:tc>
          <w:tcPr>
            <w:tcW w:w="92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68</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27</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International:</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South American Utilities</w:t>
            </w:r>
          </w:p>
        </w:tc>
        <w:tc>
          <w:tcPr>
            <w:tcW w:w="680" w:type="dxa"/>
            <w:vAlign w:val="bottom"/>
          </w:tcPr>
          <w:p>
            <w:pPr>
              <w:spacing w:after="0"/>
              <w:rPr>
                <w:sz w:val="15"/>
                <w:szCs w:val="15"/>
                <w:color w:val="auto"/>
              </w:rPr>
            </w:pPr>
          </w:p>
        </w:tc>
        <w:tc>
          <w:tcPr>
            <w:tcW w:w="126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40</w:t>
            </w:r>
          </w:p>
        </w:tc>
        <w:tc>
          <w:tcPr>
            <w:tcW w:w="10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17</w:t>
            </w:r>
          </w:p>
        </w:tc>
        <w:tc>
          <w:tcPr>
            <w:tcW w:w="1300" w:type="dxa"/>
            <w:vAlign w:val="bottom"/>
          </w:tcPr>
          <w:p>
            <w:pPr>
              <w:spacing w:after="0"/>
              <w:rPr>
                <w:sz w:val="15"/>
                <w:szCs w:val="15"/>
                <w:color w:val="auto"/>
              </w:rPr>
            </w:pPr>
          </w:p>
        </w:tc>
        <w:tc>
          <w:tcPr>
            <w:tcW w:w="92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22</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9</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Mexico</w:t>
            </w:r>
          </w:p>
        </w:tc>
        <w:tc>
          <w:tcPr>
            <w:tcW w:w="680" w:type="dxa"/>
            <w:vAlign w:val="bottom"/>
          </w:tcPr>
          <w:p>
            <w:pPr>
              <w:spacing w:after="0"/>
              <w:rPr>
                <w:sz w:val="15"/>
                <w:szCs w:val="15"/>
                <w:color w:val="auto"/>
              </w:rPr>
            </w:pPr>
          </w:p>
        </w:tc>
        <w:tc>
          <w:tcPr>
            <w:tcW w:w="126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37</w:t>
            </w:r>
          </w:p>
        </w:tc>
        <w:tc>
          <w:tcPr>
            <w:tcW w:w="10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16</w:t>
            </w:r>
          </w:p>
        </w:tc>
        <w:tc>
          <w:tcPr>
            <w:tcW w:w="1300" w:type="dxa"/>
            <w:vAlign w:val="bottom"/>
          </w:tcPr>
          <w:p>
            <w:pPr>
              <w:spacing w:after="0"/>
              <w:rPr>
                <w:sz w:val="15"/>
                <w:szCs w:val="15"/>
                <w:color w:val="auto"/>
              </w:rPr>
            </w:pPr>
          </w:p>
        </w:tc>
        <w:tc>
          <w:tcPr>
            <w:tcW w:w="92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39</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15</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U.S. Gas &amp; Power:</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Renewables</w:t>
            </w:r>
          </w:p>
        </w:tc>
        <w:tc>
          <w:tcPr>
            <w:tcW w:w="680" w:type="dxa"/>
            <w:vAlign w:val="bottom"/>
          </w:tcPr>
          <w:p>
            <w:pPr>
              <w:spacing w:after="0"/>
              <w:rPr>
                <w:sz w:val="15"/>
                <w:szCs w:val="15"/>
                <w:color w:val="auto"/>
              </w:rPr>
            </w:pPr>
          </w:p>
        </w:tc>
        <w:tc>
          <w:tcPr>
            <w:tcW w:w="126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10</w:t>
            </w:r>
          </w:p>
        </w:tc>
        <w:tc>
          <w:tcPr>
            <w:tcW w:w="10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4</w:t>
            </w:r>
          </w:p>
        </w:tc>
        <w:tc>
          <w:tcPr>
            <w:tcW w:w="1300" w:type="dxa"/>
            <w:vAlign w:val="bottom"/>
          </w:tcPr>
          <w:p>
            <w:pPr>
              <w:spacing w:after="0"/>
              <w:rPr>
                <w:sz w:val="15"/>
                <w:szCs w:val="15"/>
                <w:color w:val="auto"/>
              </w:rPr>
            </w:pPr>
          </w:p>
        </w:tc>
        <w:tc>
          <w:tcPr>
            <w:tcW w:w="92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4</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Natural Gas</w:t>
            </w:r>
          </w:p>
        </w:tc>
        <w:tc>
          <w:tcPr>
            <w:tcW w:w="680" w:type="dxa"/>
            <w:vAlign w:val="bottom"/>
          </w:tcPr>
          <w:p>
            <w:pPr>
              <w:spacing w:after="0"/>
              <w:rPr>
                <w:sz w:val="15"/>
                <w:szCs w:val="15"/>
                <w:color w:val="auto"/>
              </w:rPr>
            </w:pPr>
          </w:p>
        </w:tc>
        <w:tc>
          <w:tcPr>
            <w:tcW w:w="1260" w:type="dxa"/>
            <w:vAlign w:val="bottom"/>
          </w:tcPr>
          <w:p>
            <w:pPr>
              <w:jc w:val="right"/>
              <w:ind w:right="320"/>
              <w:spacing w:after="0" w:line="176" w:lineRule="exact"/>
              <w:rPr>
                <w:sz w:val="20"/>
                <w:szCs w:val="20"/>
                <w:color w:val="auto"/>
              </w:rPr>
            </w:pPr>
            <w:r>
              <w:rPr>
                <w:rFonts w:ascii="Arial" w:cs="Arial" w:eastAsia="Arial" w:hAnsi="Arial"/>
                <w:sz w:val="16"/>
                <w:szCs w:val="16"/>
                <w:color w:val="auto"/>
              </w:rPr>
              <w:t>1</w:t>
            </w:r>
          </w:p>
        </w:tc>
        <w:tc>
          <w:tcPr>
            <w:tcW w:w="108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spacing w:after="0"/>
              <w:rPr>
                <w:sz w:val="15"/>
                <w:szCs w:val="15"/>
                <w:color w:val="auto"/>
              </w:rPr>
            </w:pPr>
          </w:p>
        </w:tc>
        <w:tc>
          <w:tcPr>
            <w:tcW w:w="92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63</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25</w:t>
            </w:r>
          </w:p>
        </w:tc>
      </w:tr>
      <w:tr>
        <w:trPr>
          <w:trHeight w:val="194"/>
        </w:trPr>
        <w:tc>
          <w:tcPr>
            <w:tcW w:w="5060" w:type="dxa"/>
            <w:vAlign w:val="bottom"/>
            <w:gridSpan w:val="2"/>
          </w:tcPr>
          <w:p>
            <w:pPr>
              <w:spacing w:after="0"/>
              <w:rPr>
                <w:sz w:val="20"/>
                <w:szCs w:val="20"/>
                <w:color w:val="auto"/>
              </w:rPr>
            </w:pPr>
            <w:r>
              <w:rPr>
                <w:rFonts w:ascii="Arial" w:cs="Arial" w:eastAsia="Arial" w:hAnsi="Arial"/>
                <w:sz w:val="16"/>
                <w:szCs w:val="16"/>
                <w:color w:val="auto"/>
              </w:rPr>
              <w:t>Parent and other(2)</w:t>
            </w: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(23)</w:t>
            </w: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(10)</w:t>
            </w: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(31)</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w:t>
            </w:r>
          </w:p>
        </w:tc>
      </w:tr>
      <w:tr>
        <w:trPr>
          <w:trHeight w:val="195"/>
        </w:trPr>
        <w:tc>
          <w:tcPr>
            <w:tcW w:w="506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236</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100 %</w:t>
            </w:r>
          </w:p>
        </w:tc>
        <w:tc>
          <w:tcPr>
            <w:tcW w:w="13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60"/>
              <w:spacing w:after="0"/>
              <w:rPr>
                <w:sz w:val="20"/>
                <w:szCs w:val="20"/>
                <w:color w:val="auto"/>
              </w:rPr>
            </w:pPr>
            <w:r>
              <w:rPr>
                <w:rFonts w:ascii="Arial" w:cs="Arial" w:eastAsia="Arial" w:hAnsi="Arial"/>
                <w:sz w:val="16"/>
                <w:szCs w:val="16"/>
                <w:color w:val="auto"/>
              </w:rPr>
              <w:t>254</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376"/>
        <w:spacing w:after="0"/>
        <w:tabs>
          <w:tab w:leader="none" w:pos="58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13" w:lineRule="exact"/>
        <w:rPr>
          <w:rFonts w:ascii="Arial" w:cs="Arial" w:eastAsia="Arial" w:hAnsi="Arial"/>
          <w:sz w:val="14"/>
          <w:szCs w:val="14"/>
          <w:i w:val="1"/>
          <w:iCs w:val="1"/>
          <w:color w:val="auto"/>
        </w:rPr>
      </w:pPr>
    </w:p>
    <w:p>
      <w:pPr>
        <w:ind w:left="580" w:right="20" w:hanging="376"/>
        <w:spacing w:after="0" w:line="258" w:lineRule="auto"/>
        <w:tabs>
          <w:tab w:leader="none" w:pos="58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($34 million and $33 million for the three months ended March 31, 2012 and 2011, respectively), intercompany eliminations recorded in consolidation and certain corporate costs.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248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ectPr>
          <w:pgSz w:w="11900" w:h="16838" w:orient="portrait"/>
          <w:cols w:equalWidth="0" w:num="1">
            <w:col w:w="11420"/>
          </w:cols>
          <w:pgMar w:left="240" w:top="125" w:right="239" w:bottom="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25" w:right="239" w:bottom="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5574030" cy="14236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5740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25" w:lineRule="exact"/>
        <w:rPr>
          <w:sz w:val="20"/>
          <w:szCs w:val="20"/>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$105 million in the three months ended March 31, 2012 ($106 million before preferred dividends)</w:t>
      </w:r>
    </w:p>
    <w:p>
      <w:pPr>
        <w:spacing w:after="0" w:line="252" w:lineRule="exact"/>
        <w:rPr>
          <w:rFonts w:ascii="Arial" w:cs="Arial" w:eastAsia="Arial" w:hAnsi="Arial"/>
          <w:sz w:val="18"/>
          <w:szCs w:val="18"/>
          <w:color w:val="auto"/>
        </w:rPr>
      </w:pPr>
    </w:p>
    <w:p>
      <w:pPr>
        <w:jc w:val="both"/>
        <w:ind w:right="4220" w:firstLine="152"/>
        <w:spacing w:after="0" w:line="581" w:lineRule="auto"/>
        <w:tabs>
          <w:tab w:leader="none" w:pos="3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$89 million in the three months ended March 31, 2011 ($90 million before preferred dividends) The increase of $16 million (18%) in the three months ended March 31, 2012 was primarily due to:</w:t>
      </w:r>
    </w:p>
    <w:p>
      <w:pPr>
        <w:ind w:left="340" w:hanging="188"/>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 million increase in allowance for funds used during construction (AFUDC) related to equity, primarily the result of the Sunrise Powerlink investment;</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 million favorable earnings impact due to 2011 incremental wildfire insurance premiums not recovered in revenues;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$5 million in earnings for Desert Star in 2012, which was acquired in October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 million higher income tax expense due to a higher effective tax rate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 million in unplanned Palomar Energy Center repairs in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 million lower electric transmission margin.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25" w:lineRule="exact"/>
        <w:rPr>
          <w:sz w:val="20"/>
          <w:szCs w:val="20"/>
          <w:color w:val="auto"/>
        </w:rPr>
      </w:pPr>
    </w:p>
    <w:p>
      <w:pPr>
        <w:ind w:left="340" w:hanging="18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$66 million in the three months ended March 31, 2012 (both before and after preferred dividends)</w:t>
      </w:r>
    </w:p>
    <w:p>
      <w:pPr>
        <w:spacing w:after="0" w:line="252" w:lineRule="exact"/>
        <w:rPr>
          <w:rFonts w:ascii="Arial" w:cs="Arial" w:eastAsia="Arial" w:hAnsi="Arial"/>
          <w:sz w:val="18"/>
          <w:szCs w:val="18"/>
          <w:color w:val="auto"/>
        </w:rPr>
      </w:pPr>
    </w:p>
    <w:p>
      <w:pPr>
        <w:ind w:right="4040" w:firstLine="152"/>
        <w:spacing w:after="0" w:line="581" w:lineRule="auto"/>
        <w:tabs>
          <w:tab w:leader="none" w:pos="3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$68 million in the three months ended March 31, 2011 (both before and after preferred dividends) The decrease of $2 million (3%) in the three months ended March 31, 2012 was primarily due to:</w:t>
      </w:r>
    </w:p>
    <w:p>
      <w:pPr>
        <w:ind w:left="340" w:hanging="18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 million increase in operating expenses, including depreciation;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$2 million higher bad debt accruals;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 million higher regulatory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2489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5574030" cy="1423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142367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25" w:lineRule="exact"/>
        <w:rPr>
          <w:sz w:val="20"/>
          <w:szCs w:val="20"/>
          <w:color w:val="auto"/>
        </w:rPr>
      </w:pPr>
    </w:p>
    <w:p>
      <w:pPr>
        <w:ind w:left="340" w:hanging="188"/>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$40 million in the three months ended March 31,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$22 million in the three months ended March 31, 2011</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increase of $18 million (82%) in the three months ended March 31, 2012 was primarily due to higher earnings related to the acquisition of additional interests in Chilquinta Energía and Luz del Sur in April 2011.</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recorded earnings of:</w:t>
      </w:r>
    </w:p>
    <w:p>
      <w:pPr>
        <w:spacing w:after="0" w:line="225" w:lineRule="exact"/>
        <w:rPr>
          <w:sz w:val="20"/>
          <w:szCs w:val="20"/>
          <w:color w:val="auto"/>
        </w:rPr>
      </w:pPr>
    </w:p>
    <w:p>
      <w:pPr>
        <w:ind w:left="340" w:hanging="188"/>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$37 million in the three months ended March 31,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$39 million in the three months ended March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Earnings for the three months ended March 31, 2012 were consistent with the corresponding period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248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U.S. GAS &amp; POWER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5574030" cy="1423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Renewables segment recorded earnings of:</w:t>
      </w:r>
    </w:p>
    <w:p>
      <w:pPr>
        <w:spacing w:after="0" w:line="225" w:lineRule="exact"/>
        <w:rPr>
          <w:sz w:val="20"/>
          <w:szCs w:val="20"/>
          <w:color w:val="auto"/>
        </w:rPr>
      </w:pPr>
    </w:p>
    <w:p>
      <w:pPr>
        <w:ind w:left="340" w:hanging="188"/>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 million in the three months ended March 31,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 million in the three months ended March 31, 2011</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of $6 million in the three months ended March 31, 2012 was primarily due to deferred income tax benefits as a result of placing solar and wind generating assets in service in 2012, partially offset by increased general and administrative costs.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Sempra Natural Gas segment recorded earnings of:</w:t>
      </w:r>
    </w:p>
    <w:p>
      <w:pPr>
        <w:spacing w:after="0" w:line="225" w:lineRule="exact"/>
        <w:rPr>
          <w:sz w:val="20"/>
          <w:szCs w:val="20"/>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 million in the three months ended March 31,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$63 million in the three months ended March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$62 million (98%) in the three months ended March 31, 2012 was primarily due to:</w:t>
      </w:r>
    </w:p>
    <w:p>
      <w:pPr>
        <w:spacing w:after="0" w:line="225" w:lineRule="exact"/>
        <w:rPr>
          <w:sz w:val="20"/>
          <w:szCs w:val="20"/>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$62 million lower earnings from gas power plant operations primarily from the end of the DWR contract as of September 30,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$9 million decrease in natural gas inventory value due to lower prices;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 million decreased gas plant operation and maintenance expenses primarily from the sale of the El Dorado power plant to SDG&amp;E as of October 1, 2011.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ectPr>
          <w:pgSz w:w="11900" w:h="16865" w:orient="portrait"/>
          <w:cols w:equalWidth="0" w:num="1">
            <w:col w:w="11400"/>
          </w:cols>
          <w:pgMar w:left="240" w:top="122" w:right="259" w:bottom="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$23 million in the three months ended March 31, 2012</w:t>
      </w:r>
    </w:p>
    <w:p>
      <w:pPr>
        <w:sectPr>
          <w:pgSz w:w="11900" w:h="16865" w:orient="portrait"/>
          <w:cols w:equalWidth="0" w:num="1">
            <w:col w:w="11400"/>
          </w:cols>
          <w:pgMar w:left="240" w:top="122" w:right="259" w:bottom="0" w:gutter="0" w:footer="0" w:header="0"/>
          <w:type w:val="continuous"/>
        </w:sectPr>
      </w:pPr>
    </w:p>
    <w:bookmarkStart w:id="53" w:name="page54"/>
    <w:bookmarkEnd w:id="53"/>
    <w:p>
      <w:pPr>
        <w:ind w:left="160"/>
        <w:spacing w:after="0"/>
        <w:rPr>
          <w:sz w:val="20"/>
          <w:szCs w:val="20"/>
          <w:color w:val="auto"/>
        </w:rPr>
      </w:pPr>
      <w:r>
        <w:rPr>
          <w:rFonts w:ascii="Arial" w:cs="Arial" w:eastAsia="Arial" w:hAnsi="Arial"/>
          <w:sz w:val="18"/>
          <w:szCs w:val="18"/>
          <w:color w:val="auto"/>
        </w:rPr>
        <w:t>§ $31 million in the three months ended March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losses of $8 million (26%) in the three months ended March 31, 2012 was primarily due to:</w:t>
      </w:r>
    </w:p>
    <w:p>
      <w:pPr>
        <w:spacing w:after="0" w:line="225" w:lineRule="exact"/>
        <w:rPr>
          <w:sz w:val="20"/>
          <w:szCs w:val="20"/>
          <w:color w:val="auto"/>
        </w:rPr>
      </w:pPr>
    </w:p>
    <w:p>
      <w:pPr>
        <w:ind w:left="340" w:hanging="188"/>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 million equity losses in 2011 from our former commodities-marketing businesses;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 million higher earnings from foreign currency exchange effects related to a Chilean holding company, and hedging transactions;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$3 million higher investment gains on dedicated assets in support of our executive retirement and deferred compensation plans, net of the increase in deferred compensation liability associated with the investments;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$7 million lower income tax benefits.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specific line items of the Condensed Consolidated Statements of Operations for Sempra Energy, SDG&amp;E and SoCalGas.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revenues at:</w:t>
      </w:r>
    </w:p>
    <w:p>
      <w:pPr>
        <w:spacing w:after="0" w:line="225" w:lineRule="exact"/>
        <w:rPr>
          <w:sz w:val="20"/>
          <w:szCs w:val="20"/>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Sempra Natural Gas’ Mobile Gas, a regulated natural gas distribution utility in southwest Alabama</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Sempra Mexico’s Ecogas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revenues at:</w:t>
      </w:r>
    </w:p>
    <w:p>
      <w:pPr>
        <w:spacing w:after="0" w:line="225" w:lineRule="exact"/>
        <w:rPr>
          <w:sz w:val="20"/>
          <w:szCs w:val="20"/>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Intercompany revenues included in the separate revenues of each utility are eliminated in the Sempra Energy Condensed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California Utilities</w:t>
      </w:r>
    </w:p>
    <w:p>
      <w:pPr>
        <w:spacing w:after="0" w:line="205"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on to customers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w:t>
      </w:r>
    </w:p>
    <w:p>
      <w:pPr>
        <w:spacing w:after="0" w:line="178"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Utilities Revenues and Cost of Sales for Sempra Energy, net of intercompany activity: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00" w:type="dxa"/>
            <w:vAlign w:val="bottom"/>
            <w:tcBorders>
              <w:bottom w:val="single" w:sz="8" w:color="auto"/>
            </w:tcBorders>
            <w:gridSpan w:val="3"/>
          </w:tcPr>
          <w:p>
            <w:pPr>
              <w:jc w:val="right"/>
              <w:ind w:right="422"/>
              <w:spacing w:after="0" w:line="159" w:lineRule="exact"/>
              <w:rPr>
                <w:sz w:val="20"/>
                <w:szCs w:val="20"/>
                <w:color w:val="auto"/>
              </w:rPr>
            </w:pPr>
            <w:r>
              <w:rPr>
                <w:rFonts w:ascii="Arial" w:cs="Arial" w:eastAsia="Arial" w:hAnsi="Arial"/>
                <w:sz w:val="14"/>
                <w:szCs w:val="14"/>
                <w:color w:val="auto"/>
              </w:rPr>
              <w:t>Three months ended March 31,</w:t>
            </w:r>
          </w:p>
        </w:tc>
        <w:tc>
          <w:tcPr>
            <w:tcW w:w="7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line="164" w:lineRule="exact"/>
              <w:rPr>
                <w:sz w:val="20"/>
                <w:szCs w:val="20"/>
                <w:color w:val="auto"/>
              </w:rPr>
            </w:pPr>
            <w:r>
              <w:rPr>
                <w:rFonts w:ascii="Arial" w:cs="Arial" w:eastAsia="Arial" w:hAnsi="Arial"/>
                <w:sz w:val="16"/>
                <w:szCs w:val="16"/>
                <w:b w:val="1"/>
                <w:bCs w:val="1"/>
                <w:color w:val="auto"/>
              </w:rPr>
              <w:t>Electric revenues:</w:t>
            </w:r>
          </w:p>
        </w:tc>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3340" w:type="dxa"/>
            <w:vAlign w:val="bottom"/>
            <w:gridSpan w:val="2"/>
          </w:tcPr>
          <w:p>
            <w:pPr>
              <w:jc w:val="right"/>
              <w:ind w:right="1326"/>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671</w:t>
            </w:r>
          </w:p>
        </w:tc>
        <w:tc>
          <w:tcPr>
            <w:tcW w:w="1520" w:type="dxa"/>
            <w:vAlign w:val="bottom"/>
          </w:tcPr>
          <w:p>
            <w:pPr>
              <w:jc w:val="right"/>
              <w:ind w:right="1342"/>
              <w:spacing w:after="0" w:line="176"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665</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Sempra South American Utilities</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338</w:t>
            </w:r>
          </w:p>
        </w:tc>
        <w:tc>
          <w:tcPr>
            <w:tcW w:w="15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516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8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20" w:type="dxa"/>
            <w:vAlign w:val="bottom"/>
          </w:tcPr>
          <w:p>
            <w:pPr>
              <w:spacing w:after="0"/>
              <w:rPr>
                <w:sz w:val="15"/>
                <w:szCs w:val="15"/>
                <w:color w:val="auto"/>
              </w:rPr>
            </w:pPr>
          </w:p>
        </w:tc>
        <w:tc>
          <w:tcPr>
            <w:tcW w:w="5140" w:type="dxa"/>
            <w:vAlign w:val="bottom"/>
          </w:tcPr>
          <w:p>
            <w:pPr>
              <w:ind w:left="360"/>
              <w:spacing w:after="0" w:line="176" w:lineRule="exact"/>
              <w:rPr>
                <w:sz w:val="20"/>
                <w:szCs w:val="20"/>
                <w:color w:val="auto"/>
              </w:rPr>
            </w:pPr>
            <w:r>
              <w:rPr>
                <w:rFonts w:ascii="Arial" w:cs="Arial" w:eastAsia="Arial" w:hAnsi="Arial"/>
                <w:sz w:val="16"/>
                <w:szCs w:val="16"/>
                <w:color w:val="auto"/>
              </w:rPr>
              <w:t>Total</w:t>
            </w:r>
          </w:p>
        </w:tc>
        <w:tc>
          <w:tcPr>
            <w:tcW w:w="186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1,008</w:t>
            </w:r>
          </w:p>
        </w:tc>
        <w:tc>
          <w:tcPr>
            <w:tcW w:w="1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663</w:t>
            </w:r>
          </w:p>
        </w:tc>
      </w:tr>
      <w:tr>
        <w:trPr>
          <w:trHeight w:val="188"/>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Natural gas revenues:</w:t>
            </w:r>
          </w:p>
        </w:tc>
        <w:tc>
          <w:tcPr>
            <w:tcW w:w="1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9"/>
        </w:trPr>
        <w:tc>
          <w:tcPr>
            <w:tcW w:w="5160" w:type="dxa"/>
            <w:vAlign w:val="bottom"/>
            <w:gridSpan w:val="2"/>
          </w:tcPr>
          <w:p>
            <w:pPr>
              <w:spacing w:after="0" w:line="179" w:lineRule="exact"/>
              <w:rPr>
                <w:sz w:val="20"/>
                <w:szCs w:val="20"/>
                <w:color w:val="auto"/>
              </w:rPr>
            </w:pPr>
            <w:r>
              <w:rPr>
                <w:rFonts w:ascii="Arial" w:cs="Arial" w:eastAsia="Arial" w:hAnsi="Arial"/>
                <w:sz w:val="16"/>
                <w:szCs w:val="16"/>
                <w:color w:val="auto"/>
              </w:rPr>
              <w:t>SoCalGas</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Arial" w:cs="Arial" w:eastAsia="Arial" w:hAnsi="Arial"/>
                <w:sz w:val="16"/>
                <w:szCs w:val="16"/>
                <w:color w:val="auto"/>
              </w:rPr>
              <w:t>880</w:t>
            </w:r>
          </w:p>
        </w:tc>
        <w:tc>
          <w:tcPr>
            <w:tcW w:w="15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Arial" w:cs="Arial" w:eastAsia="Arial" w:hAnsi="Arial"/>
                <w:sz w:val="16"/>
                <w:szCs w:val="16"/>
                <w:color w:val="auto"/>
              </w:rPr>
              <w:t>1,056</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c>
          <w:tcPr>
            <w:tcW w:w="15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175</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Sempra Mexico</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15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r>
      <w:tr>
        <w:trPr>
          <w:trHeight w:val="176"/>
        </w:trPr>
        <w:tc>
          <w:tcPr>
            <w:tcW w:w="5160" w:type="dxa"/>
            <w:vAlign w:val="bottom"/>
            <w:gridSpan w:val="2"/>
          </w:tcPr>
          <w:p>
            <w:pPr>
              <w:spacing w:after="0" w:line="176" w:lineRule="exact"/>
              <w:rPr>
                <w:sz w:val="20"/>
                <w:szCs w:val="20"/>
                <w:color w:val="auto"/>
              </w:rPr>
            </w:pPr>
            <w:r>
              <w:rPr>
                <w:rFonts w:ascii="Arial" w:cs="Arial" w:eastAsia="Arial" w:hAnsi="Arial"/>
                <w:sz w:val="16"/>
                <w:szCs w:val="16"/>
                <w:color w:val="auto"/>
              </w:rPr>
              <w:t>Sempra Natural Gas</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15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r>
      <w:tr>
        <w:trPr>
          <w:trHeight w:val="194"/>
        </w:trPr>
        <w:tc>
          <w:tcPr>
            <w:tcW w:w="516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8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20" w:type="dxa"/>
            <w:vAlign w:val="bottom"/>
          </w:tcPr>
          <w:p>
            <w:pPr>
              <w:spacing w:after="0"/>
              <w:rPr>
                <w:sz w:val="15"/>
                <w:szCs w:val="15"/>
                <w:color w:val="auto"/>
              </w:rPr>
            </w:pPr>
          </w:p>
        </w:tc>
        <w:tc>
          <w:tcPr>
            <w:tcW w:w="5140" w:type="dxa"/>
            <w:vAlign w:val="bottom"/>
          </w:tcPr>
          <w:p>
            <w:pPr>
              <w:ind w:left="360"/>
              <w:spacing w:after="0" w:line="176" w:lineRule="exact"/>
              <w:rPr>
                <w:sz w:val="20"/>
                <w:szCs w:val="20"/>
                <w:color w:val="auto"/>
              </w:rPr>
            </w:pPr>
            <w:r>
              <w:rPr>
                <w:rFonts w:ascii="Arial" w:cs="Arial" w:eastAsia="Arial" w:hAnsi="Arial"/>
                <w:sz w:val="16"/>
                <w:szCs w:val="16"/>
                <w:color w:val="auto"/>
              </w:rPr>
              <w:t>Total</w:t>
            </w:r>
          </w:p>
        </w:tc>
        <w:tc>
          <w:tcPr>
            <w:tcW w:w="186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1,083</w:t>
            </w:r>
          </w:p>
        </w:tc>
        <w:tc>
          <w:tcPr>
            <w:tcW w:w="1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1,283</w:t>
            </w:r>
          </w:p>
        </w:tc>
      </w:tr>
      <w:tr>
        <w:trPr>
          <w:trHeight w:val="183"/>
        </w:trPr>
        <w:tc>
          <w:tcPr>
            <w:tcW w:w="20" w:type="dxa"/>
            <w:vAlign w:val="bottom"/>
          </w:tcPr>
          <w:p>
            <w:pPr>
              <w:spacing w:after="0"/>
              <w:rPr>
                <w:sz w:val="15"/>
                <w:szCs w:val="15"/>
                <w:color w:val="auto"/>
              </w:rPr>
            </w:pPr>
          </w:p>
        </w:tc>
        <w:tc>
          <w:tcPr>
            <w:tcW w:w="5140" w:type="dxa"/>
            <w:vAlign w:val="bottom"/>
          </w:tcPr>
          <w:p>
            <w:pPr>
              <w:ind w:left="120"/>
              <w:spacing w:after="0" w:line="176" w:lineRule="exact"/>
              <w:rPr>
                <w:sz w:val="20"/>
                <w:szCs w:val="20"/>
                <w:color w:val="auto"/>
              </w:rPr>
            </w:pPr>
            <w:r>
              <w:rPr>
                <w:rFonts w:ascii="Arial" w:cs="Arial" w:eastAsia="Arial" w:hAnsi="Arial"/>
                <w:sz w:val="16"/>
                <w:szCs w:val="16"/>
                <w:color w:val="auto"/>
              </w:rPr>
              <w:t>Total utilities revenues</w:t>
            </w:r>
          </w:p>
        </w:tc>
        <w:tc>
          <w:tcPr>
            <w:tcW w:w="1860" w:type="dxa"/>
            <w:vAlign w:val="bottom"/>
          </w:tcPr>
          <w:p>
            <w:pPr>
              <w:spacing w:after="0"/>
              <w:rPr>
                <w:sz w:val="15"/>
                <w:szCs w:val="15"/>
                <w:color w:val="auto"/>
              </w:rPr>
            </w:pPr>
          </w:p>
        </w:tc>
        <w:tc>
          <w:tcPr>
            <w:tcW w:w="1480" w:type="dxa"/>
            <w:vAlign w:val="bottom"/>
            <w:tcBorders>
              <w:bottom w:val="single" w:sz="8" w:color="auto"/>
            </w:tcBorders>
          </w:tcPr>
          <w:p>
            <w:pPr>
              <w:jc w:val="right"/>
              <w:ind w:right="13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2,091</w:t>
            </w:r>
          </w:p>
        </w:tc>
        <w:tc>
          <w:tcPr>
            <w:tcW w:w="1520" w:type="dxa"/>
            <w:vAlign w:val="bottom"/>
            <w:tcBorders>
              <w:bottom w:val="single" w:sz="8" w:color="auto"/>
            </w:tcBorders>
          </w:tcPr>
          <w:p>
            <w:pPr>
              <w:jc w:val="right"/>
              <w:ind w:right="1342"/>
              <w:spacing w:after="0" w:line="176"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1,946</w:t>
            </w:r>
          </w:p>
        </w:tc>
      </w:tr>
      <w:tr>
        <w:trPr>
          <w:trHeight w:val="188"/>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1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ectPr>
          <w:pgSz w:w="11900" w:h="16838" w:orient="portrait"/>
          <w:cols w:equalWidth="0" w:num="1">
            <w:col w:w="11420"/>
          </w:cols>
          <w:pgMar w:left="240" w:top="368" w:right="2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Arial" w:cs="Arial" w:eastAsia="Arial" w:hAnsi="Arial"/>
                <w:sz w:val="16"/>
                <w:szCs w:val="16"/>
                <w:color w:val="auto"/>
              </w:rPr>
              <w:t>SDG&amp;E</w:t>
            </w:r>
          </w:p>
        </w:tc>
        <w:tc>
          <w:tcPr>
            <w:tcW w:w="3320" w:type="dxa"/>
            <w:vAlign w:val="bottom"/>
            <w:gridSpan w:val="2"/>
          </w:tcPr>
          <w:p>
            <w:pPr>
              <w:jc w:val="right"/>
              <w:ind w:right="824"/>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194"/>
        </w:trPr>
        <w:tc>
          <w:tcPr>
            <w:tcW w:w="468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2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680" w:type="dxa"/>
            <w:vAlign w:val="bottom"/>
          </w:tcPr>
          <w:p>
            <w:pPr>
              <w:ind w:left="380"/>
              <w:spacing w:after="0" w:line="176" w:lineRule="exact"/>
              <w:rPr>
                <w:sz w:val="20"/>
                <w:szCs w:val="20"/>
                <w:color w:val="auto"/>
              </w:rPr>
            </w:pPr>
            <w:r>
              <w:rPr>
                <w:rFonts w:ascii="Arial" w:cs="Arial" w:eastAsia="Arial" w:hAnsi="Arial"/>
                <w:sz w:val="16"/>
                <w:szCs w:val="16"/>
                <w:color w:val="auto"/>
              </w:rPr>
              <w:t>Total</w:t>
            </w:r>
          </w:p>
        </w:tc>
        <w:tc>
          <w:tcPr>
            <w:tcW w:w="2340" w:type="dxa"/>
            <w:vAlign w:val="bottom"/>
          </w:tcPr>
          <w:p>
            <w:pPr>
              <w:spacing w:after="0"/>
              <w:rPr>
                <w:sz w:val="15"/>
                <w:szCs w:val="15"/>
                <w:color w:val="auto"/>
              </w:rPr>
            </w:pPr>
          </w:p>
        </w:tc>
        <w:tc>
          <w:tcPr>
            <w:tcW w:w="98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388</w:t>
            </w:r>
          </w:p>
        </w:tc>
        <w:tc>
          <w:tcPr>
            <w:tcW w:w="1000" w:type="dxa"/>
            <w:vAlign w:val="bottom"/>
            <w:tcBorders>
              <w:bottom w:val="single" w:sz="8" w:color="auto"/>
            </w:tcBorders>
          </w:tcPr>
          <w:p>
            <w:pPr>
              <w:jc w:val="right"/>
              <w:ind w:right="81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171</w:t>
            </w:r>
          </w:p>
        </w:tc>
      </w:tr>
      <w:tr>
        <w:trPr>
          <w:trHeight w:val="164"/>
        </w:trPr>
        <w:tc>
          <w:tcPr>
            <w:tcW w:w="4680" w:type="dxa"/>
            <w:vAlign w:val="bottom"/>
          </w:tcPr>
          <w:p>
            <w:pPr>
              <w:spacing w:after="0" w:line="164" w:lineRule="exact"/>
              <w:rPr>
                <w:sz w:val="20"/>
                <w:szCs w:val="20"/>
                <w:color w:val="auto"/>
              </w:rPr>
            </w:pPr>
            <w:r>
              <w:rPr>
                <w:rFonts w:ascii="Arial" w:cs="Arial" w:eastAsia="Arial" w:hAnsi="Arial"/>
                <w:sz w:val="16"/>
                <w:szCs w:val="16"/>
                <w:b w:val="1"/>
                <w:bCs w:val="1"/>
                <w:color w:val="auto"/>
              </w:rPr>
              <w:t>Cost of natural gas:</w:t>
            </w: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SoCalGas</w:t>
            </w:r>
          </w:p>
        </w:tc>
        <w:tc>
          <w:tcPr>
            <w:tcW w:w="3320" w:type="dxa"/>
            <w:vAlign w:val="bottom"/>
            <w:gridSpan w:val="2"/>
          </w:tcPr>
          <w:p>
            <w:pPr>
              <w:jc w:val="right"/>
              <w:ind w:right="824"/>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349</w:t>
            </w:r>
          </w:p>
        </w:tc>
        <w:tc>
          <w:tcPr>
            <w:tcW w:w="1000" w:type="dxa"/>
            <w:vAlign w:val="bottom"/>
          </w:tcPr>
          <w:p>
            <w:pPr>
              <w:jc w:val="right"/>
              <w:ind w:right="81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531</w:t>
            </w: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2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100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83</w:t>
            </w: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Sempra Mexico</w:t>
            </w:r>
          </w:p>
        </w:tc>
        <w:tc>
          <w:tcPr>
            <w:tcW w:w="2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100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Sempra Natural Gas</w:t>
            </w:r>
          </w:p>
        </w:tc>
        <w:tc>
          <w:tcPr>
            <w:tcW w:w="2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00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r>
      <w:tr>
        <w:trPr>
          <w:trHeight w:val="194"/>
        </w:trPr>
        <w:tc>
          <w:tcPr>
            <w:tcW w:w="4680" w:type="dxa"/>
            <w:vAlign w:val="bottom"/>
          </w:tcPr>
          <w:p>
            <w:pPr>
              <w:spacing w:after="0"/>
              <w:rPr>
                <w:sz w:val="20"/>
                <w:szCs w:val="20"/>
                <w:color w:val="auto"/>
              </w:rPr>
            </w:pPr>
            <w:r>
              <w:rPr>
                <w:rFonts w:ascii="Arial" w:cs="Arial" w:eastAsia="Arial" w:hAnsi="Arial"/>
                <w:sz w:val="16"/>
                <w:szCs w:val="16"/>
                <w:color w:val="auto"/>
              </w:rPr>
              <w:t>Eliminations and adjustments</w:t>
            </w:r>
          </w:p>
        </w:tc>
        <w:tc>
          <w:tcPr>
            <w:tcW w:w="2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4680" w:type="dxa"/>
            <w:vAlign w:val="bottom"/>
            <w:tcBorders>
              <w:bottom w:val="single" w:sz="8" w:color="auto"/>
            </w:tcBorders>
          </w:tcPr>
          <w:p>
            <w:pPr>
              <w:ind w:left="380"/>
              <w:spacing w:after="0" w:line="176" w:lineRule="exact"/>
              <w:rPr>
                <w:sz w:val="20"/>
                <w:szCs w:val="20"/>
                <w:color w:val="auto"/>
              </w:rPr>
            </w:pPr>
            <w:r>
              <w:rPr>
                <w:rFonts w:ascii="Arial" w:cs="Arial" w:eastAsia="Arial" w:hAnsi="Arial"/>
                <w:sz w:val="16"/>
                <w:szCs w:val="16"/>
                <w:color w:val="auto"/>
              </w:rPr>
              <w:t>Total</w:t>
            </w:r>
          </w:p>
        </w:tc>
        <w:tc>
          <w:tcPr>
            <w:tcW w:w="2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431</w:t>
            </w:r>
          </w:p>
        </w:tc>
        <w:tc>
          <w:tcPr>
            <w:tcW w:w="1000" w:type="dxa"/>
            <w:vAlign w:val="bottom"/>
            <w:tcBorders>
              <w:bottom w:val="single" w:sz="8" w:color="auto"/>
            </w:tcBorders>
          </w:tcPr>
          <w:p>
            <w:pPr>
              <w:jc w:val="right"/>
              <w:ind w:right="81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642</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2012, our electric revenues increased by $345 million (52%) to $1.0 billion primarily due to:</w:t>
      </w:r>
    </w:p>
    <w:p>
      <w:pPr>
        <w:spacing w:after="0" w:line="225" w:lineRule="exact"/>
        <w:rPr>
          <w:sz w:val="20"/>
          <w:szCs w:val="20"/>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$338 million from the consolidation of electric revenues of Chilquinta Energía and Luz del Sur acquired in April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 million increase at SDG&amp;E, which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utilities’ cost of electric fuel and purchased power increased by $217 million to $388 million in the three months ended March 31, 2012 primarily due to:</w:t>
      </w:r>
    </w:p>
    <w:p>
      <w:pPr>
        <w:spacing w:after="0" w:line="244" w:lineRule="exact"/>
        <w:rPr>
          <w:sz w:val="20"/>
          <w:szCs w:val="20"/>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$225 million from the consolidation of cost of electric fuel and purchased power of Chilquinta Energía and Luz del Sur;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 million decrease at SDG&amp;E, which we discuss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pacing w:after="0" w:line="20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the three months ended March 31, 2012, Sempra Energy’s natural gas revenues decreased by $200 million (16%) to $1.1 billion, and the cost of natural gas decreased by $211 million (33%) to $431 million. The decrease in natural gas revenues was primarily attributable to $176 million at SoCalGas.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table below shows electric revenues for SDG&amp;E for the three-month periods ended March 31, 2012 and 2011. Because the cost of electricity is substantially recovered in rates, changes in the cost are reflected in the changes in revenues.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420" w:type="dxa"/>
            <w:vAlign w:val="bottom"/>
            <w:gridSpan w:val="2"/>
            <w:vMerge w:val="restart"/>
          </w:tcPr>
          <w:p>
            <w:pPr>
              <w:jc w:val="center"/>
              <w:ind w:left="322"/>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6"/>
                <w:szCs w:val="16"/>
                <w:color w:val="auto"/>
              </w:rPr>
            </w:pPr>
          </w:p>
        </w:tc>
        <w:tc>
          <w:tcPr>
            <w:tcW w:w="26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38"/>
        </w:trPr>
        <w:tc>
          <w:tcPr>
            <w:tcW w:w="578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780" w:type="dxa"/>
            <w:vAlign w:val="bottom"/>
          </w:tcPr>
          <w:p>
            <w:pPr>
              <w:spacing w:after="0"/>
              <w:rPr>
                <w:sz w:val="14"/>
                <w:szCs w:val="14"/>
                <w:color w:val="auto"/>
              </w:rPr>
            </w:pPr>
          </w:p>
        </w:tc>
        <w:tc>
          <w:tcPr>
            <w:tcW w:w="2420" w:type="dxa"/>
            <w:vAlign w:val="bottom"/>
            <w:tcBorders>
              <w:bottom w:val="single" w:sz="8" w:color="auto"/>
            </w:tcBorders>
            <w:gridSpan w:val="2"/>
          </w:tcPr>
          <w:p>
            <w:pPr>
              <w:jc w:val="center"/>
              <w:ind w:left="302"/>
              <w:spacing w:after="0" w:line="157" w:lineRule="exact"/>
              <w:rPr>
                <w:sz w:val="20"/>
                <w:szCs w:val="20"/>
                <w:color w:val="auto"/>
              </w:rPr>
            </w:pPr>
            <w:r>
              <w:rPr>
                <w:rFonts w:ascii="Arial" w:cs="Arial" w:eastAsia="Arial" w:hAnsi="Arial"/>
                <w:sz w:val="14"/>
                <w:szCs w:val="14"/>
                <w:color w:val="auto"/>
              </w:rPr>
              <w:t>March 31, 2012</w:t>
            </w:r>
          </w:p>
        </w:tc>
        <w:tc>
          <w:tcPr>
            <w:tcW w:w="5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center"/>
              <w:ind w:right="100"/>
              <w:spacing w:after="0" w:line="157" w:lineRule="exact"/>
              <w:rPr>
                <w:sz w:val="20"/>
                <w:szCs w:val="20"/>
                <w:color w:val="auto"/>
              </w:rPr>
            </w:pPr>
            <w:r>
              <w:rPr>
                <w:rFonts w:ascii="Arial" w:cs="Arial" w:eastAsia="Arial" w:hAnsi="Arial"/>
                <w:sz w:val="14"/>
                <w:szCs w:val="14"/>
                <w:color w:val="auto"/>
              </w:rPr>
              <w:t>March 31, 2011</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Volumes</w:t>
            </w: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Revenue</w:t>
            </w:r>
          </w:p>
        </w:tc>
        <w:tc>
          <w:tcPr>
            <w:tcW w:w="5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5780" w:type="dxa"/>
            <w:vAlign w:val="bottom"/>
          </w:tcPr>
          <w:p>
            <w:pPr>
              <w:spacing w:after="0" w:line="164" w:lineRule="exact"/>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1,925</w:t>
            </w:r>
          </w:p>
        </w:tc>
        <w:tc>
          <w:tcPr>
            <w:tcW w:w="1100" w:type="dxa"/>
            <w:vAlign w:val="bottom"/>
          </w:tcPr>
          <w:p>
            <w:pPr>
              <w:jc w:val="center"/>
              <w:ind w:right="882"/>
              <w:spacing w:after="0" w:line="164"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300</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1,959</w:t>
            </w:r>
          </w:p>
        </w:tc>
        <w:tc>
          <w:tcPr>
            <w:tcW w:w="280" w:type="dxa"/>
            <w:vAlign w:val="bottom"/>
          </w:tcPr>
          <w:p>
            <w:pPr>
              <w:jc w:val="center"/>
              <w:ind w:right="79"/>
              <w:spacing w:after="0" w:line="164"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Commercial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1,655</w:t>
            </w:r>
          </w:p>
        </w:tc>
        <w:tc>
          <w:tcPr>
            <w:tcW w:w="1100" w:type="dxa"/>
            <w:vAlign w:val="bottom"/>
          </w:tcPr>
          <w:p>
            <w:pPr>
              <w:spacing w:after="0"/>
              <w:rPr>
                <w:sz w:val="15"/>
                <w:szCs w:val="15"/>
                <w:color w:val="auto"/>
              </w:rPr>
            </w:pPr>
          </w:p>
        </w:tc>
        <w:tc>
          <w:tcPr>
            <w:tcW w:w="5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220</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1,669</w:t>
            </w: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Industrial</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484</w:t>
            </w:r>
          </w:p>
        </w:tc>
        <w:tc>
          <w:tcPr>
            <w:tcW w:w="1100" w:type="dxa"/>
            <w:vAlign w:val="bottom"/>
          </w:tcPr>
          <w:p>
            <w:pPr>
              <w:spacing w:after="0"/>
              <w:rPr>
                <w:sz w:val="15"/>
                <w:szCs w:val="15"/>
                <w:color w:val="auto"/>
              </w:rPr>
            </w:pPr>
          </w:p>
        </w:tc>
        <w:tc>
          <w:tcPr>
            <w:tcW w:w="5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54</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493</w:t>
            </w: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Direct access</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752</w:t>
            </w:r>
          </w:p>
        </w:tc>
        <w:tc>
          <w:tcPr>
            <w:tcW w:w="1100" w:type="dxa"/>
            <w:vAlign w:val="bottom"/>
          </w:tcPr>
          <w:p>
            <w:pPr>
              <w:spacing w:after="0"/>
              <w:rPr>
                <w:sz w:val="15"/>
                <w:szCs w:val="15"/>
                <w:color w:val="auto"/>
              </w:rPr>
            </w:pPr>
          </w:p>
        </w:tc>
        <w:tc>
          <w:tcPr>
            <w:tcW w:w="5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32</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786</w:t>
            </w: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4"/>
        </w:trPr>
        <w:tc>
          <w:tcPr>
            <w:tcW w:w="578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4,841</w:t>
            </w:r>
          </w:p>
        </w:tc>
        <w:tc>
          <w:tcPr>
            <w:tcW w:w="1100" w:type="dxa"/>
            <w:vAlign w:val="bottom"/>
          </w:tcPr>
          <w:p>
            <w:pPr>
              <w:spacing w:after="0"/>
              <w:rPr>
                <w:sz w:val="14"/>
                <w:szCs w:val="14"/>
                <w:color w:val="auto"/>
              </w:rPr>
            </w:pPr>
          </w:p>
        </w:tc>
        <w:tc>
          <w:tcPr>
            <w:tcW w:w="56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609</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4,934</w:t>
            </w:r>
          </w:p>
        </w:tc>
        <w:tc>
          <w:tcPr>
            <w:tcW w:w="28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176"/>
        </w:trPr>
        <w:tc>
          <w:tcPr>
            <w:tcW w:w="5780" w:type="dxa"/>
            <w:vAlign w:val="bottom"/>
          </w:tcPr>
          <w:p>
            <w:pPr>
              <w:spacing w:after="0" w:line="176" w:lineRule="exact"/>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48</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20"/>
                <w:szCs w:val="20"/>
                <w:color w:val="auto"/>
              </w:rPr>
            </w:pPr>
            <w:r>
              <w:rPr>
                <w:rFonts w:ascii="Arial" w:cs="Arial" w:eastAsia="Arial" w:hAnsi="Arial"/>
                <w:sz w:val="16"/>
                <w:szCs w:val="16"/>
                <w:color w:val="auto"/>
              </w:rPr>
              <w:t>Balancing accounts</w:t>
            </w:r>
          </w:p>
        </w:tc>
        <w:tc>
          <w:tcPr>
            <w:tcW w:w="1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w:t>
            </w: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5"/>
        </w:trPr>
        <w:tc>
          <w:tcPr>
            <w:tcW w:w="5780" w:type="dxa"/>
            <w:vAlign w:val="bottom"/>
          </w:tcPr>
          <w:p>
            <w:pPr>
              <w:ind w:left="180"/>
              <w:spacing w:after="0"/>
              <w:rPr>
                <w:sz w:val="20"/>
                <w:szCs w:val="20"/>
                <w:color w:val="auto"/>
              </w:rPr>
            </w:pPr>
            <w:r>
              <w:rPr>
                <w:rFonts w:ascii="Arial" w:cs="Arial" w:eastAsia="Arial" w:hAnsi="Arial"/>
                <w:sz w:val="16"/>
                <w:szCs w:val="16"/>
                <w:color w:val="auto"/>
              </w:rPr>
              <w:t>Total(1)</w:t>
            </w:r>
          </w:p>
        </w:tc>
        <w:tc>
          <w:tcPr>
            <w:tcW w:w="1320" w:type="dxa"/>
            <w:vAlign w:val="bottom"/>
          </w:tcPr>
          <w:p>
            <w:pPr>
              <w:spacing w:after="0"/>
              <w:rPr>
                <w:sz w:val="16"/>
                <w:szCs w:val="16"/>
                <w:color w:val="auto"/>
              </w:rPr>
            </w:pPr>
          </w:p>
        </w:tc>
        <w:tc>
          <w:tcPr>
            <w:tcW w:w="1100" w:type="dxa"/>
            <w:vAlign w:val="bottom"/>
          </w:tcPr>
          <w:p>
            <w:pPr>
              <w:jc w:val="center"/>
              <w:ind w:right="88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671</w:t>
            </w:r>
          </w:p>
        </w:tc>
        <w:tc>
          <w:tcPr>
            <w:tcW w:w="1160" w:type="dxa"/>
            <w:vAlign w:val="bottom"/>
          </w:tcPr>
          <w:p>
            <w:pPr>
              <w:spacing w:after="0"/>
              <w:rPr>
                <w:sz w:val="16"/>
                <w:szCs w:val="16"/>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40" w:hanging="357"/>
        <w:spacing w:after="0"/>
        <w:tabs>
          <w:tab w:leader="none" w:pos="54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$2 million in both 2012 and 2011.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2012, electric revenues increased by $6 million (1%) to $671 million at SDG&amp;E, primarily due to:</w:t>
      </w:r>
    </w:p>
    <w:p>
      <w:pPr>
        <w:spacing w:after="0" w:line="225" w:lineRule="exact"/>
        <w:rPr>
          <w:sz w:val="20"/>
          <w:szCs w:val="20"/>
          <w:color w:val="auto"/>
        </w:rPr>
      </w:pPr>
    </w:p>
    <w:p>
      <w:pPr>
        <w:ind w:left="340" w:right="20" w:hanging="188"/>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 million higher authorized base margin on electric generation, primarily due to the acquisition of the Desert Star generation facility in October 2011;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 xml:space="preserve">$17 million revenues associated with incremental wildfire insurance premiums;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$32 million lower recoverable expenses that are fully offset in operation and maintenance expenses.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SDG&amp;E’s cost of electric fuel and purchased power decreased by $8 million (5%) to $163 million in the three months ended March 31, 2012 primarily due to a decrease in electric fuel and purchased-power prices.</w:t>
      </w:r>
    </w:p>
    <w:p>
      <w:pPr>
        <w:spacing w:after="0" w:line="17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do not include in the Condensed Consolidated Statements of Operations the commodity costs (and the revenues to recover those costs) associated with long-term contracts that are allocated to SDG&amp;E by the California DWR. However, we do include the associated volumes and distribution revenues in the table above. We provide further discussion of these contracts in Note 1 of the Notes to Consolidated Financial Statements in the Annual Report.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ectPr>
          <w:pgSz w:w="11900" w:h="16838" w:orient="portrait"/>
          <w:cols w:equalWidth="0" w:num="1">
            <w:col w:w="11420"/>
          </w:cols>
          <w:pgMar w:left="240" w:top="120" w:right="239" w:bottom="0" w:gutter="0" w:footer="0" w:header="0"/>
        </w:sectPr>
      </w:pPr>
    </w:p>
    <w:bookmarkStart w:id="55" w:name="page56"/>
    <w:bookmarkEnd w:id="55"/>
    <w:p>
      <w:pPr>
        <w:ind w:right="160"/>
        <w:spacing w:after="0" w:line="297" w:lineRule="auto"/>
        <w:rPr>
          <w:sz w:val="20"/>
          <w:szCs w:val="20"/>
          <w:color w:val="auto"/>
        </w:rPr>
      </w:pPr>
      <w:r>
        <w:rPr>
          <w:rFonts w:ascii="Arial" w:cs="Arial" w:eastAsia="Arial" w:hAnsi="Arial"/>
          <w:sz w:val="16"/>
          <w:szCs w:val="16"/>
          <w:color w:val="auto"/>
        </w:rPr>
        <w:t>The tables below show natural gas revenues for SDG&amp;E and SoCalGas for the three-month periods ended March 31, 2012 and 2011. Because the cost of natural gas is recovered in rates, changes in the cost are reflected in the changes in revenues. In addition to the change in market prices, natural gas revenues recorded during a period are impacted by the difference between customer billings and recorded or California Public Utilities Commission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gridSpan w:val="2"/>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78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auto"/>
              </w:rPr>
              <w:t>Natural Gas Sales</w:t>
            </w:r>
          </w:p>
        </w:tc>
        <w:tc>
          <w:tcPr>
            <w:tcW w:w="2200" w:type="dxa"/>
            <w:vAlign w:val="bottom"/>
            <w:gridSpan w:val="2"/>
            <w:vMerge w:val="restart"/>
          </w:tcPr>
          <w:p>
            <w:pPr>
              <w:jc w:val="center"/>
              <w:ind w:left="141"/>
              <w:spacing w:after="0"/>
              <w:rPr>
                <w:sz w:val="20"/>
                <w:szCs w:val="20"/>
                <w:color w:val="auto"/>
              </w:rPr>
            </w:pPr>
            <w:r>
              <w:rPr>
                <w:rFonts w:ascii="Arial" w:cs="Arial" w:eastAsia="Arial" w:hAnsi="Arial"/>
                <w:sz w:val="14"/>
                <w:szCs w:val="14"/>
                <w:color w:val="auto"/>
              </w:rPr>
              <w:t>Transportation</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w w:val="96"/>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780" w:type="dxa"/>
            <w:vAlign w:val="bottom"/>
            <w:tcBorders>
              <w:bottom w:val="single" w:sz="8" w:color="auto"/>
            </w:tcBorders>
            <w:gridSpan w:val="3"/>
            <w:vMerge w:val="continue"/>
          </w:tcPr>
          <w:p>
            <w:pPr>
              <w:spacing w:after="0"/>
              <w:rPr>
                <w:sz w:val="12"/>
                <w:szCs w:val="12"/>
                <w:color w:val="auto"/>
              </w:rPr>
            </w:pPr>
          </w:p>
        </w:tc>
        <w:tc>
          <w:tcPr>
            <w:tcW w:w="220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Customer class</w:t>
            </w:r>
          </w:p>
        </w:tc>
        <w:tc>
          <w:tcPr>
            <w:tcW w:w="11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Revenue</w:t>
            </w: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Volumes</w:t>
            </w: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Revenue</w:t>
            </w: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line="164" w:lineRule="exact"/>
              <w:rPr>
                <w:sz w:val="20"/>
                <w:szCs w:val="20"/>
                <w:color w:val="auto"/>
              </w:rPr>
            </w:pPr>
            <w:r>
              <w:rPr>
                <w:rFonts w:ascii="Arial" w:cs="Arial" w:eastAsia="Arial" w:hAnsi="Arial"/>
                <w:sz w:val="16"/>
                <w:szCs w:val="16"/>
                <w:color w:val="auto"/>
              </w:rPr>
              <w:t>Three months ended March 31, 2012:</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18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12</w:t>
            </w:r>
          </w:p>
        </w:tc>
        <w:tc>
          <w:tcPr>
            <w:tcW w:w="300" w:type="dxa"/>
            <w:vAlign w:val="bottom"/>
          </w:tcPr>
          <w:p>
            <w:pPr>
              <w:jc w:val="center"/>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112</w:t>
            </w:r>
          </w:p>
        </w:tc>
        <w:tc>
          <w:tcPr>
            <w:tcW w:w="1060" w:type="dxa"/>
            <w:vAlign w:val="bottom"/>
          </w:tcPr>
          <w:p>
            <w:pPr>
              <w:jc w:val="right"/>
              <w:ind w:right="1"/>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center"/>
              <w:ind w:right="76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400" w:type="dxa"/>
            <w:vAlign w:val="bottom"/>
          </w:tcPr>
          <w:p>
            <w:pPr>
              <w:jc w:val="center"/>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180" w:type="dxa"/>
            <w:vAlign w:val="bottom"/>
          </w:tcPr>
          <w:p>
            <w:pPr>
              <w:jc w:val="right"/>
              <w:ind w:right="21"/>
              <w:spacing w:after="0" w:line="176" w:lineRule="exact"/>
              <w:rPr>
                <w:sz w:val="20"/>
                <w:szCs w:val="20"/>
                <w:color w:val="auto"/>
              </w:rPr>
            </w:pPr>
            <w:r>
              <w:rPr>
                <w:rFonts w:ascii="Arial" w:cs="Arial" w:eastAsia="Arial" w:hAnsi="Arial"/>
                <w:sz w:val="16"/>
                <w:szCs w:val="16"/>
                <w:color w:val="auto"/>
              </w:rPr>
              <w:t>5</w:t>
            </w:r>
          </w:p>
        </w:tc>
        <w:tc>
          <w:tcPr>
            <w:tcW w:w="300" w:type="dxa"/>
            <w:vAlign w:val="bottom"/>
          </w:tcPr>
          <w:p>
            <w:pPr>
              <w:spacing w:after="0"/>
              <w:rPr>
                <w:sz w:val="15"/>
                <w:szCs w:val="15"/>
                <w:color w:val="auto"/>
              </w:rPr>
            </w:pP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26</w:t>
            </w:r>
          </w:p>
        </w:tc>
        <w:tc>
          <w:tcPr>
            <w:tcW w:w="1060" w:type="dxa"/>
            <w:vAlign w:val="bottom"/>
          </w:tcPr>
          <w:p>
            <w:pPr>
              <w:jc w:val="right"/>
              <w:ind w:right="1"/>
              <w:spacing w:after="0" w:line="176" w:lineRule="exact"/>
              <w:rPr>
                <w:sz w:val="20"/>
                <w:szCs w:val="20"/>
                <w:color w:val="auto"/>
              </w:rPr>
            </w:pPr>
            <w:r>
              <w:rPr>
                <w:rFonts w:ascii="Arial" w:cs="Arial" w:eastAsia="Arial" w:hAnsi="Arial"/>
                <w:sz w:val="16"/>
                <w:szCs w:val="16"/>
                <w:color w:val="auto"/>
              </w:rPr>
              <w:t>2</w:t>
            </w:r>
          </w:p>
        </w:tc>
        <w:tc>
          <w:tcPr>
            <w:tcW w:w="1140" w:type="dxa"/>
            <w:vAlign w:val="bottom"/>
          </w:tcPr>
          <w:p>
            <w:pPr>
              <w:spacing w:after="0"/>
              <w:rPr>
                <w:sz w:val="15"/>
                <w:szCs w:val="15"/>
                <w:color w:val="auto"/>
              </w:rPr>
            </w:pP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80" w:type="dxa"/>
            <w:vAlign w:val="bottom"/>
          </w:tcPr>
          <w:p>
            <w:pPr>
              <w:jc w:val="right"/>
              <w:ind w:right="21"/>
              <w:spacing w:after="0" w:line="164" w:lineRule="exact"/>
              <w:rPr>
                <w:sz w:val="20"/>
                <w:szCs w:val="20"/>
                <w:color w:val="auto"/>
              </w:rPr>
            </w:pPr>
            <w:r>
              <w:rPr>
                <w:rFonts w:ascii="Arial" w:cs="Arial" w:eastAsia="Arial" w:hAnsi="Arial"/>
                <w:sz w:val="16"/>
                <w:szCs w:val="16"/>
                <w:color w:val="auto"/>
              </w:rPr>
              <w:t>17</w:t>
            </w:r>
          </w:p>
        </w:tc>
        <w:tc>
          <w:tcPr>
            <w:tcW w:w="300" w:type="dxa"/>
            <w:vAlign w:val="bottom"/>
          </w:tcPr>
          <w:p>
            <w:pPr>
              <w:jc w:val="center"/>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138</w:t>
            </w:r>
          </w:p>
        </w:tc>
        <w:tc>
          <w:tcPr>
            <w:tcW w:w="1060" w:type="dxa"/>
            <w:vAlign w:val="bottom"/>
          </w:tcPr>
          <w:p>
            <w:pPr>
              <w:jc w:val="right"/>
              <w:ind w:right="1"/>
              <w:spacing w:after="0" w:line="164" w:lineRule="exact"/>
              <w:rPr>
                <w:sz w:val="20"/>
                <w:szCs w:val="20"/>
                <w:color w:val="auto"/>
              </w:rPr>
            </w:pPr>
            <w:r>
              <w:rPr>
                <w:rFonts w:ascii="Arial" w:cs="Arial" w:eastAsia="Arial" w:hAnsi="Arial"/>
                <w:sz w:val="16"/>
                <w:szCs w:val="16"/>
                <w:color w:val="auto"/>
              </w:rPr>
              <w:t>10</w:t>
            </w:r>
          </w:p>
        </w:tc>
        <w:tc>
          <w:tcPr>
            <w:tcW w:w="1140" w:type="dxa"/>
            <w:vAlign w:val="bottom"/>
          </w:tcPr>
          <w:p>
            <w:pPr>
              <w:jc w:val="center"/>
              <w:ind w:right="761"/>
              <w:spacing w:after="0" w:line="164"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64" w:lineRule="exact"/>
              <w:rPr>
                <w:sz w:val="20"/>
                <w:szCs w:val="20"/>
                <w:color w:val="auto"/>
              </w:rPr>
            </w:pPr>
            <w:r>
              <w:rPr>
                <w:rFonts w:ascii="Arial" w:cs="Arial" w:eastAsia="Arial" w:hAnsi="Arial"/>
                <w:sz w:val="16"/>
                <w:szCs w:val="16"/>
                <w:color w:val="auto"/>
              </w:rPr>
              <w:t>5</w:t>
            </w: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27</w:t>
            </w: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line="164" w:lineRule="exact"/>
              <w:rPr>
                <w:sz w:val="20"/>
                <w:szCs w:val="20"/>
                <w:color w:val="auto"/>
              </w:rPr>
            </w:pPr>
            <w:r>
              <w:rPr>
                <w:rFonts w:ascii="Arial" w:cs="Arial" w:eastAsia="Arial" w:hAnsi="Arial"/>
                <w:sz w:val="16"/>
                <w:szCs w:val="16"/>
                <w:color w:val="auto"/>
              </w:rPr>
              <w:t>Three months ended March 31, 2011:</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18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12</w:t>
            </w:r>
          </w:p>
        </w:tc>
        <w:tc>
          <w:tcPr>
            <w:tcW w:w="300" w:type="dxa"/>
            <w:vAlign w:val="bottom"/>
          </w:tcPr>
          <w:p>
            <w:pPr>
              <w:jc w:val="center"/>
              <w:spacing w:after="0" w:line="17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133</w:t>
            </w:r>
          </w:p>
        </w:tc>
        <w:tc>
          <w:tcPr>
            <w:tcW w:w="1060" w:type="dxa"/>
            <w:vAlign w:val="bottom"/>
          </w:tcPr>
          <w:p>
            <w:pPr>
              <w:jc w:val="right"/>
              <w:ind w:right="1"/>
              <w:spacing w:after="0" w:line="176" w:lineRule="exact"/>
              <w:rPr>
                <w:sz w:val="20"/>
                <w:szCs w:val="20"/>
                <w:color w:val="auto"/>
              </w:rPr>
            </w:pPr>
            <w:r>
              <w:rPr>
                <w:rFonts w:ascii="Arial" w:cs="Arial" w:eastAsia="Arial" w:hAnsi="Arial"/>
                <w:sz w:val="16"/>
                <w:szCs w:val="16"/>
                <w:color w:val="auto"/>
              </w:rPr>
              <w:t>―</w:t>
            </w:r>
          </w:p>
        </w:tc>
        <w:tc>
          <w:tcPr>
            <w:tcW w:w="1140" w:type="dxa"/>
            <w:vAlign w:val="bottom"/>
          </w:tcPr>
          <w:p>
            <w:pPr>
              <w:jc w:val="center"/>
              <w:ind w:right="76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400" w:type="dxa"/>
            <w:vAlign w:val="bottom"/>
          </w:tcPr>
          <w:p>
            <w:pPr>
              <w:jc w:val="center"/>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180" w:type="dxa"/>
            <w:vAlign w:val="bottom"/>
          </w:tcPr>
          <w:p>
            <w:pPr>
              <w:jc w:val="right"/>
              <w:ind w:right="21"/>
              <w:spacing w:after="0" w:line="176" w:lineRule="exact"/>
              <w:rPr>
                <w:sz w:val="20"/>
                <w:szCs w:val="20"/>
                <w:color w:val="auto"/>
              </w:rPr>
            </w:pPr>
            <w:r>
              <w:rPr>
                <w:rFonts w:ascii="Arial" w:cs="Arial" w:eastAsia="Arial" w:hAnsi="Arial"/>
                <w:sz w:val="16"/>
                <w:szCs w:val="16"/>
                <w:color w:val="auto"/>
              </w:rPr>
              <w:t>5</w:t>
            </w:r>
          </w:p>
        </w:tc>
        <w:tc>
          <w:tcPr>
            <w:tcW w:w="300" w:type="dxa"/>
            <w:vAlign w:val="bottom"/>
          </w:tcPr>
          <w:p>
            <w:pPr>
              <w:spacing w:after="0"/>
              <w:rPr>
                <w:sz w:val="15"/>
                <w:szCs w:val="15"/>
                <w:color w:val="auto"/>
              </w:rPr>
            </w:pPr>
          </w:p>
        </w:tc>
        <w:tc>
          <w:tcPr>
            <w:tcW w:w="13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33</w:t>
            </w:r>
          </w:p>
        </w:tc>
        <w:tc>
          <w:tcPr>
            <w:tcW w:w="1060" w:type="dxa"/>
            <w:vAlign w:val="bottom"/>
          </w:tcPr>
          <w:p>
            <w:pPr>
              <w:jc w:val="right"/>
              <w:ind w:right="1"/>
              <w:spacing w:after="0" w:line="176" w:lineRule="exact"/>
              <w:rPr>
                <w:sz w:val="20"/>
                <w:szCs w:val="20"/>
                <w:color w:val="auto"/>
              </w:rPr>
            </w:pPr>
            <w:r>
              <w:rPr>
                <w:rFonts w:ascii="Arial" w:cs="Arial" w:eastAsia="Arial" w:hAnsi="Arial"/>
                <w:sz w:val="16"/>
                <w:szCs w:val="16"/>
                <w:color w:val="auto"/>
              </w:rPr>
              <w:t>2</w:t>
            </w:r>
          </w:p>
        </w:tc>
        <w:tc>
          <w:tcPr>
            <w:tcW w:w="1140" w:type="dxa"/>
            <w:vAlign w:val="bottom"/>
          </w:tcPr>
          <w:p>
            <w:pPr>
              <w:spacing w:after="0"/>
              <w:rPr>
                <w:sz w:val="15"/>
                <w:szCs w:val="15"/>
                <w:color w:val="auto"/>
              </w:rPr>
            </w:pP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80" w:type="dxa"/>
            <w:vAlign w:val="bottom"/>
          </w:tcPr>
          <w:p>
            <w:pPr>
              <w:jc w:val="right"/>
              <w:ind w:right="21"/>
              <w:spacing w:after="0" w:line="164" w:lineRule="exact"/>
              <w:rPr>
                <w:sz w:val="20"/>
                <w:szCs w:val="20"/>
                <w:color w:val="auto"/>
              </w:rPr>
            </w:pPr>
            <w:r>
              <w:rPr>
                <w:rFonts w:ascii="Arial" w:cs="Arial" w:eastAsia="Arial" w:hAnsi="Arial"/>
                <w:sz w:val="16"/>
                <w:szCs w:val="16"/>
                <w:color w:val="auto"/>
              </w:rPr>
              <w:t>17</w:t>
            </w:r>
          </w:p>
        </w:tc>
        <w:tc>
          <w:tcPr>
            <w:tcW w:w="300" w:type="dxa"/>
            <w:vAlign w:val="bottom"/>
          </w:tcPr>
          <w:p>
            <w:pPr>
              <w:jc w:val="center"/>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166</w:t>
            </w:r>
          </w:p>
        </w:tc>
        <w:tc>
          <w:tcPr>
            <w:tcW w:w="1060" w:type="dxa"/>
            <w:vAlign w:val="bottom"/>
          </w:tcPr>
          <w:p>
            <w:pPr>
              <w:jc w:val="right"/>
              <w:ind w:right="1"/>
              <w:spacing w:after="0" w:line="164" w:lineRule="exact"/>
              <w:rPr>
                <w:sz w:val="20"/>
                <w:szCs w:val="20"/>
                <w:color w:val="auto"/>
              </w:rPr>
            </w:pPr>
            <w:r>
              <w:rPr>
                <w:rFonts w:ascii="Arial" w:cs="Arial" w:eastAsia="Arial" w:hAnsi="Arial"/>
                <w:sz w:val="16"/>
                <w:szCs w:val="16"/>
                <w:color w:val="auto"/>
              </w:rPr>
              <w:t>7</w:t>
            </w:r>
          </w:p>
        </w:tc>
        <w:tc>
          <w:tcPr>
            <w:tcW w:w="1140" w:type="dxa"/>
            <w:vAlign w:val="bottom"/>
          </w:tcPr>
          <w:p>
            <w:pPr>
              <w:jc w:val="center"/>
              <w:ind w:right="761"/>
              <w:spacing w:after="0" w:line="164"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64" w:lineRule="exact"/>
              <w:rPr>
                <w:sz w:val="20"/>
                <w:szCs w:val="20"/>
                <w:color w:val="auto"/>
              </w:rPr>
            </w:pPr>
            <w:r>
              <w:rPr>
                <w:rFonts w:ascii="Arial" w:cs="Arial" w:eastAsia="Arial" w:hAnsi="Arial"/>
                <w:sz w:val="16"/>
                <w:szCs w:val="16"/>
                <w:color w:val="auto"/>
              </w:rPr>
              <w:t>5</w:t>
            </w: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24</w:t>
            </w: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March 31, 2012, SDG&amp;E's natural gas revenues decreased by $12 million (7%) to $163 million, and the cost of natural gas sold decreased by $16 million (19%) to $67 million.</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SDG&amp;E’s average cost of natural gas sold for the three months ended March 31, 2012 was $3.89 per thousand cubic feet (Mcf) compared to $4.83 per Mcf for the corresponding period in 2011, a 19-percent decrease of $0.94 per Mcf, resulting in lower revenues and cost of $16 million.</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gridSpan w:val="2"/>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780" w:type="dxa"/>
            <w:vAlign w:val="bottom"/>
            <w:gridSpan w:val="3"/>
            <w:vMerge w:val="restart"/>
          </w:tcPr>
          <w:p>
            <w:pPr>
              <w:jc w:val="right"/>
              <w:ind w:right="800"/>
              <w:spacing w:after="0"/>
              <w:rPr>
                <w:sz w:val="20"/>
                <w:szCs w:val="20"/>
                <w:color w:val="auto"/>
              </w:rPr>
            </w:pPr>
            <w:r>
              <w:rPr>
                <w:rFonts w:ascii="Arial" w:cs="Arial" w:eastAsia="Arial" w:hAnsi="Arial"/>
                <w:sz w:val="14"/>
                <w:szCs w:val="14"/>
                <w:color w:val="auto"/>
              </w:rPr>
              <w:t>Natural Gas Sales</w:t>
            </w:r>
          </w:p>
        </w:tc>
        <w:tc>
          <w:tcPr>
            <w:tcW w:w="2200" w:type="dxa"/>
            <w:vAlign w:val="bottom"/>
            <w:gridSpan w:val="2"/>
            <w:vMerge w:val="restart"/>
          </w:tcPr>
          <w:p>
            <w:pPr>
              <w:jc w:val="right"/>
              <w:ind w:right="441"/>
              <w:spacing w:after="0"/>
              <w:rPr>
                <w:sz w:val="20"/>
                <w:szCs w:val="20"/>
                <w:color w:val="auto"/>
              </w:rPr>
            </w:pPr>
            <w:r>
              <w:rPr>
                <w:rFonts w:ascii="Arial" w:cs="Arial" w:eastAsia="Arial" w:hAnsi="Arial"/>
                <w:sz w:val="14"/>
                <w:szCs w:val="14"/>
                <w:color w:val="auto"/>
              </w:rPr>
              <w:t>Transportation</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780" w:type="dxa"/>
            <w:vAlign w:val="bottom"/>
            <w:tcBorders>
              <w:bottom w:val="single" w:sz="8" w:color="auto"/>
            </w:tcBorders>
            <w:gridSpan w:val="3"/>
            <w:vMerge w:val="continue"/>
          </w:tcPr>
          <w:p>
            <w:pPr>
              <w:spacing w:after="0"/>
              <w:rPr>
                <w:sz w:val="12"/>
                <w:szCs w:val="12"/>
                <w:color w:val="auto"/>
              </w:rPr>
            </w:pPr>
          </w:p>
        </w:tc>
        <w:tc>
          <w:tcPr>
            <w:tcW w:w="220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Customer class</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Revenue</w:t>
            </w: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Volumes</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Revenue</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line="164" w:lineRule="exact"/>
              <w:rPr>
                <w:sz w:val="20"/>
                <w:szCs w:val="20"/>
                <w:color w:val="auto"/>
              </w:rPr>
            </w:pPr>
            <w:r>
              <w:rPr>
                <w:rFonts w:ascii="Arial" w:cs="Arial" w:eastAsia="Arial" w:hAnsi="Arial"/>
                <w:sz w:val="16"/>
                <w:szCs w:val="16"/>
                <w:color w:val="auto"/>
              </w:rPr>
              <w:t>Three months ended March 31, 2012:</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88</w:t>
            </w:r>
          </w:p>
        </w:tc>
        <w:tc>
          <w:tcPr>
            <w:tcW w:w="3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692</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200" w:type="dxa"/>
            <w:vAlign w:val="bottom"/>
          </w:tcPr>
          <w:p>
            <w:pPr>
              <w:jc w:val="right"/>
              <w:ind w:right="100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89</w:t>
            </w:r>
          </w:p>
        </w:tc>
        <w:tc>
          <w:tcPr>
            <w:tcW w:w="420" w:type="dxa"/>
            <w:vAlign w:val="bottom"/>
            <w:gridSpan w:val="2"/>
          </w:tcPr>
          <w:p>
            <w:pPr>
              <w:jc w:val="right"/>
              <w:ind w:right="245"/>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300" w:type="dxa"/>
            <w:vAlign w:val="bottom"/>
          </w:tcPr>
          <w:p>
            <w:pPr>
              <w:spacing w:after="0"/>
              <w:rPr>
                <w:sz w:val="15"/>
                <w:szCs w:val="15"/>
                <w:color w:val="auto"/>
              </w:rPr>
            </w:pPr>
          </w:p>
        </w:tc>
        <w:tc>
          <w:tcPr>
            <w:tcW w:w="13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185</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1200" w:type="dxa"/>
            <w:vAlign w:val="bottom"/>
          </w:tcPr>
          <w:p>
            <w:pPr>
              <w:spacing w:after="0"/>
              <w:rPr>
                <w:sz w:val="15"/>
                <w:szCs w:val="15"/>
                <w:color w:val="auto"/>
              </w:rPr>
            </w:pP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62</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98</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3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1200" w:type="dxa"/>
            <w:vAlign w:val="bottom"/>
          </w:tcPr>
          <w:p>
            <w:pPr>
              <w:spacing w:after="0"/>
              <w:rPr>
                <w:sz w:val="15"/>
                <w:szCs w:val="15"/>
                <w:color w:val="auto"/>
              </w:rPr>
            </w:pP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9</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Arial" w:cs="Arial" w:eastAsia="Arial" w:hAnsi="Arial"/>
                <w:sz w:val="16"/>
                <w:szCs w:val="16"/>
                <w:color w:val="auto"/>
              </w:rPr>
              <w:t>117</w:t>
            </w:r>
          </w:p>
        </w:tc>
        <w:tc>
          <w:tcPr>
            <w:tcW w:w="3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877</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161</w:t>
            </w:r>
          </w:p>
        </w:tc>
        <w:tc>
          <w:tcPr>
            <w:tcW w:w="1200" w:type="dxa"/>
            <w:vAlign w:val="bottom"/>
          </w:tcPr>
          <w:p>
            <w:pPr>
              <w:jc w:val="right"/>
              <w:ind w:right="1001"/>
              <w:spacing w:after="0" w:line="164"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64" w:lineRule="exact"/>
              <w:rPr>
                <w:sz w:val="20"/>
                <w:szCs w:val="20"/>
                <w:color w:val="auto"/>
              </w:rPr>
            </w:pPr>
            <w:r>
              <w:rPr>
                <w:rFonts w:ascii="Arial" w:cs="Arial" w:eastAsia="Arial" w:hAnsi="Arial"/>
                <w:sz w:val="16"/>
                <w:szCs w:val="16"/>
                <w:color w:val="auto"/>
              </w:rPr>
              <w:t>80</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278</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line="164" w:lineRule="exact"/>
              <w:rPr>
                <w:sz w:val="20"/>
                <w:szCs w:val="20"/>
                <w:color w:val="auto"/>
              </w:rPr>
            </w:pPr>
            <w:r>
              <w:rPr>
                <w:rFonts w:ascii="Arial" w:cs="Arial" w:eastAsia="Arial" w:hAnsi="Arial"/>
                <w:sz w:val="16"/>
                <w:szCs w:val="16"/>
                <w:color w:val="auto"/>
              </w:rPr>
              <w:t>Three months ended March 31, 2011:</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92</w:t>
            </w:r>
          </w:p>
        </w:tc>
        <w:tc>
          <w:tcPr>
            <w:tcW w:w="3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825</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200" w:type="dxa"/>
            <w:vAlign w:val="bottom"/>
          </w:tcPr>
          <w:p>
            <w:pPr>
              <w:jc w:val="right"/>
              <w:ind w:right="1001"/>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93</w:t>
            </w:r>
          </w:p>
        </w:tc>
        <w:tc>
          <w:tcPr>
            <w:tcW w:w="420" w:type="dxa"/>
            <w:vAlign w:val="bottom"/>
            <w:gridSpan w:val="2"/>
          </w:tcPr>
          <w:p>
            <w:pPr>
              <w:jc w:val="right"/>
              <w:ind w:right="245"/>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300" w:type="dxa"/>
            <w:vAlign w:val="bottom"/>
          </w:tcPr>
          <w:p>
            <w:pPr>
              <w:spacing w:after="0"/>
              <w:rPr>
                <w:sz w:val="15"/>
                <w:szCs w:val="15"/>
                <w:color w:val="auto"/>
              </w:rPr>
            </w:pPr>
          </w:p>
        </w:tc>
        <w:tc>
          <w:tcPr>
            <w:tcW w:w="13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224</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1200" w:type="dxa"/>
            <w:vAlign w:val="bottom"/>
          </w:tcPr>
          <w:p>
            <w:pPr>
              <w:spacing w:after="0"/>
              <w:rPr>
                <w:sz w:val="15"/>
                <w:szCs w:val="15"/>
                <w:color w:val="auto"/>
              </w:rPr>
            </w:pP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62</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95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38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1200" w:type="dxa"/>
            <w:vAlign w:val="bottom"/>
          </w:tcPr>
          <w:p>
            <w:pPr>
              <w:spacing w:after="0"/>
              <w:rPr>
                <w:sz w:val="15"/>
                <w:szCs w:val="15"/>
                <w:color w:val="auto"/>
              </w:rPr>
            </w:pPr>
          </w:p>
        </w:tc>
        <w:tc>
          <w:tcPr>
            <w:tcW w:w="4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11</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Arial" w:cs="Arial" w:eastAsia="Arial" w:hAnsi="Arial"/>
                <w:sz w:val="16"/>
                <w:szCs w:val="16"/>
                <w:color w:val="auto"/>
              </w:rPr>
              <w:t>121</w:t>
            </w:r>
          </w:p>
        </w:tc>
        <w:tc>
          <w:tcPr>
            <w:tcW w:w="3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1,049</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150</w:t>
            </w:r>
          </w:p>
        </w:tc>
        <w:tc>
          <w:tcPr>
            <w:tcW w:w="1200" w:type="dxa"/>
            <w:vAlign w:val="bottom"/>
          </w:tcPr>
          <w:p>
            <w:pPr>
              <w:jc w:val="right"/>
              <w:ind w:right="1001"/>
              <w:spacing w:after="0" w:line="164"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line="164" w:lineRule="exact"/>
              <w:rPr>
                <w:sz w:val="20"/>
                <w:szCs w:val="20"/>
                <w:color w:val="auto"/>
              </w:rPr>
            </w:pPr>
            <w:r>
              <w:rPr>
                <w:rFonts w:ascii="Arial" w:cs="Arial" w:eastAsia="Arial" w:hAnsi="Arial"/>
                <w:sz w:val="16"/>
                <w:szCs w:val="16"/>
                <w:color w:val="auto"/>
              </w:rPr>
              <w:t>80</w:t>
            </w: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271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Total(1)</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337"/>
        <w:spacing w:after="0"/>
        <w:tabs>
          <w:tab w:leader="none" w:pos="50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$15 million in 2012 and $13 million in 2011.</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March 31, 2012, SoCalGas’ natural gas revenues decreased by $176 million (17%) to $880 million, and the cost of natural gas sold decreased by $182 million (34%) to $349 million. The decrease in revenues was primarily due to the decrease in cost of natural gas sold, which was caused primarily by lower natural gas prices.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SoCalGas’ average cost of natural gas sold for the three months ended March 31, 2012 was $2.97 per Mcf compared to $4.36 per Mcf for the corresponding period in 2011, a 32-percent decrease of $1.39 per Mcf, resulting in lower revenues and cost of $163 million. Lower natural gas sales volume of 4 Bcf also contributed to lower revenues and cost by $19 million in 2012.</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Utilities: Revenues and Cost of Sales</w:t>
      </w:r>
    </w:p>
    <w:p>
      <w:pPr>
        <w:spacing w:after="0" w:line="2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applicable accounting principles generally accepted in the United States of America (GAAP) for regulatory accounting. We discuss revenue recognition further for Chilquinta Energía and Luz del Sur in Note 1 of the Notes to Consolidated Financial Statements in the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Operations of Mobile Gas and Ecogas qualify for regulatory accounting treatment under applicable GAAP, similar to the California Utilities.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three months ended March 31, 2012, electric revenues and cost of electric fuel and purchased power at Sempra South American Utilities increased due primarily to the consolidation of Chilquinta Energía and Luz del Sur starting in April 2011.</w:t>
      </w:r>
    </w:p>
    <w:p>
      <w:pPr>
        <w:sectPr>
          <w:pgSz w:w="11900" w:h="16838" w:orient="portrait"/>
          <w:cols w:equalWidth="0" w:num="1">
            <w:col w:w="11420"/>
          </w:cols>
          <w:pgMar w:left="240" w:top="125"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table below summarizes natural gas and electric revenues for our other utilities for the three months ended March 31, 2012 and 2011: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60" w:type="dxa"/>
            <w:vAlign w:val="bottom"/>
            <w:gridSpan w:val="2"/>
            <w:vMerge w:val="restart"/>
          </w:tcPr>
          <w:p>
            <w:pPr>
              <w:jc w:val="center"/>
              <w:ind w:left="322"/>
              <w:spacing w:after="0"/>
              <w:rPr>
                <w:sz w:val="20"/>
                <w:szCs w:val="20"/>
                <w:color w:val="auto"/>
              </w:rPr>
            </w:pPr>
            <w:r>
              <w:rPr>
                <w:rFonts w:ascii="Arial" w:cs="Arial" w:eastAsia="Arial" w:hAnsi="Arial"/>
                <w:sz w:val="14"/>
                <w:szCs w:val="14"/>
                <w:color w:val="auto"/>
              </w:rPr>
              <w:t>Three months ended</w:t>
            </w:r>
          </w:p>
        </w:tc>
        <w:tc>
          <w:tcPr>
            <w:tcW w:w="3060" w:type="dxa"/>
            <w:vAlign w:val="bottom"/>
            <w:gridSpan w:val="3"/>
            <w:vMerge w:val="restart"/>
          </w:tcPr>
          <w:p>
            <w:pPr>
              <w:jc w:val="right"/>
              <w:ind w:right="401"/>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30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560" w:type="dxa"/>
            <w:vAlign w:val="bottom"/>
            <w:tcBorders>
              <w:bottom w:val="single" w:sz="8" w:color="auto"/>
            </w:tcBorders>
            <w:gridSpan w:val="2"/>
          </w:tcPr>
          <w:p>
            <w:pPr>
              <w:jc w:val="center"/>
              <w:ind w:left="322"/>
              <w:spacing w:after="0" w:line="157" w:lineRule="exact"/>
              <w:rPr>
                <w:sz w:val="20"/>
                <w:szCs w:val="20"/>
                <w:color w:val="auto"/>
              </w:rPr>
            </w:pPr>
            <w:r>
              <w:rPr>
                <w:rFonts w:ascii="Arial" w:cs="Arial" w:eastAsia="Arial" w:hAnsi="Arial"/>
                <w:sz w:val="14"/>
                <w:szCs w:val="14"/>
                <w:color w:val="auto"/>
              </w:rPr>
              <w:t>March 31, 2012</w:t>
            </w:r>
          </w:p>
        </w:tc>
        <w:tc>
          <w:tcPr>
            <w:tcW w:w="1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561"/>
              <w:spacing w:after="0" w:line="157" w:lineRule="exact"/>
              <w:rPr>
                <w:sz w:val="20"/>
                <w:szCs w:val="20"/>
                <w:color w:val="auto"/>
              </w:rPr>
            </w:pPr>
            <w:r>
              <w:rPr>
                <w:rFonts w:ascii="Arial" w:cs="Arial" w:eastAsia="Arial" w:hAnsi="Arial"/>
                <w:sz w:val="14"/>
                <w:szCs w:val="14"/>
                <w:color w:val="auto"/>
              </w:rPr>
              <w:t>March 31, 2011</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Volumes</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Revenue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Volumes</w:t>
            </w: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Revenue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spacing w:after="0" w:line="164" w:lineRule="exact"/>
              <w:rPr>
                <w:sz w:val="20"/>
                <w:szCs w:val="20"/>
                <w:color w:val="auto"/>
              </w:rPr>
            </w:pPr>
            <w:r>
              <w:rPr>
                <w:rFonts w:ascii="Arial" w:cs="Arial" w:eastAsia="Arial" w:hAnsi="Arial"/>
                <w:sz w:val="16"/>
                <w:szCs w:val="16"/>
                <w:b w:val="1"/>
                <w:bCs w:val="1"/>
                <w:color w:val="auto"/>
              </w:rPr>
              <w:t>Natural Gas Sales (billion cubic feet):</w:t>
            </w: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gridSpan w:val="2"/>
          </w:tcPr>
          <w:p>
            <w:pPr>
              <w:spacing w:after="0" w:line="176" w:lineRule="exact"/>
              <w:rPr>
                <w:sz w:val="20"/>
                <w:szCs w:val="20"/>
                <w:color w:val="auto"/>
              </w:rPr>
            </w:pPr>
            <w:r>
              <w:rPr>
                <w:rFonts w:ascii="Arial" w:cs="Arial" w:eastAsia="Arial" w:hAnsi="Arial"/>
                <w:sz w:val="16"/>
                <w:szCs w:val="16"/>
                <w:color w:val="auto"/>
              </w:rPr>
              <w:t>Sempra Natural Gas - Mobile Gas</w:t>
            </w: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1160" w:type="dxa"/>
            <w:vAlign w:val="bottom"/>
          </w:tcPr>
          <w:p>
            <w:pPr>
              <w:jc w:val="center"/>
              <w:ind w:right="961"/>
              <w:spacing w:after="0" w:line="176"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ind w:right="961"/>
              <w:spacing w:after="0" w:line="176" w:lineRule="exact"/>
              <w:rPr>
                <w:sz w:val="20"/>
                <w:szCs w:val="20"/>
                <w:color w:val="auto"/>
              </w:rPr>
            </w:pPr>
            <w:r>
              <w:rPr>
                <w:rFonts w:ascii="Arial" w:cs="Arial" w:eastAsia="Arial" w:hAnsi="Arial"/>
                <w:sz w:val="16"/>
                <w:szCs w:val="16"/>
                <w:color w:val="auto"/>
              </w:rPr>
              <w:t>32</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1240" w:type="dxa"/>
            <w:vAlign w:val="bottom"/>
          </w:tcPr>
          <w:p>
            <w:pPr>
              <w:jc w:val="right"/>
              <w:ind w:right="1041"/>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4"/>
        </w:trPr>
        <w:tc>
          <w:tcPr>
            <w:tcW w:w="5440" w:type="dxa"/>
            <w:vAlign w:val="bottom"/>
            <w:gridSpan w:val="2"/>
          </w:tcPr>
          <w:p>
            <w:pPr>
              <w:spacing w:after="0"/>
              <w:rPr>
                <w:sz w:val="20"/>
                <w:szCs w:val="20"/>
                <w:color w:val="auto"/>
              </w:rPr>
            </w:pPr>
            <w:r>
              <w:rPr>
                <w:rFonts w:ascii="Arial" w:cs="Arial" w:eastAsia="Arial" w:hAnsi="Arial"/>
                <w:sz w:val="16"/>
                <w:szCs w:val="16"/>
                <w:color w:val="auto"/>
              </w:rPr>
              <w:t>Sempra Mexico - Ecogas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20" w:type="dxa"/>
            <w:vAlign w:val="bottom"/>
          </w:tcPr>
          <w:p>
            <w:pPr>
              <w:ind w:left="260"/>
              <w:spacing w:after="0" w:line="176" w:lineRule="exact"/>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w:t>
            </w:r>
          </w:p>
        </w:tc>
        <w:tc>
          <w:tcPr>
            <w:tcW w:w="1160" w:type="dxa"/>
            <w:vAlign w:val="bottom"/>
            <w:tcBorders>
              <w:bottom w:val="single" w:sz="8" w:color="auto"/>
            </w:tcBorders>
          </w:tcPr>
          <w:p>
            <w:pPr>
              <w:jc w:val="center"/>
              <w:ind w:right="961"/>
              <w:spacing w:after="0" w:line="176"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961"/>
              <w:spacing w:after="0" w:line="176" w:lineRule="exact"/>
              <w:rPr>
                <w:sz w:val="20"/>
                <w:szCs w:val="20"/>
                <w:color w:val="auto"/>
              </w:rPr>
            </w:pPr>
            <w:r>
              <w:rPr>
                <w:rFonts w:ascii="Arial" w:cs="Arial" w:eastAsia="Arial" w:hAnsi="Arial"/>
                <w:sz w:val="16"/>
                <w:szCs w:val="16"/>
                <w:color w:val="auto"/>
              </w:rPr>
              <w:t>55</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1240" w:type="dxa"/>
            <w:vAlign w:val="bottom"/>
            <w:tcBorders>
              <w:bottom w:val="single" w:sz="8" w:color="auto"/>
            </w:tcBorders>
          </w:tcPr>
          <w:p>
            <w:pPr>
              <w:jc w:val="right"/>
              <w:ind w:right="1041"/>
              <w:spacing w:after="0" w:line="17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40"/>
        </w:trPr>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Electric Sales (million kilowatt hours)(1):</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gridSpan w:val="2"/>
          </w:tcPr>
          <w:p>
            <w:pPr>
              <w:spacing w:after="0"/>
              <w:rPr>
                <w:sz w:val="20"/>
                <w:szCs w:val="20"/>
                <w:color w:val="auto"/>
              </w:rPr>
            </w:pPr>
            <w:r>
              <w:rPr>
                <w:rFonts w:ascii="Arial" w:cs="Arial" w:eastAsia="Arial" w:hAnsi="Arial"/>
                <w:sz w:val="16"/>
                <w:szCs w:val="16"/>
                <w:color w:val="auto"/>
              </w:rPr>
              <w:t>Sempra South American Utilities:</w:t>
            </w: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Luz del Sur</w:t>
            </w:r>
          </w:p>
        </w:tc>
        <w:tc>
          <w:tcPr>
            <w:tcW w:w="1400" w:type="dxa"/>
            <w:vAlign w:val="bottom"/>
          </w:tcPr>
          <w:p>
            <w:pPr>
              <w:jc w:val="right"/>
              <w:spacing w:after="0"/>
              <w:rPr>
                <w:sz w:val="20"/>
                <w:szCs w:val="20"/>
                <w:color w:val="auto"/>
              </w:rPr>
            </w:pPr>
            <w:r>
              <w:rPr>
                <w:rFonts w:ascii="Arial" w:cs="Arial" w:eastAsia="Arial" w:hAnsi="Arial"/>
                <w:sz w:val="16"/>
                <w:szCs w:val="16"/>
                <w:color w:val="auto"/>
              </w:rPr>
              <w:t>1,690</w:t>
            </w:r>
          </w:p>
        </w:tc>
        <w:tc>
          <w:tcPr>
            <w:tcW w:w="1160" w:type="dxa"/>
            <w:vAlign w:val="bottom"/>
          </w:tcPr>
          <w:p>
            <w:pPr>
              <w:jc w:val="center"/>
              <w:ind w:right="96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961"/>
              <w:spacing w:after="0"/>
              <w:rPr>
                <w:sz w:val="20"/>
                <w:szCs w:val="20"/>
                <w:color w:val="auto"/>
              </w:rPr>
            </w:pPr>
            <w:r>
              <w:rPr>
                <w:rFonts w:ascii="Arial" w:cs="Arial" w:eastAsia="Arial" w:hAnsi="Arial"/>
                <w:sz w:val="16"/>
                <w:szCs w:val="16"/>
                <w:color w:val="auto"/>
              </w:rPr>
              <w:t>187</w:t>
            </w:r>
          </w:p>
        </w:tc>
        <w:tc>
          <w:tcPr>
            <w:tcW w:w="1660" w:type="dxa"/>
            <w:vAlign w:val="bottom"/>
            <w:gridSpan w:val="2"/>
          </w:tcPr>
          <w:p>
            <w:pPr>
              <w:jc w:val="right"/>
              <w:ind w:right="1041"/>
              <w:spacing w:after="0"/>
              <w:rPr>
                <w:sz w:val="20"/>
                <w:szCs w:val="20"/>
                <w:color w:val="auto"/>
              </w:rPr>
            </w:pPr>
            <w:r>
              <w:rPr>
                <w:rFonts w:ascii="Arial" w:cs="Arial" w:eastAsia="Arial" w:hAnsi="Arial"/>
                <w:sz w:val="16"/>
                <w:szCs w:val="16"/>
                <w:color w:val="auto"/>
              </w:rPr>
              <w:t>― $</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Chilquinta Energía</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rPr>
              <w:t>139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2,435</w:t>
            </w:r>
          </w:p>
        </w:tc>
        <w:tc>
          <w:tcPr>
            <w:tcW w:w="1160" w:type="dxa"/>
            <w:vAlign w:val="bottom"/>
          </w:tcPr>
          <w:p>
            <w:pPr>
              <w:spacing w:after="0"/>
              <w:rPr>
                <w:sz w:val="14"/>
                <w:szCs w:val="14"/>
                <w:color w:val="auto"/>
              </w:rPr>
            </w:pPr>
          </w:p>
        </w:tc>
        <w:tc>
          <w:tcPr>
            <w:tcW w:w="1400" w:type="dxa"/>
            <w:vAlign w:val="bottom"/>
          </w:tcPr>
          <w:p>
            <w:pPr>
              <w:jc w:val="right"/>
              <w:ind w:right="961"/>
              <w:spacing w:after="0" w:line="164" w:lineRule="exact"/>
              <w:rPr>
                <w:sz w:val="20"/>
                <w:szCs w:val="20"/>
                <w:color w:val="auto"/>
              </w:rPr>
            </w:pPr>
            <w:r>
              <w:rPr>
                <w:rFonts w:ascii="Arial" w:cs="Arial" w:eastAsia="Arial" w:hAnsi="Arial"/>
                <w:sz w:val="16"/>
                <w:szCs w:val="16"/>
                <w:color w:val="auto"/>
              </w:rPr>
              <w:t>326</w:t>
            </w: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440" w:type="dxa"/>
            <w:vAlign w:val="bottom"/>
            <w:gridSpan w:val="2"/>
          </w:tcPr>
          <w:p>
            <w:pPr>
              <w:spacing w:after="0"/>
              <w:rPr>
                <w:sz w:val="20"/>
                <w:szCs w:val="20"/>
                <w:color w:val="auto"/>
              </w:rPr>
            </w:pPr>
            <w:r>
              <w:rPr>
                <w:rFonts w:ascii="Arial" w:cs="Arial" w:eastAsia="Arial" w:hAnsi="Arial"/>
                <w:sz w:val="16"/>
                <w:szCs w:val="16"/>
                <w:color w:val="auto"/>
              </w:rPr>
              <w:t>Other service revenues</w:t>
            </w:r>
          </w:p>
        </w:tc>
        <w:tc>
          <w:tcPr>
            <w:tcW w:w="1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Total</w:t>
            </w:r>
          </w:p>
        </w:tc>
        <w:tc>
          <w:tcPr>
            <w:tcW w:w="1400" w:type="dxa"/>
            <w:vAlign w:val="bottom"/>
          </w:tcPr>
          <w:p>
            <w:pPr>
              <w:spacing w:after="0"/>
              <w:rPr>
                <w:sz w:val="16"/>
                <w:szCs w:val="16"/>
                <w:color w:val="auto"/>
              </w:rPr>
            </w:pPr>
          </w:p>
        </w:tc>
        <w:tc>
          <w:tcPr>
            <w:tcW w:w="1160" w:type="dxa"/>
            <w:vAlign w:val="bottom"/>
          </w:tcPr>
          <w:p>
            <w:pPr>
              <w:jc w:val="center"/>
              <w:ind w:right="96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961"/>
              <w:spacing w:after="0"/>
              <w:rPr>
                <w:sz w:val="20"/>
                <w:szCs w:val="20"/>
                <w:color w:val="auto"/>
              </w:rPr>
            </w:pPr>
            <w:r>
              <w:rPr>
                <w:rFonts w:ascii="Arial" w:cs="Arial" w:eastAsia="Arial" w:hAnsi="Arial"/>
                <w:sz w:val="16"/>
                <w:szCs w:val="16"/>
                <w:color w:val="auto"/>
              </w:rPr>
              <w:t>338</w:t>
            </w:r>
          </w:p>
        </w:tc>
        <w:tc>
          <w:tcPr>
            <w:tcW w:w="420" w:type="dxa"/>
            <w:vAlign w:val="bottom"/>
          </w:tcPr>
          <w:p>
            <w:pPr>
              <w:spacing w:after="0"/>
              <w:rPr>
                <w:sz w:val="16"/>
                <w:szCs w:val="16"/>
                <w:color w:val="auto"/>
              </w:rPr>
            </w:pPr>
          </w:p>
        </w:tc>
        <w:tc>
          <w:tcPr>
            <w:tcW w:w="1240" w:type="dxa"/>
            <w:vAlign w:val="bottom"/>
          </w:tcPr>
          <w:p>
            <w:pPr>
              <w:jc w:val="right"/>
              <w:ind w:right="1041"/>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60" w:firstLine="8"/>
        <w:spacing w:after="0" w:line="277" w:lineRule="auto"/>
        <w:tabs>
          <w:tab w:leader="none" w:pos="336"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Luz del Sur and Chilquinta Energía were accounted for under the equity method until April 6, 2011, when they became consolidated entities upon our acquisition of additional ownership interests.</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60" w:type="dxa"/>
            <w:vAlign w:val="bottom"/>
            <w:tcBorders>
              <w:bottom w:val="single" w:sz="8" w:color="auto"/>
            </w:tcBorders>
            <w:gridSpan w:val="3"/>
          </w:tcPr>
          <w:p>
            <w:pPr>
              <w:jc w:val="right"/>
              <w:ind w:right="165"/>
              <w:spacing w:after="0" w:line="159" w:lineRule="exact"/>
              <w:rPr>
                <w:sz w:val="20"/>
                <w:szCs w:val="20"/>
                <w:color w:val="auto"/>
              </w:rPr>
            </w:pPr>
            <w:r>
              <w:rPr>
                <w:rFonts w:ascii="Arial" w:cs="Arial" w:eastAsia="Arial" w:hAnsi="Arial"/>
                <w:sz w:val="14"/>
                <w:szCs w:val="14"/>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00" w:type="dxa"/>
            <w:vAlign w:val="bottom"/>
          </w:tcPr>
          <w:p>
            <w:pPr>
              <w:spacing w:after="0" w:line="164" w:lineRule="exact"/>
              <w:rPr>
                <w:sz w:val="20"/>
                <w:szCs w:val="20"/>
                <w:color w:val="auto"/>
              </w:rPr>
            </w:pPr>
            <w:r>
              <w:rPr>
                <w:rFonts w:ascii="Arial" w:cs="Arial" w:eastAsia="Arial" w:hAnsi="Arial"/>
                <w:sz w:val="16"/>
                <w:szCs w:val="16"/>
                <w:b w:val="1"/>
                <w:bCs w:val="1"/>
                <w:color w:val="auto"/>
              </w:rPr>
              <w:t>Energy-related businesses revenues:</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80"/>
              <w:spacing w:after="0" w:line="176" w:lineRule="exact"/>
              <w:rPr>
                <w:sz w:val="20"/>
                <w:szCs w:val="20"/>
                <w:color w:val="auto"/>
              </w:rPr>
            </w:pPr>
            <w:r>
              <w:rPr>
                <w:rFonts w:ascii="Arial" w:cs="Arial" w:eastAsia="Arial" w:hAnsi="Arial"/>
                <w:sz w:val="16"/>
                <w:szCs w:val="16"/>
                <w:color w:val="auto"/>
              </w:rPr>
              <w:t>Sempra South American Utilities</w:t>
            </w:r>
          </w:p>
        </w:tc>
        <w:tc>
          <w:tcPr>
            <w:tcW w:w="2940" w:type="dxa"/>
            <w:vAlign w:val="bottom"/>
            <w:gridSpan w:val="2"/>
          </w:tcPr>
          <w:p>
            <w:pPr>
              <w:jc w:val="right"/>
              <w:ind w:right="1102"/>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1240" w:type="dxa"/>
            <w:vAlign w:val="bottom"/>
          </w:tcPr>
          <w:p>
            <w:pPr>
              <w:jc w:val="right"/>
              <w:ind w:right="10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113</w:t>
            </w:r>
          </w:p>
        </w:tc>
        <w:tc>
          <w:tcPr>
            <w:tcW w:w="12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2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237</w:t>
            </w:r>
          </w:p>
        </w:tc>
        <w:tc>
          <w:tcPr>
            <w:tcW w:w="12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00" w:type="dxa"/>
            <w:vAlign w:val="bottom"/>
          </w:tcPr>
          <w:p>
            <w:pPr>
              <w:ind w:left="80"/>
              <w:spacing w:after="0"/>
              <w:rPr>
                <w:sz w:val="20"/>
                <w:szCs w:val="20"/>
                <w:color w:val="auto"/>
              </w:rPr>
            </w:pPr>
            <w:r>
              <w:rPr>
                <w:rFonts w:ascii="Arial" w:cs="Arial" w:eastAsia="Arial" w:hAnsi="Arial"/>
                <w:sz w:val="16"/>
                <w:szCs w:val="16"/>
                <w:color w:val="auto"/>
              </w:rPr>
              <w:t>Intersegment revenues, adjustments and eliminations(1)</w:t>
            </w:r>
          </w:p>
        </w:tc>
        <w:tc>
          <w:tcPr>
            <w:tcW w:w="1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tcPr>
          <w:p>
            <w:pPr>
              <w:ind w:left="300"/>
              <w:spacing w:after="0" w:line="176" w:lineRule="exact"/>
              <w:rPr>
                <w:sz w:val="20"/>
                <w:szCs w:val="20"/>
                <w:color w:val="auto"/>
              </w:rPr>
            </w:pPr>
            <w:r>
              <w:rPr>
                <w:rFonts w:ascii="Arial" w:cs="Arial" w:eastAsia="Arial" w:hAnsi="Arial"/>
                <w:sz w:val="16"/>
                <w:szCs w:val="16"/>
                <w:color w:val="auto"/>
              </w:rPr>
              <w:t>Total energy-related businesses revenues</w:t>
            </w:r>
          </w:p>
        </w:tc>
        <w:tc>
          <w:tcPr>
            <w:tcW w:w="1660" w:type="dxa"/>
            <w:vAlign w:val="bottom"/>
          </w:tcPr>
          <w:p>
            <w:pPr>
              <w:spacing w:after="0"/>
              <w:rPr>
                <w:sz w:val="15"/>
                <w:szCs w:val="15"/>
                <w:color w:val="auto"/>
              </w:rPr>
            </w:pPr>
          </w:p>
        </w:tc>
        <w:tc>
          <w:tcPr>
            <w:tcW w:w="1280" w:type="dxa"/>
            <w:vAlign w:val="bottom"/>
            <w:tcBorders>
              <w:bottom w:val="single" w:sz="8" w:color="auto"/>
            </w:tcBorders>
          </w:tcPr>
          <w:p>
            <w:pPr>
              <w:jc w:val="right"/>
              <w:ind w:right="1102"/>
              <w:spacing w:after="0" w:line="176"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292</w:t>
            </w:r>
          </w:p>
        </w:tc>
        <w:tc>
          <w:tcPr>
            <w:tcW w:w="1240" w:type="dxa"/>
            <w:vAlign w:val="bottom"/>
            <w:tcBorders>
              <w:bottom w:val="single" w:sz="8" w:color="auto"/>
            </w:tcBorders>
          </w:tcPr>
          <w:p>
            <w:pPr>
              <w:jc w:val="right"/>
              <w:ind w:right="10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164"/>
        </w:trPr>
        <w:tc>
          <w:tcPr>
            <w:tcW w:w="61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natural gas, electric fuel and purchased power(2):</w:t>
            </w: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80"/>
              <w:spacing w:after="0" w:line="176" w:lineRule="exact"/>
              <w:rPr>
                <w:sz w:val="20"/>
                <w:szCs w:val="20"/>
                <w:color w:val="auto"/>
              </w:rPr>
            </w:pPr>
            <w:r>
              <w:rPr>
                <w:rFonts w:ascii="Arial" w:cs="Arial" w:eastAsia="Arial" w:hAnsi="Arial"/>
                <w:sz w:val="16"/>
                <w:szCs w:val="16"/>
                <w:color w:val="auto"/>
              </w:rPr>
              <w:t>Sempra Mexico</w:t>
            </w:r>
          </w:p>
        </w:tc>
        <w:tc>
          <w:tcPr>
            <w:tcW w:w="2940" w:type="dxa"/>
            <w:vAlign w:val="bottom"/>
            <w:gridSpan w:val="2"/>
          </w:tcPr>
          <w:p>
            <w:pPr>
              <w:jc w:val="right"/>
              <w:ind w:right="1102"/>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1240" w:type="dxa"/>
            <w:vAlign w:val="bottom"/>
          </w:tcPr>
          <w:p>
            <w:pPr>
              <w:jc w:val="right"/>
              <w:ind w:right="10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80"/>
              <w:spacing w:after="0" w:line="176" w:lineRule="exact"/>
              <w:rPr>
                <w:sz w:val="20"/>
                <w:szCs w:val="20"/>
                <w:color w:val="auto"/>
              </w:rPr>
            </w:pPr>
            <w:r>
              <w:rPr>
                <w:rFonts w:ascii="Arial" w:cs="Arial" w:eastAsia="Arial" w:hAnsi="Arial"/>
                <w:sz w:val="16"/>
                <w:szCs w:val="16"/>
                <w:color w:val="auto"/>
              </w:rPr>
              <w:t>Sempra Renewables</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2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tcPr>
          <w:p>
            <w:pPr>
              <w:ind w:left="80"/>
              <w:spacing w:after="0" w:line="176" w:lineRule="exact"/>
              <w:rPr>
                <w:sz w:val="20"/>
                <w:szCs w:val="20"/>
                <w:color w:val="auto"/>
              </w:rPr>
            </w:pPr>
            <w:r>
              <w:rPr>
                <w:rFonts w:ascii="Arial" w:cs="Arial" w:eastAsia="Arial" w:hAnsi="Arial"/>
                <w:sz w:val="16"/>
                <w:szCs w:val="16"/>
                <w:color w:val="auto"/>
              </w:rPr>
              <w:t>Sempra Natural Gas</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153</w:t>
            </w:r>
          </w:p>
        </w:tc>
        <w:tc>
          <w:tcPr>
            <w:tcW w:w="12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00" w:type="dxa"/>
            <w:vAlign w:val="bottom"/>
          </w:tcPr>
          <w:p>
            <w:pPr>
              <w:ind w:left="60"/>
              <w:spacing w:after="0"/>
              <w:rPr>
                <w:sz w:val="20"/>
                <w:szCs w:val="20"/>
                <w:color w:val="auto"/>
              </w:rPr>
            </w:pPr>
            <w:r>
              <w:rPr>
                <w:rFonts w:ascii="Arial" w:cs="Arial" w:eastAsia="Arial" w:hAnsi="Arial"/>
                <w:sz w:val="16"/>
                <w:szCs w:val="16"/>
                <w:color w:val="auto"/>
              </w:rPr>
              <w:t>Adjustments and eliminations(1)</w:t>
            </w:r>
          </w:p>
        </w:tc>
        <w:tc>
          <w:tcPr>
            <w:tcW w:w="1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Arial" w:cs="Arial" w:eastAsia="Arial" w:hAnsi="Arial"/>
                <w:sz w:val="16"/>
                <w:szCs w:val="16"/>
                <w:color w:val="auto"/>
              </w:rPr>
              <w:t>Total cost of natural gas, electric fuel</w:t>
            </w:r>
          </w:p>
        </w:tc>
        <w:tc>
          <w:tcPr>
            <w:tcW w:w="2940" w:type="dxa"/>
            <w:vAlign w:val="bottom"/>
            <w:gridSpan w:val="2"/>
            <w:vMerge w:val="restart"/>
          </w:tcPr>
          <w:p>
            <w:pPr>
              <w:jc w:val="right"/>
              <w:ind w:right="1102"/>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1240" w:type="dxa"/>
            <w:vAlign w:val="bottom"/>
            <w:vMerge w:val="restart"/>
          </w:tcPr>
          <w:p>
            <w:pPr>
              <w:jc w:val="right"/>
              <w:ind w:right="1085"/>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00" w:type="dxa"/>
            <w:vAlign w:val="bottom"/>
          </w:tcPr>
          <w:p>
            <w:pPr>
              <w:ind w:left="400"/>
              <w:spacing w:after="0" w:line="168" w:lineRule="exact"/>
              <w:rPr>
                <w:sz w:val="20"/>
                <w:szCs w:val="20"/>
                <w:color w:val="auto"/>
              </w:rPr>
            </w:pPr>
            <w:r>
              <w:rPr>
                <w:rFonts w:ascii="Arial" w:cs="Arial" w:eastAsia="Arial" w:hAnsi="Arial"/>
                <w:sz w:val="16"/>
                <w:szCs w:val="16"/>
                <w:color w:val="auto"/>
              </w:rPr>
              <w:t>and purchased power</w:t>
            </w:r>
          </w:p>
        </w:tc>
        <w:tc>
          <w:tcPr>
            <w:tcW w:w="294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12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Other cost of sales(2):</w:t>
            </w:r>
          </w:p>
        </w:tc>
        <w:tc>
          <w:tcPr>
            <w:tcW w:w="166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20" w:type="dxa"/>
            <w:vAlign w:val="bottom"/>
            <w:gridSpan w:val="2"/>
          </w:tcPr>
          <w:p>
            <w:pPr>
              <w:spacing w:after="0" w:line="176" w:lineRule="exact"/>
              <w:rPr>
                <w:sz w:val="20"/>
                <w:szCs w:val="20"/>
                <w:color w:val="auto"/>
              </w:rPr>
            </w:pPr>
            <w:r>
              <w:rPr>
                <w:rFonts w:ascii="Arial" w:cs="Arial" w:eastAsia="Arial" w:hAnsi="Arial"/>
                <w:sz w:val="16"/>
                <w:szCs w:val="16"/>
                <w:color w:val="auto"/>
              </w:rPr>
              <w:t>Sempra South American Utilities</w:t>
            </w:r>
          </w:p>
        </w:tc>
        <w:tc>
          <w:tcPr>
            <w:tcW w:w="2940" w:type="dxa"/>
            <w:vAlign w:val="bottom"/>
            <w:gridSpan w:val="2"/>
          </w:tcPr>
          <w:p>
            <w:pPr>
              <w:jc w:val="right"/>
              <w:ind w:right="1102"/>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1240" w:type="dxa"/>
            <w:vAlign w:val="bottom"/>
          </w:tcPr>
          <w:p>
            <w:pPr>
              <w:jc w:val="right"/>
              <w:ind w:right="10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120" w:type="dxa"/>
            <w:vAlign w:val="bottom"/>
            <w:gridSpan w:val="2"/>
          </w:tcPr>
          <w:p>
            <w:pPr>
              <w:spacing w:after="0" w:line="176" w:lineRule="exact"/>
              <w:rPr>
                <w:sz w:val="20"/>
                <w:szCs w:val="20"/>
                <w:color w:val="auto"/>
              </w:rPr>
            </w:pPr>
            <w:r>
              <w:rPr>
                <w:rFonts w:ascii="Arial" w:cs="Arial" w:eastAsia="Arial" w:hAnsi="Arial"/>
                <w:sz w:val="16"/>
                <w:szCs w:val="16"/>
                <w:color w:val="auto"/>
              </w:rPr>
              <w:t>Sempra Mexico</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2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6120" w:type="dxa"/>
            <w:vAlign w:val="bottom"/>
            <w:gridSpan w:val="2"/>
          </w:tcPr>
          <w:p>
            <w:pPr>
              <w:spacing w:after="0" w:line="176" w:lineRule="exact"/>
              <w:rPr>
                <w:sz w:val="20"/>
                <w:szCs w:val="20"/>
                <w:color w:val="auto"/>
              </w:rPr>
            </w:pPr>
            <w:r>
              <w:rPr>
                <w:rFonts w:ascii="Arial" w:cs="Arial" w:eastAsia="Arial" w:hAnsi="Arial"/>
                <w:sz w:val="16"/>
                <w:szCs w:val="16"/>
                <w:color w:val="auto"/>
              </w:rPr>
              <w:t>Sempra Natural Gas</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12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4"/>
        </w:trPr>
        <w:tc>
          <w:tcPr>
            <w:tcW w:w="6120" w:type="dxa"/>
            <w:vAlign w:val="bottom"/>
            <w:gridSpan w:val="2"/>
          </w:tcPr>
          <w:p>
            <w:pPr>
              <w:spacing w:after="0"/>
              <w:rPr>
                <w:sz w:val="20"/>
                <w:szCs w:val="20"/>
                <w:color w:val="auto"/>
              </w:rPr>
            </w:pPr>
            <w:r>
              <w:rPr>
                <w:rFonts w:ascii="Arial" w:cs="Arial" w:eastAsia="Arial" w:hAnsi="Arial"/>
                <w:sz w:val="16"/>
                <w:szCs w:val="16"/>
                <w:color w:val="auto"/>
              </w:rPr>
              <w:t>Adjustments and eliminations(1)</w:t>
            </w:r>
          </w:p>
        </w:tc>
        <w:tc>
          <w:tcPr>
            <w:tcW w:w="1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00" w:type="dxa"/>
            <w:vAlign w:val="bottom"/>
          </w:tcPr>
          <w:p>
            <w:pPr>
              <w:ind w:left="300"/>
              <w:spacing w:after="0"/>
              <w:rPr>
                <w:sz w:val="20"/>
                <w:szCs w:val="20"/>
                <w:color w:val="auto"/>
              </w:rPr>
            </w:pPr>
            <w:r>
              <w:rPr>
                <w:rFonts w:ascii="Arial" w:cs="Arial" w:eastAsia="Arial" w:hAnsi="Arial"/>
                <w:sz w:val="16"/>
                <w:szCs w:val="16"/>
                <w:color w:val="auto"/>
              </w:rPr>
              <w:t>Total other cost of sales</w:t>
            </w:r>
          </w:p>
        </w:tc>
        <w:tc>
          <w:tcPr>
            <w:tcW w:w="1660" w:type="dxa"/>
            <w:vAlign w:val="bottom"/>
          </w:tcPr>
          <w:p>
            <w:pPr>
              <w:spacing w:after="0"/>
              <w:rPr>
                <w:sz w:val="16"/>
                <w:szCs w:val="16"/>
                <w:color w:val="auto"/>
              </w:rPr>
            </w:pPr>
          </w:p>
        </w:tc>
        <w:tc>
          <w:tcPr>
            <w:tcW w:w="1280" w:type="dxa"/>
            <w:vAlign w:val="bottom"/>
          </w:tcPr>
          <w:p>
            <w:pPr>
              <w:jc w:val="right"/>
              <w:ind w:right="11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w:t>
            </w:r>
          </w:p>
        </w:tc>
        <w:tc>
          <w:tcPr>
            <w:tcW w:w="1240" w:type="dxa"/>
            <w:vAlign w:val="bottom"/>
          </w:tcPr>
          <w:p>
            <w:pPr>
              <w:jc w:val="right"/>
              <w:ind w:right="10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508"/>
        <w:spacing w:after="0"/>
        <w:tabs>
          <w:tab w:leader="none" w:pos="84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13" w:lineRule="exact"/>
        <w:rPr>
          <w:rFonts w:ascii="Arial" w:cs="Arial" w:eastAsia="Arial" w:hAnsi="Arial"/>
          <w:sz w:val="14"/>
          <w:szCs w:val="14"/>
          <w:i w:val="1"/>
          <w:iCs w:val="1"/>
          <w:color w:val="auto"/>
        </w:rPr>
      </w:pPr>
    </w:p>
    <w:p>
      <w:pPr>
        <w:ind w:left="840" w:hanging="508"/>
        <w:spacing w:after="0"/>
        <w:tabs>
          <w:tab w:leader="none" w:pos="84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pacing w:after="0" w:line="200" w:lineRule="exact"/>
        <w:rPr>
          <w:sz w:val="20"/>
          <w:szCs w:val="20"/>
          <w:color w:val="auto"/>
        </w:rPr>
      </w:pPr>
    </w:p>
    <w:p>
      <w:pPr>
        <w:spacing w:after="0" w:line="2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2012, revenues from our energy-related businesses decreased by $196 million (40%) to $292 million. The decrease included</w:t>
      </w:r>
    </w:p>
    <w:p>
      <w:pPr>
        <w:spacing w:after="0" w:line="170" w:lineRule="exact"/>
        <w:rPr>
          <w:sz w:val="20"/>
          <w:szCs w:val="20"/>
          <w:color w:val="auto"/>
        </w:rPr>
      </w:pPr>
    </w:p>
    <w:p>
      <w:pPr>
        <w:ind w:left="340" w:hanging="188"/>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$175 million decrease at Sempra Natural Gas due to decreased power sales primarily from the end of the DWR contract as of September 30, 2011, and less favorable pricing; and</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$66 million decrease at Sempra Mexico, including $24 million from lower LNG volumes sold, $11 million from lower natural gas prices and $12 million lower intersegment revenues;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$22 million lower intercompany eliminations primarily associated with power and natural gas sales between Sempra Mexico and Sempra Natural Gas;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$19 million increase at Sempra South American Utilities due to the consolidation of revenues in Chile and Peru starting in April 2011.</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three months ended March 31, 2012, the cost of natural gas, electric fuel and purchased power from our energy-related businesses decreased by $101 million (44%) to $129 million. The decrease was primarily due to:</w:t>
      </w:r>
    </w:p>
    <w:p>
      <w:pPr>
        <w:spacing w:after="0" w:line="170" w:lineRule="exact"/>
        <w:rPr>
          <w:sz w:val="20"/>
          <w:szCs w:val="20"/>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$64 million decrease at Sempra Natural Gas primarily associated with lower power sales from the end of the DWR contract;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$57 million decrease at Sempra Mexico associated with the lower revenues;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$19 million lower intercompany eliminations primarily associated with power and natural gas sales between Sempra Mexico and Sempra Natural Gas.</w:t>
      </w:r>
    </w:p>
    <w:p>
      <w:pPr>
        <w:sectPr>
          <w:pgSz w:w="11900" w:h="16838" w:orient="portrait"/>
          <w:cols w:equalWidth="0" w:num="1">
            <w:col w:w="11420"/>
          </w:cols>
          <w:pgMar w:left="240" w:top="125" w:right="239" w:bottom="204"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2012, our operation and maintenance expenses increased by $32 million (5%) to $671 million. The increase included</w:t>
      </w:r>
    </w:p>
    <w:p>
      <w:pPr>
        <w:spacing w:after="0" w:line="244" w:lineRule="exact"/>
        <w:rPr>
          <w:sz w:val="20"/>
          <w:szCs w:val="20"/>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$44 million at Sempra South American Utilities primarily from the consolidation of expenses in Chile and Peru;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 million lower operation and maintenance expenses at SDG&amp;E, which we discuss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March 31, 2012, SDG&amp;E's operation and maintenance expenses decreased by $5 million (2%) to $268 million. The decrease was due to:</w:t>
      </w:r>
    </w:p>
    <w:p>
      <w:pPr>
        <w:spacing w:after="0" w:line="166" w:lineRule="exact"/>
        <w:rPr>
          <w:sz w:val="20"/>
          <w:szCs w:val="20"/>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$32 million lower recoverable expenses;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$27 million higher other operational and maintenance costs, including an incremental $6 million due to the acquisition of the Desert Star generation facility in October 2011 and $7 million from increased generation costs from other generating facilities.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Before Income Tax</w:t>
      </w:r>
    </w:p>
    <w:p>
      <w:pPr>
        <w:spacing w:after="0" w:line="20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 the three months ended March 31, 2012, equity earnings, before income tax, increased to $12 million from $1 million in 2011. The increase in equity earnings, before income tax, for the three-month period was primarily due to equity losses of $8 million from RBS Sempra Commodities in 2011.</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2012, other income, net, increased by $32 million (74%) to $75 million primarily due to:</w:t>
      </w:r>
    </w:p>
    <w:p>
      <w:pPr>
        <w:spacing w:after="0" w:line="225" w:lineRule="exact"/>
        <w:rPr>
          <w:sz w:val="20"/>
          <w:szCs w:val="20"/>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$14 million increase in AFUDC at SDG&amp;E primarily due to construction on the Sunrise Powerlink project;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$11 million increase in gains from investment activity related to our executive retirement and deferred compensation plans in 2012.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three months ended March 31, 2012, other income, net, increased by $14 million (88%) to $30 million due to an increase in AFUDC primarily due to construction on the Sunrise Powerlink project.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tcPr>
          <w:p>
            <w:pPr>
              <w:jc w:val="center"/>
              <w:ind w:left="1164"/>
              <w:spacing w:after="0" w:line="159" w:lineRule="exact"/>
              <w:rPr>
                <w:sz w:val="20"/>
                <w:szCs w:val="20"/>
                <w:color w:val="auto"/>
              </w:rPr>
            </w:pPr>
            <w:r>
              <w:rPr>
                <w:rFonts w:ascii="Arial" w:cs="Arial" w:eastAsia="Arial" w:hAnsi="Arial"/>
                <w:sz w:val="14"/>
                <w:szCs w:val="14"/>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44"/>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1683"/>
              <w:spacing w:after="0"/>
              <w:rPr>
                <w:sz w:val="20"/>
                <w:szCs w:val="20"/>
                <w:color w:val="auto"/>
              </w:rPr>
            </w:pPr>
            <w:r>
              <w:rPr>
                <w:rFonts w:ascii="Arial" w:cs="Arial" w:eastAsia="Arial" w:hAnsi="Arial"/>
                <w:sz w:val="14"/>
                <w:szCs w:val="14"/>
                <w:color w:val="auto"/>
                <w:w w:val="96"/>
              </w:rPr>
              <w:t>2011</w:t>
            </w:r>
          </w:p>
        </w:tc>
      </w:tr>
      <w:tr>
        <w:trPr>
          <w:trHeight w:val="191"/>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50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2400" w:type="dxa"/>
            <w:vAlign w:val="bottom"/>
            <w:gridSpan w:val="2"/>
          </w:tcPr>
          <w:p>
            <w:pPr>
              <w:ind w:left="840"/>
              <w:spacing w:after="0"/>
              <w:rPr>
                <w:sz w:val="20"/>
                <w:szCs w:val="20"/>
                <w:color w:val="auto"/>
              </w:rPr>
            </w:pPr>
            <w:r>
              <w:rPr>
                <w:rFonts w:ascii="Arial" w:cs="Arial" w:eastAsia="Arial" w:hAnsi="Arial"/>
                <w:sz w:val="14"/>
                <w:szCs w:val="14"/>
                <w:color w:val="auto"/>
              </w:rPr>
              <w:t>Effective Income</w:t>
            </w:r>
          </w:p>
        </w:tc>
        <w:tc>
          <w:tcPr>
            <w:tcW w:w="1600" w:type="dxa"/>
            <w:vAlign w:val="bottom"/>
          </w:tcPr>
          <w:p>
            <w:pPr>
              <w:jc w:val="center"/>
              <w:ind w:left="585"/>
              <w:spacing w:after="0"/>
              <w:rPr>
                <w:sz w:val="20"/>
                <w:szCs w:val="20"/>
                <w:color w:val="auto"/>
              </w:rPr>
            </w:pPr>
            <w:r>
              <w:rPr>
                <w:rFonts w:ascii="Arial" w:cs="Arial" w:eastAsia="Arial" w:hAnsi="Arial"/>
                <w:sz w:val="14"/>
                <w:szCs w:val="14"/>
                <w:color w:val="auto"/>
              </w:rPr>
              <w:t>Income Tax</w:t>
            </w:r>
          </w:p>
        </w:tc>
        <w:tc>
          <w:tcPr>
            <w:tcW w:w="3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Effective Income</w:t>
            </w:r>
          </w:p>
        </w:tc>
      </w:tr>
      <w:tr>
        <w:trPr>
          <w:trHeight w:val="168"/>
        </w:trPr>
        <w:tc>
          <w:tcPr>
            <w:tcW w:w="20" w:type="dxa"/>
            <w:vAlign w:val="bottom"/>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585"/>
              <w:spacing w:after="0"/>
              <w:rPr>
                <w:sz w:val="20"/>
                <w:szCs w:val="20"/>
                <w:color w:val="auto"/>
              </w:rPr>
            </w:pPr>
            <w:r>
              <w:rPr>
                <w:rFonts w:ascii="Arial" w:cs="Arial" w:eastAsia="Arial" w:hAnsi="Arial"/>
                <w:sz w:val="14"/>
                <w:szCs w:val="14"/>
                <w:color w:val="auto"/>
              </w:rPr>
              <w:t>Expense</w:t>
            </w:r>
          </w:p>
        </w:tc>
        <w:tc>
          <w:tcPr>
            <w:tcW w:w="1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Tax Rate</w:t>
            </w:r>
          </w:p>
        </w:tc>
        <w:tc>
          <w:tcPr>
            <w:tcW w:w="6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44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0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1740" w:type="dxa"/>
            <w:vAlign w:val="bottom"/>
          </w:tcPr>
          <w:p>
            <w:pPr>
              <w:jc w:val="right"/>
              <w:ind w:right="1344"/>
              <w:spacing w:after="0" w:line="164" w:lineRule="exact"/>
              <w:rPr>
                <w:sz w:val="20"/>
                <w:szCs w:val="20"/>
                <w:color w:val="auto"/>
              </w:rPr>
            </w:pPr>
            <w:r>
              <w:rPr>
                <w:rFonts w:ascii="Arial" w:cs="Arial" w:eastAsia="Arial" w:hAnsi="Arial"/>
                <w:sz w:val="16"/>
                <w:szCs w:val="16"/>
                <w:color w:val="auto"/>
              </w:rPr>
              <w:t>117</w:t>
            </w:r>
          </w:p>
        </w:tc>
        <w:tc>
          <w:tcPr>
            <w:tcW w:w="660" w:type="dxa"/>
            <w:vAlign w:val="bottom"/>
          </w:tcPr>
          <w:p>
            <w:pPr>
              <w:ind w:left="100"/>
              <w:spacing w:after="0" w:line="164" w:lineRule="exact"/>
              <w:rPr>
                <w:sz w:val="20"/>
                <w:szCs w:val="20"/>
                <w:color w:val="auto"/>
              </w:rPr>
            </w:pPr>
            <w:r>
              <w:rPr>
                <w:rFonts w:ascii="Arial" w:cs="Arial" w:eastAsia="Arial" w:hAnsi="Arial"/>
                <w:sz w:val="16"/>
                <w:szCs w:val="16"/>
                <w:color w:val="auto"/>
              </w:rPr>
              <w:t>33 %</w:t>
            </w:r>
          </w:p>
        </w:tc>
        <w:tc>
          <w:tcPr>
            <w:tcW w:w="1600" w:type="dxa"/>
            <w:vAlign w:val="bottom"/>
          </w:tcPr>
          <w:p>
            <w:pPr>
              <w:jc w:val="right"/>
              <w:ind w:right="1265"/>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114</w:t>
            </w:r>
          </w:p>
        </w:tc>
        <w:tc>
          <w:tcPr>
            <w:tcW w:w="2080" w:type="dxa"/>
            <w:vAlign w:val="bottom"/>
          </w:tcPr>
          <w:p>
            <w:pPr>
              <w:ind w:left="1540"/>
              <w:spacing w:after="0" w:line="164" w:lineRule="exact"/>
              <w:rPr>
                <w:sz w:val="20"/>
                <w:szCs w:val="20"/>
                <w:color w:val="auto"/>
              </w:rPr>
            </w:pPr>
            <w:r>
              <w:rPr>
                <w:rFonts w:ascii="Arial" w:cs="Arial" w:eastAsia="Arial" w:hAnsi="Arial"/>
                <w:sz w:val="16"/>
                <w:szCs w:val="16"/>
                <w:color w:val="auto"/>
              </w:rPr>
              <w:t>33 %</w:t>
            </w:r>
          </w:p>
        </w:tc>
      </w:tr>
      <w:tr>
        <w:trPr>
          <w:trHeight w:val="176"/>
        </w:trPr>
        <w:tc>
          <w:tcPr>
            <w:tcW w:w="346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00" w:type="dxa"/>
            <w:vAlign w:val="bottom"/>
          </w:tcPr>
          <w:p>
            <w:pPr>
              <w:spacing w:after="0"/>
              <w:rPr>
                <w:sz w:val="15"/>
                <w:szCs w:val="15"/>
                <w:color w:val="auto"/>
              </w:rPr>
            </w:pPr>
          </w:p>
        </w:tc>
        <w:tc>
          <w:tcPr>
            <w:tcW w:w="1740" w:type="dxa"/>
            <w:vAlign w:val="bottom"/>
          </w:tcPr>
          <w:p>
            <w:pPr>
              <w:jc w:val="right"/>
              <w:ind w:right="1344"/>
              <w:spacing w:after="0" w:line="176" w:lineRule="exact"/>
              <w:rPr>
                <w:sz w:val="20"/>
                <w:szCs w:val="20"/>
                <w:color w:val="auto"/>
              </w:rPr>
            </w:pPr>
            <w:r>
              <w:rPr>
                <w:rFonts w:ascii="Arial" w:cs="Arial" w:eastAsia="Arial" w:hAnsi="Arial"/>
                <w:sz w:val="16"/>
                <w:szCs w:val="16"/>
                <w:color w:val="auto"/>
              </w:rPr>
              <w:t>60</w:t>
            </w:r>
          </w:p>
        </w:tc>
        <w:tc>
          <w:tcPr>
            <w:tcW w:w="660" w:type="dxa"/>
            <w:vAlign w:val="bottom"/>
          </w:tcPr>
          <w:p>
            <w:pPr>
              <w:ind w:left="100"/>
              <w:spacing w:after="0" w:line="176" w:lineRule="exact"/>
              <w:rPr>
                <w:sz w:val="20"/>
                <w:szCs w:val="20"/>
                <w:color w:val="auto"/>
              </w:rPr>
            </w:pPr>
            <w:r>
              <w:rPr>
                <w:rFonts w:ascii="Arial" w:cs="Arial" w:eastAsia="Arial" w:hAnsi="Arial"/>
                <w:sz w:val="16"/>
                <w:szCs w:val="16"/>
                <w:color w:val="auto"/>
              </w:rPr>
              <w:t>35</w:t>
            </w:r>
          </w:p>
        </w:tc>
        <w:tc>
          <w:tcPr>
            <w:tcW w:w="16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2080" w:type="dxa"/>
            <w:vAlign w:val="bottom"/>
          </w:tcPr>
          <w:p>
            <w:pPr>
              <w:ind w:left="1540"/>
              <w:spacing w:after="0" w:line="176" w:lineRule="exact"/>
              <w:rPr>
                <w:sz w:val="20"/>
                <w:szCs w:val="20"/>
                <w:color w:val="auto"/>
              </w:rPr>
            </w:pPr>
            <w:r>
              <w:rPr>
                <w:rFonts w:ascii="Arial" w:cs="Arial" w:eastAsia="Arial" w:hAnsi="Arial"/>
                <w:sz w:val="16"/>
                <w:szCs w:val="16"/>
                <w:color w:val="auto"/>
              </w:rPr>
              <w:t>34</w:t>
            </w:r>
          </w:p>
        </w:tc>
      </w:tr>
      <w:tr>
        <w:trPr>
          <w:trHeight w:val="194"/>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344"/>
              <w:spacing w:after="0"/>
              <w:rPr>
                <w:sz w:val="20"/>
                <w:szCs w:val="20"/>
                <w:color w:val="auto"/>
              </w:rPr>
            </w:pPr>
            <w:r>
              <w:rPr>
                <w:rFonts w:ascii="Arial" w:cs="Arial" w:eastAsia="Arial" w:hAnsi="Arial"/>
                <w:sz w:val="16"/>
                <w:szCs w:val="16"/>
                <w:color w:val="auto"/>
              </w:rPr>
              <w:t>40</w:t>
            </w: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38</w:t>
            </w: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0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increase in income tax expense in the three months ended March 31, 2012 was primarily due to higher pretax income. While our effective tax rate remained unchanged from the prior year, it was impacted by:</w:t>
      </w:r>
    </w:p>
    <w:p>
      <w:pPr>
        <w:spacing w:after="0" w:line="170" w:lineRule="exact"/>
        <w:rPr>
          <w:sz w:val="20"/>
          <w:szCs w:val="20"/>
          <w:color w:val="auto"/>
        </w:rPr>
      </w:pPr>
    </w:p>
    <w:p>
      <w:pPr>
        <w:ind w:left="340" w:hanging="188"/>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higher tax expense in 2012 due to Mexican currency translation adjustments;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lower deductions for self-developed software costs;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lower favorable adjustments related to prior years’ income tax issues;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higher planned renewable energy income tax credits and deferred income tax benefits related to renewable energy projects.</w:t>
      </w:r>
    </w:p>
    <w:p>
      <w:pPr>
        <w:sectPr>
          <w:pgSz w:w="11900" w:h="16838" w:orient="portrait"/>
          <w:cols w:equalWidth="0" w:num="1">
            <w:col w:w="11420"/>
          </w:cols>
          <w:pgMar w:left="240" w:top="122" w:right="239" w:bottom="113" w:gutter="0" w:footer="0" w:header="0"/>
        </w:sectPr>
      </w:pPr>
    </w:p>
    <w:bookmarkStart w:id="58" w:name="page59"/>
    <w:bookmarkEnd w:id="58"/>
    <w:p>
      <w:pPr>
        <w:ind w:right="160"/>
        <w:spacing w:after="0" w:line="259" w:lineRule="auto"/>
        <w:rPr>
          <w:sz w:val="20"/>
          <w:szCs w:val="20"/>
          <w:color w:val="auto"/>
        </w:rPr>
      </w:pPr>
      <w:r>
        <w:rPr>
          <w:rFonts w:ascii="Arial" w:cs="Arial" w:eastAsia="Arial" w:hAnsi="Arial"/>
          <w:sz w:val="18"/>
          <w:szCs w:val="18"/>
          <w:color w:val="auto"/>
        </w:rPr>
        <w:t>As we discuss in Note 5 of the Notes to Condensed Consolidated Financial Statements herein, Sempra Energy, SDG&amp;E and SoCalGas record income taxes for interim periods utilizing a forecasted effective tax rate anticipated for the full year, as required by U.S. GAAP. We also discuss renewable energy income tax credits and deferred income tax benefits related to renewable energy projects in Notes 1 and 5 of the Notes to Condensed Consolidated Financial Statements herein.</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discussed above, through December 31, 2011, Sempra Renewables used what is referred to as the flow-through method of accounting in which the investment tax credits associated with a project are recognized as a reduction of tax expense in the year in which capacity is placed in service. Starting in the first quarter of 2012, Sempra Renewables adopted the deferral method of accounting for these projects. Under this methodology, instead of recognizing the investment tax credit, Sempra Renewables reduced the book basis of the asset by the amount of the tax credit. This resulted in lower book depreciation, but higher income tax expense. Therefore, over time total earnings will be equal under the deferred method when compared to the flow-through method. This change in accounting principle was applied retrospectively in the first quarter of 2012.</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plan for assets placed into service in 2012 includes assets that were under construction in 2011. We have used grant accounting for these assets in anticipation of applying for cash grants. Grant accounting for cash grants is very similar to the deferral method of accounting for investment tax credits, the primary difference being the recording of a grant receivable instead of an income tax receivable.</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2012, we anticipate that our effective tax rate will be approximately 29% compared to 23% in 2011, excluding income tax items that cannot be reliably forecasted, as discussed in Note 5 of the Notes to Condensed Consolidated Financial Statements herein. This increase is primarily as a result of lower non-U.S. earnings taxed at lower statutory income tax rates. In the years 2013 through 2016, we are currently projecting that our effective income tax rate will be, excluding income tax items that cannot be reliably forecasted, approximately 30% to 32%. This increase in effective income tax rates is primarily due to: projected increases in pretax income; decreases in favorable tax deductions for self-developed software costs; increases in the amount by which book depreciation exceeds normalized tax depreciation; and lower exclusions from income for the equity portion of AFUDC. These projected effective tax rates do not include any impact from a possible repatriation of future earnings from our Mexican and Peruvian subsidiaries. If we were to repatriate future foreign earnings, as we discuss below, the rates would increase accordingly.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SDG&amp;E's income tax expense increased in the three months ended March 31, 2012 due to higher pretax income and a higher effective income tax rate primarily resulting from:</w:t>
      </w:r>
    </w:p>
    <w:p>
      <w:pPr>
        <w:spacing w:after="0" w:line="170" w:lineRule="exact"/>
        <w:rPr>
          <w:sz w:val="20"/>
          <w:szCs w:val="20"/>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lower deductions for self-developed software costs;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lower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2012, we anticipate that SDG&amp;E’s effective income tax rate will be approximately 36% compared to 34% in 2011, excluding income tax items that cannot be reliably forecasted. This increase is due to a projected rise in pretax income, combined with a decrease in favorable income tax deductions for self-developed software costs (due to completion of SDG&amp;E’s advanced meter project), and lower exclusions from income for the equity portion of AFUDC (due to the projected completion of construction on the Sunrise Powerlink electric transmission line), offset by lower book depreciation over income tax depreciation related to a certain portion of utility plant fixed assets. In the years 2013 through 2016, we are currently projecting that SDG&amp;E’s effective income tax rate will be approximately 37%, excluding income tax items that cannot be reliably forecasted, due to projected increases in pretax income.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three months ended March 31, 2012, income tax expense increased at SoCalGas due to a higher effective tax rate. The higher effective tax rate in 2012 compared to 2011 was primarily due to:</w:t>
      </w:r>
    </w:p>
    <w:p>
      <w:pPr>
        <w:spacing w:after="0" w:line="170" w:lineRule="exact"/>
        <w:rPr>
          <w:sz w:val="20"/>
          <w:szCs w:val="20"/>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lower deductions for self-developed software costs;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unfavorable adjustments related to prior years’ income tax issues in 2012 versus favorable adjustments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lower book depreciation over income tax depreciation related to a certain portion of utility plant fixed assets.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2012, we anticipate that SoCalGas’ effective income tax rate will be approximately 37% compared to 33% in 2011, excluding income tax items that cannot be reliably forecasted. This increase is due to a projected rise in pretax income, combined with a decrease in favorable income tax deductions for self-developed software costs. In the years 2013 through 2016, we are currently projecting that SoCalGas’ effective income tax rate, excluding income tax items that cannot be reliably forecasted, will be approximately 40% to 42%, which is approximately 3% to 5% higher than the anticipated 2012 effective income tax rate. This expected increase is primarily due to projected increases in pretax income, combined with a decrease in favorable income tax deductions for self-developed software costs, and an increase in the amount by which book depreciation exceeds normalized tax depreciation.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following items are subject to flow-through treatment at the California Utilities:</w:t>
      </w:r>
    </w:p>
    <w:p>
      <w:pPr>
        <w:spacing w:after="0" w:line="225" w:lineRule="exact"/>
        <w:rPr>
          <w:sz w:val="20"/>
          <w:szCs w:val="20"/>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self-developed software costs</w:t>
      </w:r>
    </w:p>
    <w:p>
      <w:pPr>
        <w:sectPr>
          <w:pgSz w:w="11900" w:h="16838" w:orient="portrait"/>
          <w:cols w:equalWidth="0" w:num="1">
            <w:col w:w="11420"/>
          </w:cols>
          <w:pgMar w:left="240" w:top="125" w:right="239" w:bottom="0" w:gutter="0" w:footer="0" w:header="0"/>
        </w:sectPr>
      </w:pPr>
    </w:p>
    <w:bookmarkStart w:id="59" w:name="page60"/>
    <w:bookmarkEnd w:id="59"/>
    <w:p>
      <w:pPr>
        <w:ind w:left="160"/>
        <w:spacing w:after="0"/>
        <w:rPr>
          <w:sz w:val="20"/>
          <w:szCs w:val="20"/>
          <w:color w:val="auto"/>
        </w:rPr>
      </w:pPr>
      <w:r>
        <w:rPr>
          <w:rFonts w:ascii="Arial" w:cs="Arial" w:eastAsia="Arial" w:hAnsi="Arial"/>
          <w:sz w:val="18"/>
          <w:szCs w:val="18"/>
          <w:color w:val="auto"/>
        </w:rPr>
        <w:t>§ depreciation on a certain portion of utility plant assets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discuss the impact of items subject to flow-through treatment on our effective income tax rates in Note 5 of the Notes to Condensed Consolidated Financial Statements herein.</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December 2010, the Tax Relief, Unemployment Insurance Reauthorization, and Job Creation Act of 2010 (2010 Tax Act) was signed into law. The 2010 Tax Act included the extension of bonus depreciation for U.S. federal income tax purposes for years 2010 through 2012 and an increase in the rate of bonus depreciation from 50 percent to 100 percent. This increased rate only applies to certain investments made after September 8, 2010 through December 31, 2012. Self-constructed property, where the construction period exceeds one year, construction starts between December 31, 2007 and January 1, 2013, and the property is placed in service by December 31, 2013, will qualify for bonus depreciation in 2013 at either the original or increased rate.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Due to the extension of bonus depreciation, Sempra Energy generated a large U.S. federal net operating loss (NOL) in 2011 and is currently projecting a large U.S. federal NOL in 2012. We currently project the total NOL will not be fully utilized until 2016. Because of these projected NOLs, and the carryforward of U.S. federal income tax credits discussed below, Sempra Energy expects no U.S. federal income tax payments in years 2012 through 2015. However, because bonus depreciation only creates a temporary difference, versus a permanent difference, between Sempra Energy’s U.S. federal income tax return and its U.S.</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GAAP financial statements, it does not impact Sempra Energy’s effective income tax rate. We expect larger U.S. federal income tax payments in the future as these temporary differences reverse.</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SDG&amp;E and SoCalGas both generated a large U.S. federal NOL in 2011, also due to bonus depreciation. In addition, SDG&amp;E is currently projecting a large U.S. federal NOL in 2012. However, SoCalGas is not projecting a U.S. federal NOL in 2012. In 2012, SDG&amp;E and SoCalGas will be able to, on a stand-alone basis, carry back their 2011 NOLs to 2009 and 2010 to offset taxable income in those years. Therefore, 2011 NOLs are recorded as current income tax receivable. In 2013, SDG&amp;E will be able to, on a stand-alone basis, carry back a portion of its 2012 NOL to 2010 and the remaining portion will need to be carried forward. Therefore, the 2012 NOL generated to date is recorded as noncurrent income tax receivable. The portion of SDG&amp;E’s 2012 NOL that will be carried forward will be recorded as a deferred income tax asset. We currently project that SDG&amp;E’s carryforward NOL, on a stand-alone basis, will be fully utilized in 2013. Because of this projected 2012 NOL, and the carryforward of U.S. federal income tax credits discussed below, SDG&amp;E expects no U.S. federal income tax payments in 2012. However, because bonus depreciation only creates a temporary difference, versus a permanent difference, between SDG&amp;E’s and SoCalGas’ U.S. federal income tax returns and U.S. GAAP financial statements, it does not impact SDG&amp;E’s and SoCalGas’ effective income tax rates. We expect larger U.S. federal income tax payments in the future as these temporary differences reverse.</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Bonus depreciation, in addition to impacting Sempra Energy’s and SDG&amp;E’s U.S. federal income tax payments, will also have a temporary impact on Sempra Energy’s and SDG&amp;E’s ability to utilize their U.S. federal income tax credits, which primarily are investment tax credits and production tax credits generated by Sempra Energy’s and SDG&amp;E’s current and future renewable energy investments. However, based on current projections, Sempra Energy and SDG&amp;E do not expect, based on more-likely-than-not criteria required under U.S. GAAP, any of these income tax credits to expire prior to the end of their 20-year carryforward period, as allowed under current U.S. federal income tax law. We also expect bonus depreciation to increase the deferred tax component of SDG&amp;E’s and SoCalGas’ rate base, which reduces rate base.</w:t>
      </w:r>
    </w:p>
    <w:p>
      <w:pPr>
        <w:spacing w:after="0" w:line="193"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We are currently considering the potential repatriation of future earnings beginning in 2013 from certain of our non-U.S. subsidiaries in Mexico and Peru. However, we expect to continue to indefinitely reinvest future earnings from our Chilean subsidiaries. Currently, all future repatriated earnings would be subject to U.S. income tax (with a credit for foreign income taxes) and future repatriations from Peru would be subject to local country withholding</w:t>
      </w:r>
    </w:p>
    <w:p>
      <w:pPr>
        <w:ind w:right="40"/>
        <w:spacing w:after="0" w:line="254" w:lineRule="auto"/>
        <w:rPr>
          <w:sz w:val="20"/>
          <w:szCs w:val="20"/>
          <w:color w:val="auto"/>
        </w:rPr>
      </w:pPr>
      <w:r>
        <w:rPr>
          <w:rFonts w:ascii="Arial" w:cs="Arial" w:eastAsia="Arial" w:hAnsi="Arial"/>
          <w:sz w:val="18"/>
          <w:szCs w:val="18"/>
          <w:color w:val="auto"/>
        </w:rPr>
        <w:t>tax. Because this potential repatriation would only be from future earnings, it does not change our current assertion, as we discuss in Note 7 of the Notes to Consolidated Financial Statements in the Annual Report, that we intend to continue to indefinitely reinvest, for the foreseeable future, our cumulative undistributed non-U.S. earnings as of March 31, 2012. The forward-looking statements above on income tax matters do not include any impact from potential repatriation of future non-U.S. earnings.</w:t>
      </w:r>
    </w:p>
    <w:p>
      <w:pPr>
        <w:spacing w:after="0" w:line="1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Additionally,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As of March 31, 2012, this rule has not yet been extended beyond 2011, therefore, Sempra Energy’s effective income tax rate is currently unfavorably impacted for 2012 and could potentially increase, over the amounts projected above, in subsequent years. However, for years 2013-2016, we currently do not believe the lack of the extension of this rule will cause the effective income tax rate to be outside the estimated range provided above. It is generally thought that this rule will be extended beyond 2011. However, until the extension of the rule is enacted into law, U.S. GAAP accounting rules will preclude us from reflecting its favorable impact in our financial results for 2012. If, starting in 2013, we were to decide to repatriate future non-U.S. earnings from Mexico and Peru, as discussed above, the loss of the look-through rule will not result in additional U.S. federal income tax beyond what would be paid on the repatriated future non-U.S. earnings from nonoperating activity in Mexico and Peru.</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Mexican subsidiaries have U.S. dollar denominated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expose us to significant fluctuations in our income tax expense. The income tax expense of Sempra Mexico is impacted by these factors. Parent and Other is also impacted due to a Mexican holding company. The impacts of these fluctuations may offset to some extent at the consolidated level.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Sempra Energy Consolidated, the impacts on the three months ended March 31, 2012 and 2011 related to the factors described above are as follows:</w:t>
      </w:r>
    </w:p>
    <w:p>
      <w:pPr>
        <w:spacing w:after="0" w:line="200" w:lineRule="exact"/>
        <w:rPr>
          <w:sz w:val="20"/>
          <w:szCs w:val="20"/>
          <w:color w:val="auto"/>
        </w:rPr>
      </w:pPr>
    </w:p>
    <w:p>
      <w:pPr>
        <w:spacing w:after="0" w:line="288" w:lineRule="exact"/>
        <w:rPr>
          <w:sz w:val="20"/>
          <w:szCs w:val="20"/>
          <w:color w:val="auto"/>
        </w:rPr>
      </w:pPr>
    </w:p>
    <w:p>
      <w:pPr>
        <w:ind w:right="3780"/>
        <w:spacing w:after="0" w:line="243" w:lineRule="auto"/>
        <w:rPr>
          <w:sz w:val="20"/>
          <w:szCs w:val="20"/>
          <w:color w:val="auto"/>
        </w:rPr>
      </w:pPr>
      <w:r>
        <w:rPr>
          <w:rFonts w:ascii="Arial" w:cs="Arial" w:eastAsia="Arial" w:hAnsi="Arial"/>
          <w:sz w:val="16"/>
          <w:szCs w:val="16"/>
          <w:b w:val="1"/>
          <w:bCs w:val="1"/>
          <w:color w:val="auto"/>
        </w:rPr>
        <w:t xml:space="preserve">MEXICAN CURRENCY IMPACT ON INCOME TAXES AND RELATED ECONOMIC HEDGING ACTIVITY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220" w:type="dxa"/>
            <w:vAlign w:val="bottom"/>
            <w:tcBorders>
              <w:bottom w:val="single" w:sz="8" w:color="auto"/>
            </w:tcBorders>
            <w:gridSpan w:val="2"/>
          </w:tcPr>
          <w:p>
            <w:pPr>
              <w:jc w:val="right"/>
              <w:ind w:right="281"/>
              <w:spacing w:after="0" w:line="159" w:lineRule="exact"/>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7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color w:val="auto"/>
              </w:rPr>
              <w:t>2012</w:t>
            </w:r>
          </w:p>
        </w:tc>
        <w:tc>
          <w:tcPr>
            <w:tcW w:w="1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7680" w:type="dxa"/>
            <w:vAlign w:val="bottom"/>
          </w:tcPr>
          <w:p>
            <w:pPr>
              <w:spacing w:after="0"/>
              <w:rPr>
                <w:sz w:val="20"/>
                <w:szCs w:val="20"/>
                <w:color w:val="auto"/>
              </w:rPr>
            </w:pPr>
            <w:r>
              <w:rPr>
                <w:rFonts w:ascii="Arial" w:cs="Arial" w:eastAsia="Arial" w:hAnsi="Arial"/>
                <w:sz w:val="16"/>
                <w:szCs w:val="16"/>
                <w:color w:val="auto"/>
              </w:rPr>
              <w:t>Income tax expense on currency exchange</w:t>
            </w:r>
          </w:p>
        </w:tc>
        <w:tc>
          <w:tcPr>
            <w:tcW w:w="1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680" w:type="dxa"/>
            <w:vAlign w:val="bottom"/>
          </w:tcPr>
          <w:p>
            <w:pPr>
              <w:ind w:left="280"/>
              <w:spacing w:after="0"/>
              <w:rPr>
                <w:sz w:val="20"/>
                <w:szCs w:val="20"/>
                <w:color w:val="auto"/>
              </w:rPr>
            </w:pPr>
            <w:r>
              <w:rPr>
                <w:rFonts w:ascii="Arial" w:cs="Arial" w:eastAsia="Arial" w:hAnsi="Arial"/>
                <w:sz w:val="16"/>
                <w:szCs w:val="16"/>
                <w:color w:val="auto"/>
              </w:rPr>
              <w:t>rate movement of monetary assets and liabilities</w:t>
            </w:r>
          </w:p>
        </w:tc>
        <w:tc>
          <w:tcPr>
            <w:tcW w:w="136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1860" w:type="dxa"/>
            <w:vAlign w:val="bottom"/>
          </w:tcPr>
          <w:p>
            <w:pPr>
              <w:ind w:left="300"/>
              <w:spacing w:after="0"/>
              <w:rPr>
                <w:sz w:val="20"/>
                <w:szCs w:val="20"/>
                <w:color w:val="auto"/>
              </w:rPr>
            </w:pPr>
            <w:r>
              <w:rPr>
                <w:rFonts w:ascii="Arial" w:cs="Arial" w:eastAsia="Arial" w:hAnsi="Arial"/>
                <w:sz w:val="16"/>
                <w:szCs w:val="16"/>
                <w:color w:val="auto"/>
              </w:rPr>
              <w:t>(9)$</w:t>
            </w: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76"/>
        </w:trPr>
        <w:tc>
          <w:tcPr>
            <w:tcW w:w="7700" w:type="dxa"/>
            <w:vAlign w:val="bottom"/>
            <w:gridSpan w:val="2"/>
          </w:tcPr>
          <w:p>
            <w:pPr>
              <w:spacing w:after="0" w:line="176" w:lineRule="exact"/>
              <w:rPr>
                <w:sz w:val="20"/>
                <w:szCs w:val="20"/>
                <w:color w:val="auto"/>
              </w:rPr>
            </w:pPr>
            <w:r>
              <w:rPr>
                <w:rFonts w:ascii="Arial" w:cs="Arial" w:eastAsia="Arial" w:hAnsi="Arial"/>
                <w:sz w:val="16"/>
                <w:szCs w:val="16"/>
                <w:color w:val="auto"/>
              </w:rPr>
              <w:t>Translation of non-U.S. deferred income tax balances</w:t>
            </w:r>
          </w:p>
        </w:tc>
        <w:tc>
          <w:tcPr>
            <w:tcW w:w="1360" w:type="dxa"/>
            <w:vAlign w:val="bottom"/>
          </w:tcPr>
          <w:p>
            <w:pPr>
              <w:spacing w:after="0"/>
              <w:rPr>
                <w:sz w:val="15"/>
                <w:szCs w:val="15"/>
                <w:color w:val="auto"/>
              </w:rPr>
            </w:pPr>
          </w:p>
        </w:tc>
        <w:tc>
          <w:tcPr>
            <w:tcW w:w="1860" w:type="dxa"/>
            <w:vAlign w:val="bottom"/>
          </w:tcPr>
          <w:p>
            <w:pPr>
              <w:ind w:left="300"/>
              <w:spacing w:after="0" w:line="176" w:lineRule="exact"/>
              <w:rPr>
                <w:sz w:val="20"/>
                <w:szCs w:val="20"/>
                <w:color w:val="auto"/>
              </w:rPr>
            </w:pPr>
            <w:r>
              <w:rPr>
                <w:rFonts w:ascii="Arial" w:cs="Arial" w:eastAsia="Arial" w:hAnsi="Arial"/>
                <w:sz w:val="16"/>
                <w:szCs w:val="16"/>
                <w:color w:val="auto"/>
              </w:rPr>
              <w:t>(8)</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94"/>
        </w:trPr>
        <w:tc>
          <w:tcPr>
            <w:tcW w:w="7700" w:type="dxa"/>
            <w:vAlign w:val="bottom"/>
            <w:gridSpan w:val="2"/>
          </w:tcPr>
          <w:p>
            <w:pPr>
              <w:spacing w:after="0"/>
              <w:rPr>
                <w:sz w:val="20"/>
                <w:szCs w:val="20"/>
                <w:color w:val="auto"/>
              </w:rPr>
            </w:pPr>
            <w:r>
              <w:rPr>
                <w:rFonts w:ascii="Arial" w:cs="Arial" w:eastAsia="Arial" w:hAnsi="Arial"/>
                <w:sz w:val="16"/>
                <w:szCs w:val="16"/>
                <w:color w:val="auto"/>
              </w:rPr>
              <w:t>Income tax expense on inflation</w:t>
            </w:r>
          </w:p>
        </w:tc>
        <w:tc>
          <w:tcPr>
            <w:tcW w:w="1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25" w:right="239" w:bottom="0" w:gutter="0" w:footer="0" w:header="0"/>
        </w:sectPr>
      </w:pPr>
    </w:p>
    <w:bookmarkStart w:id="60" w:name="page61"/>
    <w:bookmarkEnd w:id="60"/>
    <w:p>
      <w:pPr>
        <w:ind w:left="300"/>
        <w:spacing w:after="0"/>
        <w:rPr>
          <w:sz w:val="20"/>
          <w:szCs w:val="20"/>
          <w:color w:val="auto"/>
        </w:rPr>
      </w:pPr>
      <w:r>
        <w:rPr>
          <w:rFonts w:ascii="Arial" w:cs="Arial" w:eastAsia="Arial" w:hAnsi="Arial"/>
          <w:sz w:val="16"/>
          <w:szCs w:val="16"/>
          <w:color w:val="auto"/>
        </w:rPr>
        <w:t>Total impact on income taxes</w:t>
      </w:r>
    </w:p>
    <w:p>
      <w:pPr>
        <w:spacing w:after="0"/>
        <w:rPr>
          <w:sz w:val="20"/>
          <w:szCs w:val="20"/>
          <w:color w:val="auto"/>
        </w:rPr>
      </w:pPr>
      <w:r>
        <w:rPr>
          <w:rFonts w:ascii="Arial" w:cs="Arial" w:eastAsia="Arial" w:hAnsi="Arial"/>
          <w:sz w:val="16"/>
          <w:szCs w:val="16"/>
          <w:color w:val="auto"/>
        </w:rPr>
        <w:t>After-tax gains on Mexican peso exchange rate</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instruments (included in Other Income, Net)</w:t>
      </w:r>
    </w:p>
    <w:p>
      <w:pPr>
        <w:spacing w:after="0" w:line="229" w:lineRule="auto"/>
        <w:rPr>
          <w:sz w:val="20"/>
          <w:szCs w:val="20"/>
          <w:color w:val="auto"/>
        </w:rPr>
      </w:pPr>
      <w:r>
        <w:rPr>
          <w:rFonts w:ascii="Arial" w:cs="Arial" w:eastAsia="Arial" w:hAnsi="Arial"/>
          <w:sz w:val="16"/>
          <w:szCs w:val="16"/>
          <w:color w:val="auto"/>
        </w:rPr>
        <w:t>Net impacts on Sempra Energy Condensed</w:t>
      </w:r>
    </w:p>
    <w:p>
      <w:pPr>
        <w:ind w:left="300"/>
        <w:spacing w:after="0"/>
        <w:rPr>
          <w:sz w:val="20"/>
          <w:szCs w:val="20"/>
          <w:color w:val="auto"/>
        </w:rPr>
      </w:pPr>
      <w:r>
        <w:rPr>
          <w:rFonts w:ascii="Arial" w:cs="Arial" w:eastAsia="Arial" w:hAnsi="Arial"/>
          <w:sz w:val="16"/>
          <w:szCs w:val="16"/>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180"/>
        <w:spacing w:after="0"/>
        <w:tabs>
          <w:tab w:leader="none" w:pos="304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(11)</w:t>
      </w:r>
    </w:p>
    <w:p>
      <w:pPr>
        <w:spacing w:after="0" w:line="168" w:lineRule="exact"/>
        <w:rPr>
          <w:sz w:val="20"/>
          <w:szCs w:val="20"/>
          <w:color w:val="auto"/>
        </w:rPr>
      </w:pPr>
    </w:p>
    <w:p>
      <w:pPr>
        <w:ind w:left="1340"/>
        <w:spacing w:after="0"/>
        <w:tabs>
          <w:tab w:leader="none" w:pos="318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1905</wp:posOffset>
            </wp:positionV>
            <wp:extent cx="23583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58390" cy="17145"/>
                    </a:xfrm>
                    <a:prstGeom prst="rect">
                      <a:avLst/>
                    </a:prstGeom>
                    <a:noFill/>
                  </pic:spPr>
                </pic:pic>
              </a:graphicData>
            </a:graphic>
          </wp:anchor>
        </w:drawing>
      </w:r>
    </w:p>
    <w:p>
      <w:pPr>
        <w:spacing w:after="0" w:line="174" w:lineRule="exact"/>
        <w:rPr>
          <w:sz w:val="20"/>
          <w:szCs w:val="20"/>
          <w:color w:val="auto"/>
        </w:rPr>
      </w:pPr>
    </w:p>
    <w:p>
      <w:pPr>
        <w:spacing w:after="0"/>
        <w:tabs>
          <w:tab w:leader="none" w:pos="1160" w:val="left"/>
          <w:tab w:leader="none" w:pos="1820" w:val="left"/>
          <w:tab w:leader="none" w:pos="3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w:t>
      </w:r>
    </w:p>
    <w:p>
      <w:pPr>
        <w:spacing w:after="0" w:line="200" w:lineRule="exact"/>
        <w:rPr>
          <w:sz w:val="20"/>
          <w:szCs w:val="20"/>
          <w:color w:val="auto"/>
        </w:rPr>
      </w:pPr>
    </w:p>
    <w:p>
      <w:pPr>
        <w:sectPr>
          <w:pgSz w:w="11900" w:h="16838" w:orient="portrait"/>
          <w:cols w:equalWidth="0" w:num="2">
            <w:col w:w="7360" w:space="720"/>
            <w:col w:w="3340"/>
          </w:cols>
          <w:pgMar w:left="240" w:top="119" w:right="239" w:bottom="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Net of Income Tax</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Equity earnings of unconsolidated subsidiaries, net of income tax, which are primarily earnings from Sempra South American Utilities’ and Sempra Mexico’s equity method investments, were $11 million in the three months ended March 31, 2012 compared to $31 million for the corresponding period in 2011. The change in 2012 was primarily due to $24 million lower earnings related to equity method investments in Chile and Peru, for entities that are now consolidated.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Attributable to Noncontrolling Interests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Earnings attributable to noncontrolling interests were $13 million for the three months ended March 31, 2012 compared to $4 million for the same period in 2011. The change was primarily due to:</w:t>
      </w:r>
    </w:p>
    <w:p>
      <w:pPr>
        <w:spacing w:after="0" w:line="170" w:lineRule="exact"/>
        <w:rPr>
          <w:sz w:val="20"/>
          <w:szCs w:val="20"/>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$6 million earnings primarily from noncontrolling interests at Luz del Sur in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 million higher earnings attributable to noncontrolling interests in 2012 at Otay Mesa VIE.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19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We expect our cash flows from operations to fund a substantial portion of our capital expenditures and dividends. In addition, we may meet our cash requirements through the issuance of short-term and long-term debt and distributions from our equity method investments.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committed lines of credit provide liquidity and support commercial paper. As we discuss in Note 6 of the Notes to Condensed Consolidated Financial Statements herein, in March 2012, Sempra Energy, Sempra Global (the holding company for our subsidiaries not subject to California utility regulation) and the California Utilities each entered into new five-year revolving credit facilities, expiring in 2017, which replace the previous principal credit agreements that were scheduled to expire in 2014. At Sempra Energy and the California Utilities, the agreements are syndicated broadly among 24 different lenders and at Sempra Global, among 25 different lenders. No single lender has greater than a 7-percent share in any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March 31,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jc w:val="center"/>
              <w:ind w:left="1785"/>
              <w:spacing w:after="0"/>
              <w:rPr>
                <w:sz w:val="20"/>
                <w:szCs w:val="20"/>
                <w:color w:val="auto"/>
              </w:rPr>
            </w:pPr>
            <w:r>
              <w:rPr>
                <w:rFonts w:ascii="Arial" w:cs="Arial" w:eastAsia="Arial" w:hAnsi="Arial"/>
                <w:sz w:val="14"/>
                <w:szCs w:val="14"/>
                <w:color w:val="auto"/>
              </w:rPr>
              <w:t>Sempra Energy</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jc w:val="center"/>
              <w:ind w:left="1785"/>
              <w:spacing w:after="0"/>
              <w:rPr>
                <w:sz w:val="20"/>
                <w:szCs w:val="20"/>
                <w:color w:val="auto"/>
              </w:rPr>
            </w:pPr>
            <w:r>
              <w:rPr>
                <w:rFonts w:ascii="Arial" w:cs="Arial" w:eastAsia="Arial" w:hAnsi="Arial"/>
                <w:sz w:val="14"/>
                <w:szCs w:val="14"/>
                <w:color w:val="auto"/>
              </w:rPr>
              <w:t>Consolidated</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SDG&amp;E</w:t>
            </w: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SoCalGas</w:t>
            </w:r>
          </w:p>
        </w:tc>
      </w:tr>
      <w:tr>
        <w:trPr>
          <w:trHeight w:val="164"/>
        </w:trPr>
        <w:tc>
          <w:tcPr>
            <w:tcW w:w="20" w:type="dxa"/>
            <w:vAlign w:val="bottom"/>
          </w:tcPr>
          <w:p>
            <w:pPr>
              <w:spacing w:after="0"/>
              <w:rPr>
                <w:sz w:val="14"/>
                <w:szCs w:val="14"/>
                <w:color w:val="auto"/>
              </w:rPr>
            </w:pPr>
          </w:p>
        </w:tc>
        <w:tc>
          <w:tcPr>
            <w:tcW w:w="4200" w:type="dxa"/>
            <w:vAlign w:val="bottom"/>
          </w:tcPr>
          <w:p>
            <w:pPr>
              <w:spacing w:after="0" w:line="164" w:lineRule="exact"/>
              <w:rPr>
                <w:sz w:val="20"/>
                <w:szCs w:val="20"/>
                <w:color w:val="auto"/>
              </w:rPr>
            </w:pPr>
            <w:r>
              <w:rPr>
                <w:rFonts w:ascii="Arial" w:cs="Arial" w:eastAsia="Arial" w:hAnsi="Arial"/>
                <w:sz w:val="16"/>
                <w:szCs w:val="16"/>
                <w:color w:val="auto"/>
              </w:rPr>
              <w:t>Unrestricted cash and cash equivalents</w:t>
            </w:r>
          </w:p>
        </w:tc>
        <w:tc>
          <w:tcPr>
            <w:tcW w:w="2860" w:type="dxa"/>
            <w:vAlign w:val="bottom"/>
          </w:tcPr>
          <w:p>
            <w:pPr>
              <w:jc w:val="right"/>
              <w:ind w:right="1305"/>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404</w:t>
            </w:r>
          </w:p>
        </w:tc>
        <w:tc>
          <w:tcPr>
            <w:tcW w:w="44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139</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64" w:lineRule="exact"/>
              <w:rPr>
                <w:sz w:val="20"/>
                <w:szCs w:val="20"/>
                <w:color w:val="auto"/>
              </w:rPr>
            </w:pPr>
            <w:r>
              <w:rPr>
                <w:rFonts w:ascii="Arial" w:cs="Arial" w:eastAsia="Arial" w:hAnsi="Arial"/>
                <w:sz w:val="16"/>
                <w:szCs w:val="16"/>
                <w:color w:val="auto"/>
              </w:rPr>
              <w:t>70</w:t>
            </w:r>
          </w:p>
        </w:tc>
      </w:tr>
      <w:tr>
        <w:trPr>
          <w:trHeight w:val="195"/>
        </w:trPr>
        <w:tc>
          <w:tcPr>
            <w:tcW w:w="4220" w:type="dxa"/>
            <w:vAlign w:val="bottom"/>
            <w:gridSpan w:val="2"/>
          </w:tcPr>
          <w:p>
            <w:pPr>
              <w:spacing w:after="0"/>
              <w:rPr>
                <w:sz w:val="20"/>
                <w:szCs w:val="20"/>
                <w:color w:val="auto"/>
              </w:rPr>
            </w:pPr>
            <w:r>
              <w:rPr>
                <w:rFonts w:ascii="Arial" w:cs="Arial" w:eastAsia="Arial" w:hAnsi="Arial"/>
                <w:sz w:val="16"/>
                <w:szCs w:val="16"/>
                <w:color w:val="auto"/>
              </w:rPr>
              <w:t>Available unused credit(1)</w:t>
            </w:r>
          </w:p>
        </w:tc>
        <w:tc>
          <w:tcPr>
            <w:tcW w:w="2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3,477</w:t>
            </w:r>
          </w:p>
        </w:tc>
        <w:tc>
          <w:tcPr>
            <w:tcW w:w="4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421</w:t>
            </w:r>
          </w:p>
        </w:tc>
        <w:tc>
          <w:tcPr>
            <w:tcW w:w="4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right="120" w:hanging="389"/>
        <w:spacing w:after="0" w:line="260" w:lineRule="auto"/>
        <w:tabs>
          <w:tab w:leader="none" w:pos="620"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6 of the Notes to Condensed Consolidated Financial Statements herein, are limited to $658 million for each utility and $877 million in total. SDG&amp;E’s available funds reflect variable-rate demand notes outstanding of $237 million supported by the line. SoCalGas' availability reflects the impact of SDG&amp;E’s use of the combined credit available on the line.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security issuances, combined with current cash balances, will be adequate to:</w:t>
      </w:r>
    </w:p>
    <w:p>
      <w:pPr>
        <w:spacing w:after="0" w:line="170" w:lineRule="exact"/>
        <w:rPr>
          <w:sz w:val="20"/>
          <w:szCs w:val="20"/>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5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March 2012, Sempra Energy publicly offered and sold $600 million of 2.3-percent notes maturing in 2017, and SDG&amp;E publicly offered and sold $250 million of 4.3-percent first mortgage bonds maturing in 2042. Sempra Energy and SDG&amp;E issued long-term debt in 2011 in the aggregate principal amounts of $800 million and $600 million, respectively. Changing economic conditions could affect the availability and cost of both short-term and long-term</w:t>
      </w:r>
    </w:p>
    <w:p>
      <w:pPr>
        <w:sectPr>
          <w:pgSz w:w="11900" w:h="16838" w:orient="portrait"/>
          <w:cols w:equalWidth="0" w:num="1">
            <w:col w:w="11420"/>
          </w:cols>
          <w:pgMar w:left="240" w:top="119" w:right="239" w:bottom="0" w:gutter="0" w:footer="0" w:header="0"/>
          <w:type w:val="continuous"/>
        </w:sectPr>
      </w:pPr>
    </w:p>
    <w:bookmarkStart w:id="61" w:name="page62"/>
    <w:bookmarkEnd w:id="61"/>
    <w:p>
      <w:pPr>
        <w:ind w:right="120"/>
        <w:spacing w:after="0" w:line="276" w:lineRule="auto"/>
        <w:rPr>
          <w:sz w:val="20"/>
          <w:szCs w:val="20"/>
          <w:color w:val="auto"/>
        </w:rPr>
      </w:pPr>
      <w:r>
        <w:rPr>
          <w:rFonts w:ascii="Arial" w:cs="Arial" w:eastAsia="Arial" w:hAnsi="Arial"/>
          <w:sz w:val="17"/>
          <w:szCs w:val="17"/>
          <w:color w:val="auto"/>
        </w:rPr>
        <w:t>financing. If cash flows from operations were to be significantly reduced or we were unable to borrow under acceptable terms, we would reduce or postpone discretionary capital expenditures and investments in new businesses. If these measures were necessary, they would primarily impact certain of our Sempra International and Sempra U.S. Gas &amp; Power businesses before we would reduce funds necessary for the ongoing needs of the California Utilities, and secondarily our South American utilities. We continuously monitor our ability to finance the needs of our operating, investing and financing activities in a manner consistent with our intention to maintain strong, investment-grade credit ratings and capital structure.</w:t>
      </w:r>
    </w:p>
    <w:p>
      <w:pPr>
        <w:spacing w:after="0" w:line="1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three separate transactions during 2010 and one in early 2011, we and RBS sold substantially all of the businesses and assets of our joint-venture partnership that comprised our commodities-marketing businesses. Distributions from the partnership in 2011 were $623 million. The investment balance of $126 million at March 31, 2012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are providing transitional back-up guarantees, a few of which may continue for a prolonged period of time. Either RBS or JP Morgan Chase &amp; Co., one of the buyers’ parties in the sales transactions, has fully indemnified us for any claims or losses in connection with the related transactions.</w:t>
      </w:r>
    </w:p>
    <w:p>
      <w:pPr>
        <w:spacing w:after="0" w:line="1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provide additional information about RBS Sempra Commodities and the sales transactions and guarantees in Notes 4, 6 and 10 of the Notes to Condensed Consolidated Financial Statements herein and in Notes 3, 4, 5 and 15 of the Notes to Consolidated Financial Statements in the Annual Report.</w:t>
      </w:r>
    </w:p>
    <w:p>
      <w:pPr>
        <w:spacing w:after="0" w:line="12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At March 31, 2012, our cash and cash equivalents held in foreign jurisdictions that are unavailable to fund domestic operations unless repatriated were approximately $160 million. We intend for funds associated with accumulated foreign earnings through March 31, 2012 to remain indefinitely in our foreign subsidiaries to fund their operations. We are currently considering a plan to repatriate future earnings from certain foreign operations beginning in 2013.</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At the California Utilities, funding requirements are generally recoverable in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0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SoCalGas expects that cash flows from operations and debt issuances will continue to be adequate to meet its capital expenditure requirements. In March 2011, Sempra Energy made a $200 million capital contribution to SDG&amp;E, and SDG&amp;E expects its cash flows from operations and debt issuances will be adequate to meet its future capital expenditure requirements.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SoCalGas declared and paid a $50 million common dividend in the first quarter of both 2012 and 2011. As a result of the increase in SoCalGas’ capital investment programs over the next few years, management expects SoCalGas’ dividends on common stock to be reduced, when compared to the dividends on common stock declared on an annual basis historically, or temporarily suspended over the next few years to maintain SoCalGas’ authorized capital structure during the periods of high capital investments.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SDG&amp;E’s large capital investment program over the past few years and the level of capital investment planned for 2012, SDG&amp;E does not expect to pay common dividends to Sempra Energy in 2012. However, due to the scheduled completion of construction of the Sunrise Powerlink transmission power line in 2012, SDG&amp;E expects to resume the declaration and payment of dividends on its common stock in 2013.</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projects at Chilquinta Energía and Luz del Sur to be funded by external borrowings and funds internally generated by Chilquinta Energía and Luz del Sur.</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projects in Mexico to be funded through a combination of funds internally generated by the Mexico businesses, project financing and partnering in joint ventures.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Sempra Renewables to require funds for the development of and investment in electric renewable energy projects. Projects at Sempra Renewables may be financed through a combination of operating cash flow, project financing, low-cost financing from the U.S. Department of Energy, U.S. Treasury Department cash grants, funds from the parent and partnering in joint ventures. The Sempra Renewables projects have planned in-service dates ranging from 2012 to 2016.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expect Sempra Natural Gas to require funding from the parent and external sources to fund projects and investments, including development and expansion of its natural gas storage projects.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flows from operations at Sempra Natural Gas are expected to decrease substantially since its contract with the DWR expired in September 2011, due to less favorable pricing on any replacement contracts obtained, and the sale of its El Dorado natural gas generation plant to SDG&amp;E in 2011. Also, Sempra Natural Gas may not be able to replace all of the lost revenue due to decreased market demand. Sales to the DWR comprised six percent of Sempra Energy’s revenues in 2011.</w:t>
      </w:r>
    </w:p>
    <w:p>
      <w:pPr>
        <w:sectPr>
          <w:pgSz w:w="11900" w:h="16838" w:orient="portrait"/>
          <w:cols w:equalWidth="0" w:num="1">
            <w:col w:w="11400"/>
          </w:cols>
          <w:pgMar w:left="240" w:top="125" w:right="259" w:bottom="0" w:gutter="0" w:footer="0" w:header="0"/>
        </w:sectPr>
      </w:pPr>
    </w:p>
    <w:bookmarkStart w:id="62" w:name="page63"/>
    <w:bookmarkEnd w:id="62"/>
    <w:p>
      <w:pPr>
        <w:ind w:right="100"/>
        <w:spacing w:after="0" w:line="279" w:lineRule="auto"/>
        <w:rPr>
          <w:sz w:val="20"/>
          <w:szCs w:val="20"/>
          <w:color w:val="auto"/>
        </w:rPr>
      </w:pPr>
      <w:r>
        <w:rPr>
          <w:rFonts w:ascii="Arial" w:cs="Arial" w:eastAsia="Arial" w:hAnsi="Arial"/>
          <w:sz w:val="17"/>
          <w:szCs w:val="17"/>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market price movements adversely affect the counterparty’s cost of replacement energy supplies if Sempra Natural Gas fails to deliver the contracted amounts. Sempra Natural Gas had no outstanding collateral requirements under such contracts at March 31, 2012.</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2012 Change</w:t>
            </w:r>
          </w:p>
        </w:tc>
        <w:tc>
          <w:tcPr>
            <w:tcW w:w="94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7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2440" w:type="dxa"/>
            <w:vAlign w:val="bottom"/>
          </w:tcPr>
          <w:p>
            <w:pPr>
              <w:jc w:val="right"/>
              <w:ind w:right="583"/>
              <w:spacing w:after="0" w:line="164" w:lineRule="exact"/>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tcPr>
          <w:p>
            <w:pPr>
              <w:jc w:val="right"/>
              <w:spacing w:after="0" w:line="164" w:lineRule="exact"/>
              <w:rPr>
                <w:sz w:val="20"/>
                <w:szCs w:val="20"/>
                <w:color w:val="auto"/>
              </w:rPr>
            </w:pPr>
            <w:r>
              <w:rPr>
                <w:rFonts w:ascii="Arial" w:cs="Arial" w:eastAsia="Arial" w:hAnsi="Arial"/>
                <w:sz w:val="16"/>
                <w:szCs w:val="16"/>
                <w:color w:val="auto"/>
              </w:rPr>
              <w:t>699</w:t>
            </w:r>
          </w:p>
        </w:tc>
        <w:tc>
          <w:tcPr>
            <w:tcW w:w="740" w:type="dxa"/>
            <w:vAlign w:val="bottom"/>
          </w:tcPr>
          <w:p>
            <w:pPr>
              <w:jc w:val="right"/>
              <w:ind w:right="279"/>
              <w:spacing w:after="0" w:line="164"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581"/>
              <w:spacing w:after="0" w:line="164" w:lineRule="exact"/>
              <w:rPr>
                <w:sz w:val="20"/>
                <w:szCs w:val="20"/>
                <w:color w:val="auto"/>
              </w:rPr>
            </w:pPr>
            <w:r>
              <w:rPr>
                <w:rFonts w:ascii="Arial" w:cs="Arial" w:eastAsia="Arial" w:hAnsi="Arial"/>
                <w:sz w:val="16"/>
                <w:szCs w:val="16"/>
                <w:color w:val="auto"/>
              </w:rPr>
              <w:t>(106)</w:t>
            </w:r>
          </w:p>
        </w:tc>
        <w:tc>
          <w:tcPr>
            <w:tcW w:w="940" w:type="dxa"/>
            <w:vAlign w:val="bottom"/>
            <w:tcBorders>
              <w:right w:val="single" w:sz="8" w:color="auto"/>
            </w:tcBorders>
          </w:tcPr>
          <w:p>
            <w:pPr>
              <w:ind w:left="200"/>
              <w:spacing w:after="0" w:line="164" w:lineRule="exact"/>
              <w:rPr>
                <w:sz w:val="20"/>
                <w:szCs w:val="20"/>
                <w:color w:val="auto"/>
              </w:rPr>
            </w:pPr>
            <w:r>
              <w:rPr>
                <w:rFonts w:ascii="Arial" w:cs="Arial" w:eastAsia="Arial" w:hAnsi="Arial"/>
                <w:sz w:val="16"/>
                <w:szCs w:val="16"/>
                <w:color w:val="auto"/>
              </w:rPr>
              <w:t>(13)%</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4" w:lineRule="exact"/>
              <w:rPr>
                <w:sz w:val="20"/>
                <w:szCs w:val="20"/>
                <w:color w:val="auto"/>
              </w:rPr>
            </w:pPr>
            <w:r>
              <w:rPr>
                <w:rFonts w:ascii="Arial" w:cs="Arial" w:eastAsia="Arial" w:hAnsi="Arial"/>
                <w:sz w:val="16"/>
                <w:szCs w:val="16"/>
                <w:color w:val="auto"/>
              </w:rPr>
              <w:t>805</w:t>
            </w:r>
          </w:p>
        </w:tc>
      </w:tr>
      <w:tr>
        <w:trPr>
          <w:trHeight w:val="176"/>
        </w:trPr>
        <w:tc>
          <w:tcPr>
            <w:tcW w:w="38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440" w:type="dxa"/>
            <w:vAlign w:val="bottom"/>
          </w:tcPr>
          <w:p>
            <w:pPr>
              <w:spacing w:after="0"/>
              <w:rPr>
                <w:sz w:val="15"/>
                <w:szCs w:val="15"/>
                <w:color w:val="auto"/>
              </w:rPr>
            </w:pPr>
          </w:p>
        </w:tc>
        <w:tc>
          <w:tcPr>
            <w:tcW w:w="5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266</w:t>
            </w:r>
          </w:p>
        </w:tc>
        <w:tc>
          <w:tcPr>
            <w:tcW w:w="740" w:type="dxa"/>
            <w:vAlign w:val="bottom"/>
          </w:tcPr>
          <w:p>
            <w:pPr>
              <w:spacing w:after="0"/>
              <w:rPr>
                <w:sz w:val="15"/>
                <w:szCs w:val="15"/>
                <w:color w:val="auto"/>
              </w:rPr>
            </w:pPr>
          </w:p>
        </w:tc>
        <w:tc>
          <w:tcPr>
            <w:tcW w:w="1440" w:type="dxa"/>
            <w:vAlign w:val="bottom"/>
          </w:tcPr>
          <w:p>
            <w:pPr>
              <w:jc w:val="right"/>
              <w:ind w:right="581"/>
              <w:spacing w:after="0" w:line="176" w:lineRule="exact"/>
              <w:rPr>
                <w:sz w:val="20"/>
                <w:szCs w:val="20"/>
                <w:color w:val="auto"/>
              </w:rPr>
            </w:pPr>
            <w:r>
              <w:rPr>
                <w:rFonts w:ascii="Arial" w:cs="Arial" w:eastAsia="Arial" w:hAnsi="Arial"/>
                <w:sz w:val="16"/>
                <w:szCs w:val="16"/>
                <w:color w:val="auto"/>
              </w:rPr>
              <w:t>(235)</w:t>
            </w:r>
          </w:p>
        </w:tc>
        <w:tc>
          <w:tcPr>
            <w:tcW w:w="940" w:type="dxa"/>
            <w:vAlign w:val="bottom"/>
            <w:tcBorders>
              <w:right w:val="single" w:sz="8" w:color="auto"/>
            </w:tcBorders>
          </w:tcPr>
          <w:p>
            <w:pPr>
              <w:ind w:left="200"/>
              <w:spacing w:after="0" w:line="176" w:lineRule="exact"/>
              <w:rPr>
                <w:sz w:val="20"/>
                <w:szCs w:val="20"/>
                <w:color w:val="auto"/>
              </w:rPr>
            </w:pPr>
            <w:r>
              <w:rPr>
                <w:rFonts w:ascii="Arial" w:cs="Arial" w:eastAsia="Arial" w:hAnsi="Arial"/>
                <w:sz w:val="16"/>
                <w:szCs w:val="16"/>
                <w:color w:val="auto"/>
              </w:rPr>
              <w:t>(47)</w:t>
            </w:r>
          </w:p>
        </w:tc>
        <w:tc>
          <w:tcPr>
            <w:tcW w:w="5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501</w:t>
            </w:r>
          </w:p>
        </w:tc>
      </w:tr>
      <w:tr>
        <w:trPr>
          <w:trHeight w:val="194"/>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44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78</w:t>
            </w:r>
          </w:p>
        </w:tc>
        <w:tc>
          <w:tcPr>
            <w:tcW w:w="94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color w:val="auto"/>
              </w:rPr>
              <w:t>21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decreased in 2012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$300 million of funds received in 2011 from a wildfire litigation settlement, which is offset by an increase in restricted cash in cash flows from investing activities;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$23 million increase in settlement payments in 2012 for wildfire claims;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$130 million settlement payment in 2011 related to energy crisis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$120 million decrease in accounts receivable in 2012, primarily related to SoCalGas.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decreased in 2012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$300 million of funds received in 2011 from a wildfire litigation settlement, which is offset by an increase in restricted cash in cash flows from investing activities;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$23 million increase in settlement payments in 2012 for wildfire claims;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$90 million higher net income, adjusted for noncash items included in earnings, in 2012 compared to 2011, primarily due to an increase in deferred income taxes related to regulatory balancing accounts and temporary differences in the financial and tax basis of depreciable and amortizable assets.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increased in 2012 primarily due to:</w:t>
      </w:r>
    </w:p>
    <w:p>
      <w:pPr>
        <w:spacing w:after="0" w:line="221" w:lineRule="exact"/>
        <w:rPr>
          <w:sz w:val="20"/>
          <w:szCs w:val="20"/>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 $110 million decrease in accounts receivable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$29 million lower net income, adjusted for noncash items included in earnings, in 2012 compared to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the three months ended March 31, 2012.</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406"/>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ind w:left="580"/>
              <w:spacing w:after="0"/>
              <w:rPr>
                <w:sz w:val="20"/>
                <w:szCs w:val="20"/>
                <w:color w:val="auto"/>
              </w:rPr>
            </w:pPr>
            <w:r>
              <w:rPr>
                <w:rFonts w:ascii="Arial" w:cs="Arial" w:eastAsia="Arial" w:hAnsi="Arial"/>
                <w:sz w:val="14"/>
                <w:szCs w:val="14"/>
                <w:color w:val="auto"/>
                <w:w w:val="98"/>
              </w:rPr>
              <w:t>Pension</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186"/>
              <w:spacing w:after="0"/>
              <w:rPr>
                <w:sz w:val="20"/>
                <w:szCs w:val="20"/>
                <w:color w:val="auto"/>
              </w:rPr>
            </w:pPr>
            <w:r>
              <w:rPr>
                <w:rFonts w:ascii="Arial" w:cs="Arial" w:eastAsia="Arial" w:hAnsi="Arial"/>
                <w:sz w:val="14"/>
                <w:szCs w:val="14"/>
                <w:color w:val="auto"/>
              </w:rPr>
              <w:t>Postretirement</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40" w:type="dxa"/>
            <w:vAlign w:val="bottom"/>
            <w:tcBorders>
              <w:bottom w:val="single" w:sz="8" w:color="auto"/>
            </w:tcBorders>
            <w:gridSpan w:val="2"/>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580"/>
              <w:spacing w:after="0" w:line="157" w:lineRule="exact"/>
              <w:rPr>
                <w:sz w:val="20"/>
                <w:szCs w:val="20"/>
                <w:color w:val="auto"/>
              </w:rPr>
            </w:pPr>
            <w:r>
              <w:rPr>
                <w:rFonts w:ascii="Arial" w:cs="Arial" w:eastAsia="Arial" w:hAnsi="Arial"/>
                <w:sz w:val="14"/>
                <w:szCs w:val="14"/>
                <w:color w:val="auto"/>
                <w:w w:val="98"/>
              </w:rPr>
              <w:t>Benefits</w:t>
            </w:r>
          </w:p>
        </w:tc>
        <w:tc>
          <w:tcPr>
            <w:tcW w:w="1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06"/>
              <w:spacing w:after="0" w:line="157" w:lineRule="exact"/>
              <w:rPr>
                <w:sz w:val="20"/>
                <w:szCs w:val="20"/>
                <w:color w:val="auto"/>
              </w:rPr>
            </w:pPr>
            <w:r>
              <w:rPr>
                <w:rFonts w:ascii="Arial" w:cs="Arial" w:eastAsia="Arial" w:hAnsi="Arial"/>
                <w:sz w:val="14"/>
                <w:szCs w:val="14"/>
                <w:color w:val="auto"/>
              </w:rPr>
              <w:t>Benefits</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40" w:type="dxa"/>
            <w:vAlign w:val="bottom"/>
            <w:gridSpan w:val="2"/>
          </w:tcPr>
          <w:p>
            <w:pPr>
              <w:spacing w:after="0" w:line="164" w:lineRule="exact"/>
              <w:rPr>
                <w:sz w:val="20"/>
                <w:szCs w:val="20"/>
                <w:color w:val="auto"/>
              </w:rPr>
            </w:pPr>
            <w:r>
              <w:rPr>
                <w:rFonts w:ascii="Arial" w:cs="Arial" w:eastAsia="Arial" w:hAnsi="Arial"/>
                <w:sz w:val="16"/>
                <w:szCs w:val="16"/>
                <w:color w:val="auto"/>
              </w:rPr>
              <w:t>Sempra Energy Consolidated</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ind w:right="763"/>
              <w:spacing w:after="0" w:line="164"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line="164" w:lineRule="exact"/>
              <w:rPr>
                <w:sz w:val="20"/>
                <w:szCs w:val="20"/>
                <w:color w:val="auto"/>
              </w:rPr>
            </w:pPr>
            <w:r>
              <w:rPr>
                <w:rFonts w:ascii="Arial" w:cs="Arial" w:eastAsia="Arial" w:hAnsi="Arial"/>
                <w:sz w:val="16"/>
                <w:szCs w:val="16"/>
                <w:color w:val="auto"/>
              </w:rPr>
              <w:t>10</w:t>
            </w:r>
          </w:p>
        </w:tc>
        <w:tc>
          <w:tcPr>
            <w:tcW w:w="6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line="164" w:lineRule="exact"/>
              <w:rPr>
                <w:sz w:val="20"/>
                <w:szCs w:val="20"/>
                <w:color w:val="auto"/>
              </w:rPr>
            </w:pPr>
            <w:r>
              <w:rPr>
                <w:rFonts w:ascii="Arial" w:cs="Arial" w:eastAsia="Arial" w:hAnsi="Arial"/>
                <w:sz w:val="16"/>
                <w:szCs w:val="16"/>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6"/>
        </w:trPr>
        <w:tc>
          <w:tcPr>
            <w:tcW w:w="4840" w:type="dxa"/>
            <w:vAlign w:val="bottom"/>
            <w:gridSpan w:val="2"/>
          </w:tcPr>
          <w:p>
            <w:pPr>
              <w:spacing w:after="0"/>
              <w:rPr>
                <w:sz w:val="20"/>
                <w:szCs w:val="20"/>
                <w:color w:val="auto"/>
              </w:rPr>
            </w:pPr>
            <w:r>
              <w:rPr>
                <w:rFonts w:ascii="Arial" w:cs="Arial" w:eastAsia="Arial" w:hAnsi="Arial"/>
                <w:sz w:val="20"/>
                <w:szCs w:val="20"/>
                <w:color w:val="auto"/>
              </w:rPr>
              <w:t>CASH FLOWS FROM INVESTING ACTIVITIES</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2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CASH USED IN INVESTING ACTIVITIES</w:t>
            </w:r>
          </w:p>
        </w:tc>
        <w:tc>
          <w:tcPr>
            <w:tcW w:w="820" w:type="dxa"/>
            <w:vAlign w:val="bottom"/>
            <w:shd w:val="clear" w:color="auto" w:fill="C0C0C0"/>
          </w:tcPr>
          <w:p>
            <w:pPr>
              <w:spacing w:after="0"/>
              <w:rPr>
                <w:sz w:val="13"/>
                <w:szCs w:val="13"/>
                <w:color w:val="auto"/>
              </w:rPr>
            </w:pPr>
          </w:p>
        </w:tc>
        <w:tc>
          <w:tcPr>
            <w:tcW w:w="1080" w:type="dxa"/>
            <w:vAlign w:val="bottom"/>
            <w:tcBorders>
              <w:right w:val="single" w:sz="8" w:color="C0C0C0"/>
            </w:tcBorders>
            <w:shd w:val="clear" w:color="auto" w:fill="C0C0C0"/>
          </w:tcPr>
          <w:p>
            <w:pPr>
              <w:spacing w:after="0"/>
              <w:rPr>
                <w:sz w:val="13"/>
                <w:szCs w:val="13"/>
                <w:color w:val="auto"/>
              </w:rPr>
            </w:pPr>
          </w:p>
        </w:tc>
        <w:tc>
          <w:tcPr>
            <w:tcW w:w="1100" w:type="dxa"/>
            <w:vAlign w:val="bottom"/>
            <w:shd w:val="clear" w:color="auto" w:fill="C0C0C0"/>
          </w:tcPr>
          <w:p>
            <w:pPr>
              <w:spacing w:after="0"/>
              <w:rPr>
                <w:sz w:val="13"/>
                <w:szCs w:val="13"/>
                <w:color w:val="auto"/>
              </w:rPr>
            </w:pPr>
          </w:p>
        </w:tc>
        <w:tc>
          <w:tcPr>
            <w:tcW w:w="1120" w:type="dxa"/>
            <w:vAlign w:val="bottom"/>
            <w:shd w:val="clear" w:color="auto" w:fill="C0C0C0"/>
          </w:tcPr>
          <w:p>
            <w:pPr>
              <w:spacing w:after="0"/>
              <w:rPr>
                <w:sz w:val="13"/>
                <w:szCs w:val="13"/>
                <w:color w:val="auto"/>
              </w:rPr>
            </w:pPr>
          </w:p>
        </w:tc>
        <w:tc>
          <w:tcPr>
            <w:tcW w:w="660" w:type="dxa"/>
            <w:vAlign w:val="bottom"/>
            <w:shd w:val="clear" w:color="auto" w:fill="C0C0C0"/>
          </w:tcPr>
          <w:p>
            <w:pPr>
              <w:spacing w:after="0"/>
              <w:rPr>
                <w:sz w:val="13"/>
                <w:szCs w:val="13"/>
                <w:color w:val="auto"/>
              </w:rPr>
            </w:pPr>
          </w:p>
        </w:tc>
        <w:tc>
          <w:tcPr>
            <w:tcW w:w="240" w:type="dxa"/>
            <w:vAlign w:val="bottom"/>
            <w:tcBorders>
              <w:right w:val="single" w:sz="8" w:color="C0C0C0"/>
            </w:tcBorders>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52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20" w:type="dxa"/>
            <w:vAlign w:val="bottom"/>
            <w:shd w:val="clear" w:color="auto" w:fill="C0C0C0"/>
          </w:tcPr>
          <w:p>
            <w:pPr>
              <w:spacing w:after="0"/>
              <w:rPr>
                <w:sz w:val="14"/>
                <w:szCs w:val="14"/>
                <w:color w:val="auto"/>
              </w:rPr>
            </w:pPr>
          </w:p>
        </w:tc>
        <w:tc>
          <w:tcPr>
            <w:tcW w:w="1080" w:type="dxa"/>
            <w:vAlign w:val="bottom"/>
            <w:tcBorders>
              <w:right w:val="single" w:sz="8" w:color="C0C0C0"/>
            </w:tcBorders>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c>
          <w:tcPr>
            <w:tcW w:w="240" w:type="dxa"/>
            <w:vAlign w:val="bottom"/>
            <w:tcBorders>
              <w:right w:val="single" w:sz="8" w:color="C0C0C0"/>
            </w:tcBorders>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2012 Change</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8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right"/>
              <w:spacing w:after="0" w:line="164" w:lineRule="exact"/>
              <w:rPr>
                <w:sz w:val="20"/>
                <w:szCs w:val="20"/>
                <w:color w:val="auto"/>
              </w:rPr>
            </w:pPr>
            <w:r>
              <w:rPr>
                <w:rFonts w:ascii="Arial" w:cs="Arial" w:eastAsia="Arial" w:hAnsi="Arial"/>
                <w:sz w:val="16"/>
                <w:szCs w:val="16"/>
                <w:color w:val="auto"/>
              </w:rPr>
              <w:t>(859)</w:t>
            </w:r>
          </w:p>
        </w:tc>
        <w:tc>
          <w:tcPr>
            <w:tcW w:w="1100" w:type="dxa"/>
            <w:vAlign w:val="bottom"/>
          </w:tcPr>
          <w:p>
            <w:pPr>
              <w:jc w:val="right"/>
              <w:ind w:right="643"/>
              <w:spacing w:after="0" w:line="164"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60"/>
              <w:spacing w:after="0" w:line="164" w:lineRule="exact"/>
              <w:rPr>
                <w:sz w:val="20"/>
                <w:szCs w:val="20"/>
                <w:color w:val="auto"/>
              </w:rPr>
            </w:pPr>
            <w:r>
              <w:rPr>
                <w:rFonts w:ascii="Arial" w:cs="Arial" w:eastAsia="Arial" w:hAnsi="Arial"/>
                <w:sz w:val="16"/>
                <w:szCs w:val="16"/>
                <w:color w:val="auto"/>
              </w:rPr>
              <w:t>103</w:t>
            </w:r>
          </w:p>
        </w:tc>
        <w:tc>
          <w:tcPr>
            <w:tcW w:w="660" w:type="dxa"/>
            <w:vAlign w:val="bottom"/>
          </w:tcPr>
          <w:p>
            <w:pPr>
              <w:jc w:val="right"/>
              <w:spacing w:after="0" w:line="164" w:lineRule="exact"/>
              <w:rPr>
                <w:sz w:val="20"/>
                <w:szCs w:val="20"/>
                <w:color w:val="auto"/>
              </w:rPr>
            </w:pPr>
            <w:r>
              <w:rPr>
                <w:rFonts w:ascii="Arial" w:cs="Arial" w:eastAsia="Arial" w:hAnsi="Arial"/>
                <w:sz w:val="16"/>
                <w:szCs w:val="16"/>
                <w:color w:val="auto"/>
              </w:rPr>
              <w:t>14 %</w:t>
            </w:r>
          </w:p>
        </w:tc>
        <w:tc>
          <w:tcPr>
            <w:tcW w:w="240" w:type="dxa"/>
            <w:vAlign w:val="bottom"/>
            <w:tcBorders>
              <w:right w:val="single" w:sz="8" w:color="auto"/>
            </w:tcBorders>
          </w:tcPr>
          <w:p>
            <w:pPr>
              <w:spacing w:after="0"/>
              <w:rPr>
                <w:sz w:val="14"/>
                <w:szCs w:val="14"/>
                <w:color w:val="auto"/>
              </w:rPr>
            </w:pPr>
          </w:p>
        </w:tc>
        <w:tc>
          <w:tcPr>
            <w:tcW w:w="1040" w:type="dxa"/>
            <w:vAlign w:val="bottom"/>
          </w:tcPr>
          <w:p>
            <w:pPr>
              <w:jc w:val="right"/>
              <w:ind w:right="566"/>
              <w:spacing w:after="0" w:line="164"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64" w:lineRule="exact"/>
              <w:rPr>
                <w:sz w:val="20"/>
                <w:szCs w:val="20"/>
                <w:color w:val="auto"/>
              </w:rPr>
            </w:pPr>
            <w:r>
              <w:rPr>
                <w:rFonts w:ascii="Arial" w:cs="Arial" w:eastAsia="Arial" w:hAnsi="Arial"/>
                <w:sz w:val="16"/>
                <w:szCs w:val="16"/>
                <w:color w:val="auto"/>
              </w:rPr>
              <w:t>(756)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820" w:type="dxa"/>
            <w:vAlign w:val="bottom"/>
          </w:tcPr>
          <w:p>
            <w:pPr>
              <w:spacing w:after="0"/>
              <w:rPr>
                <w:sz w:val="15"/>
                <w:szCs w:val="15"/>
                <w:color w:val="auto"/>
              </w:rPr>
            </w:pPr>
          </w:p>
        </w:tc>
        <w:tc>
          <w:tcPr>
            <w:tcW w:w="108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(399)</w:t>
            </w:r>
          </w:p>
        </w:tc>
        <w:tc>
          <w:tcPr>
            <w:tcW w:w="1100" w:type="dxa"/>
            <w:vAlign w:val="bottom"/>
          </w:tcPr>
          <w:p>
            <w:pPr>
              <w:spacing w:after="0"/>
              <w:rPr>
                <w:sz w:val="15"/>
                <w:szCs w:val="15"/>
                <w:color w:val="auto"/>
              </w:rPr>
            </w:pPr>
          </w:p>
        </w:tc>
        <w:tc>
          <w:tcPr>
            <w:tcW w:w="1120" w:type="dxa"/>
            <w:vAlign w:val="bottom"/>
          </w:tcPr>
          <w:p>
            <w:pPr>
              <w:jc w:val="right"/>
              <w:ind w:right="620"/>
              <w:spacing w:after="0" w:line="176" w:lineRule="exact"/>
              <w:rPr>
                <w:sz w:val="20"/>
                <w:szCs w:val="20"/>
                <w:color w:val="auto"/>
              </w:rPr>
            </w:pPr>
            <w:r>
              <w:rPr>
                <w:rFonts w:ascii="Arial" w:cs="Arial" w:eastAsia="Arial" w:hAnsi="Arial"/>
                <w:sz w:val="16"/>
                <w:szCs w:val="16"/>
                <w:color w:val="auto"/>
              </w:rPr>
              <w:t>(153)</w:t>
            </w:r>
          </w:p>
        </w:tc>
        <w:tc>
          <w:tcPr>
            <w:tcW w:w="66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(28)</w:t>
            </w:r>
          </w:p>
        </w:tc>
        <w:tc>
          <w:tcPr>
            <w:tcW w:w="24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(90)</w:t>
            </w: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ectPr>
          <w:pgSz w:w="11900" w:h="16838" w:orient="portrait"/>
          <w:cols w:equalWidth="0" w:num="1">
            <w:col w:w="11420"/>
          </w:cols>
          <w:pgMar w:left="240" w:top="125" w:right="239" w:bottom="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at Sempra Energy increased in 2012 primarily due to:</w:t>
      </w:r>
    </w:p>
    <w:p>
      <w:pPr>
        <w:sectPr>
          <w:pgSz w:w="11900" w:h="16838" w:orient="portrait"/>
          <w:cols w:equalWidth="0" w:num="1">
            <w:col w:w="11420"/>
          </w:cols>
          <w:pgMar w:left="240" w:top="125" w:right="239" w:bottom="0" w:gutter="0" w:footer="0" w:header="0"/>
          <w:type w:val="continuous"/>
        </w:sectPr>
      </w:pPr>
    </w:p>
    <w:bookmarkStart w:id="63" w:name="page64"/>
    <w:bookmarkEnd w:id="63"/>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$204 million increase in capital expenditures;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$99 million in payments in 2011 by SDG&amp;E for claims related to wildfire litigation using restricted funds received from a wildfire litigation settlement in 2010;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$43 million invested in Flat Ridge 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$300 million increase in SDG&amp;E’s restricted cash due to funds received in 2011 from a wildfire litigation settlement.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SDG&amp;E decreased in 2012 primarily due to:</w:t>
      </w:r>
    </w:p>
    <w:p>
      <w:pPr>
        <w:spacing w:after="0" w:line="221" w:lineRule="exact"/>
        <w:rPr>
          <w:sz w:val="20"/>
          <w:szCs w:val="20"/>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 $300 million increase in restricted cash due to funds received from a wildfire litigation settlement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$50 million increase in capital expenditures;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$99 million in payments in 2011 for claims related to wildfire litigation using restricted funds received from a wildfire litigation settlement.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used in investing activities at SoCalGas decreased in 2012 primarily due to an $87 million lower increase in the amount advanced to Sempra Energy in 2012 as compared to 2011.</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CONSTRUCTION EXPENDITURES AND INVESTMENTS</w:t>
      </w:r>
    </w:p>
    <w:p>
      <w:pPr>
        <w:spacing w:after="0" w:line="23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amounts and timing of capital expenditures are generally subject to approvals by the CPUC, the Federal Energy Regulatory Commission (FERC) and other regulatory bodies. However, in 2012, we expect to make capital expenditures and investments of approximately $3.1 billion. These expenditures include</w:t>
      </w:r>
    </w:p>
    <w:p>
      <w:pPr>
        <w:spacing w:after="0" w:line="124" w:lineRule="exact"/>
        <w:rPr>
          <w:sz w:val="20"/>
          <w:szCs w:val="20"/>
          <w:color w:val="auto"/>
        </w:rPr>
      </w:pPr>
    </w:p>
    <w:p>
      <w:pPr>
        <w:ind w:left="340" w:hanging="188"/>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$2.1 billion at the California Utilities for capital projects and plant improvements ($1.4 billion at SDG&amp;E and $710 million at SoCalGas)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 billion at our other subsidiaries for capital projects in South America, renewable energy generation projects, and development of natural gas storage facilities and pipelines.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2012, the California Utilities expect their capital expenditures and investments to include</w:t>
      </w:r>
    </w:p>
    <w:p>
      <w:pPr>
        <w:spacing w:after="0" w:line="225" w:lineRule="exact"/>
        <w:rPr>
          <w:sz w:val="20"/>
          <w:szCs w:val="20"/>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$630 million for improvements to SDG&amp;E’s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$170 million at SDG&amp;E for the Sunrise Powerlink transmission line and substation expansions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$200 million for improvements to SDG&amp;E’s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$90 million for SDG&amp;E’s electric generation plants and equipment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$285 million for SDG&amp;E’s renewable energy projects</w:t>
      </w:r>
    </w:p>
    <w:p>
      <w:pPr>
        <w:spacing w:after="0" w:line="252" w:lineRule="exact"/>
        <w:rPr>
          <w:rFonts w:ascii="Arial" w:cs="Arial" w:eastAsia="Arial" w:hAnsi="Arial"/>
          <w:sz w:val="18"/>
          <w:szCs w:val="18"/>
          <w:color w:val="auto"/>
        </w:rPr>
      </w:pPr>
    </w:p>
    <w:p>
      <w:pPr>
        <w:ind w:right="400" w:firstLine="152"/>
        <w:spacing w:after="0" w:line="581" w:lineRule="auto"/>
        <w:tabs>
          <w:tab w:leader="none" w:pos="324" w:val="left"/>
        </w:tabs>
        <w:numPr>
          <w:ilvl w:val="0"/>
          <w:numId w:val="79"/>
        </w:numPr>
        <w:rPr>
          <w:rFonts w:ascii="Arial" w:cs="Arial" w:eastAsia="Arial" w:hAnsi="Arial"/>
          <w:sz w:val="16"/>
          <w:szCs w:val="16"/>
          <w:color w:val="auto"/>
        </w:rPr>
      </w:pPr>
      <w:r>
        <w:rPr>
          <w:rFonts w:ascii="Arial" w:cs="Arial" w:eastAsia="Arial" w:hAnsi="Arial"/>
          <w:sz w:val="16"/>
          <w:szCs w:val="16"/>
          <w:color w:val="auto"/>
        </w:rPr>
        <w:t>$710 million at SoCalGas for improvements to distribution and transmission systems and storage facilities, and for advanced metering infrastructure The California Utilities expect to finance these expenditures and investments with cash flows from operations, cash on hand and debt issuances.</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2012, the expected capital expenditures and investments of $1.0 billion at our other subsidiaries, net of anticipated project financing and joint venture structures, include</w:t>
      </w:r>
    </w:p>
    <w:p>
      <w:pPr>
        <w:spacing w:after="0" w:line="38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South American Utilities</w:t>
      </w:r>
    </w:p>
    <w:p>
      <w:pPr>
        <w:spacing w:after="0" w:line="205" w:lineRule="exact"/>
        <w:rPr>
          <w:sz w:val="20"/>
          <w:szCs w:val="20"/>
          <w:color w:val="auto"/>
        </w:rPr>
      </w:pPr>
    </w:p>
    <w:p>
      <w:pPr>
        <w:ind w:left="660" w:hanging="184"/>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approximately $100 million to $200 million for capital projects in South America, including approximately $70 million for the Santa Teresa hydroelectric power plant at Luz del Sur</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Sempra Renewables</w:t>
      </w:r>
    </w:p>
    <w:p>
      <w:pPr>
        <w:spacing w:after="0" w:line="205" w:lineRule="exact"/>
        <w:rPr>
          <w:sz w:val="20"/>
          <w:szCs w:val="20"/>
          <w:color w:val="auto"/>
        </w:rPr>
      </w:pPr>
    </w:p>
    <w:p>
      <w:pPr>
        <w:ind w:left="660" w:hanging="184"/>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approximately $400 million for investment in the first phase (150 MW) of Mesquite Solar, a solar project at our Mesquite Power plant near Arlington, Arizona</w:t>
      </w:r>
    </w:p>
    <w:p>
      <w:pPr>
        <w:spacing w:after="0" w:line="197"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approximately $100 million for investment in the second phase (approximately 150 MW) of Copper Mountain Solar, a solar project located near Boulder City, Nevada</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approximately $200 million for investment in other renewable energy projects</w:t>
      </w:r>
    </w:p>
    <w:p>
      <w:pPr>
        <w:sectPr>
          <w:pgSz w:w="11900" w:h="16838" w:orient="portrait"/>
          <w:cols w:equalWidth="0" w:num="1">
            <w:col w:w="11420"/>
          </w:cols>
          <w:pgMar w:left="240" w:top="341" w:right="239" w:bottom="0" w:gutter="0" w:footer="0" w:header="0"/>
        </w:sectPr>
      </w:pPr>
    </w:p>
    <w:bookmarkStart w:id="64" w:name="page65"/>
    <w:bookmarkEnd w:id="64"/>
    <w:p>
      <w:pPr>
        <w:ind w:left="500"/>
        <w:spacing w:after="0"/>
        <w:rPr>
          <w:sz w:val="20"/>
          <w:szCs w:val="20"/>
          <w:color w:val="auto"/>
        </w:rPr>
      </w:pPr>
      <w:r>
        <w:rPr>
          <w:rFonts w:ascii="Arial" w:cs="Arial" w:eastAsia="Arial" w:hAnsi="Arial"/>
          <w:sz w:val="20"/>
          <w:szCs w:val="20"/>
          <w:i w:val="1"/>
          <w:iCs w:val="1"/>
          <w:color w:val="auto"/>
        </w:rPr>
        <w:t>Sempra Natural Gas</w:t>
      </w:r>
    </w:p>
    <w:p>
      <w:pPr>
        <w:spacing w:after="0" w:line="205" w:lineRule="exact"/>
        <w:rPr>
          <w:sz w:val="20"/>
          <w:szCs w:val="20"/>
          <w:color w:val="auto"/>
        </w:rPr>
      </w:pPr>
    </w:p>
    <w:p>
      <w:pPr>
        <w:ind w:left="660" w:hanging="18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approximately $100 million for development of natural gas storage projects at Bay Gas and Mississippi Hub</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approximately $50 million to $100 million for other natural gas projects</w:t>
      </w:r>
    </w:p>
    <w:p>
      <w:pPr>
        <w:spacing w:after="0" w:line="25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level of capital expenditures and investments in the next few years may vary substantially and will depend on the cost and availability of financing, regulatory approvals, changes in U.S. federal tax law and business opportunities providing desirable rates of return. We intend to finance our capital expenditures in a manner that will maintain our strong investment-grade credit ratings and capital structure.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2012 Change</w:t>
            </w:r>
          </w:p>
        </w:tc>
        <w:tc>
          <w:tcPr>
            <w:tcW w:w="92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2011</w:t>
            </w:r>
          </w:p>
        </w:tc>
      </w:tr>
      <w:tr>
        <w:trPr>
          <w:trHeight w:val="164"/>
        </w:trPr>
        <w:tc>
          <w:tcPr>
            <w:tcW w:w="20" w:type="dxa"/>
            <w:vAlign w:val="bottom"/>
          </w:tcPr>
          <w:p>
            <w:pPr>
              <w:spacing w:after="0"/>
              <w:rPr>
                <w:sz w:val="14"/>
                <w:szCs w:val="14"/>
                <w:color w:val="auto"/>
              </w:rPr>
            </w:pPr>
          </w:p>
        </w:tc>
        <w:tc>
          <w:tcPr>
            <w:tcW w:w="37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2440" w:type="dxa"/>
            <w:vAlign w:val="bottom"/>
          </w:tcPr>
          <w:p>
            <w:pPr>
              <w:jc w:val="right"/>
              <w:ind w:right="583"/>
              <w:spacing w:after="0" w:line="164" w:lineRule="exact"/>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tcPr>
          <w:p>
            <w:pPr>
              <w:jc w:val="right"/>
              <w:spacing w:after="0" w:line="164" w:lineRule="exact"/>
              <w:rPr>
                <w:sz w:val="20"/>
                <w:szCs w:val="20"/>
                <w:color w:val="auto"/>
              </w:rPr>
            </w:pPr>
            <w:r>
              <w:rPr>
                <w:rFonts w:ascii="Arial" w:cs="Arial" w:eastAsia="Arial" w:hAnsi="Arial"/>
                <w:sz w:val="16"/>
                <w:szCs w:val="16"/>
                <w:color w:val="auto"/>
              </w:rPr>
              <w:t>310</w:t>
            </w:r>
          </w:p>
        </w:tc>
        <w:tc>
          <w:tcPr>
            <w:tcW w:w="740" w:type="dxa"/>
            <w:vAlign w:val="bottom"/>
          </w:tcPr>
          <w:p>
            <w:pPr>
              <w:jc w:val="right"/>
              <w:ind w:right="279"/>
              <w:spacing w:after="0" w:line="164"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641"/>
              <w:spacing w:after="0" w:line="164" w:lineRule="exact"/>
              <w:rPr>
                <w:sz w:val="20"/>
                <w:szCs w:val="20"/>
                <w:color w:val="auto"/>
              </w:rPr>
            </w:pPr>
            <w:r>
              <w:rPr>
                <w:rFonts w:ascii="Arial" w:cs="Arial" w:eastAsia="Arial" w:hAnsi="Arial"/>
                <w:sz w:val="16"/>
                <w:szCs w:val="16"/>
                <w:color w:val="auto"/>
              </w:rPr>
              <w:t>52</w:t>
            </w:r>
          </w:p>
        </w:tc>
        <w:tc>
          <w:tcPr>
            <w:tcW w:w="92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6"/>
                <w:szCs w:val="16"/>
                <w:color w:val="auto"/>
              </w:rPr>
              <w:t>20 %</w:t>
            </w:r>
          </w:p>
        </w:tc>
        <w:tc>
          <w:tcPr>
            <w:tcW w:w="500" w:type="dxa"/>
            <w:vAlign w:val="bottom"/>
          </w:tcPr>
          <w:p>
            <w:pPr>
              <w:jc w:val="right"/>
              <w:ind w:right="19"/>
              <w:spacing w:after="0" w:line="164" w:lineRule="exact"/>
              <w:rPr>
                <w:sz w:val="20"/>
                <w:szCs w:val="20"/>
                <w:color w:val="auto"/>
              </w:rPr>
            </w:pPr>
            <w:r>
              <w:rPr>
                <w:rFonts w:ascii="Arial" w:cs="Arial" w:eastAsia="Arial" w:hAnsi="Arial"/>
                <w:sz w:val="16"/>
                <w:szCs w:val="16"/>
                <w:color w:val="auto"/>
              </w:rPr>
              <w:t>$</w:t>
            </w:r>
          </w:p>
        </w:tc>
        <w:tc>
          <w:tcPr>
            <w:tcW w:w="1060" w:type="dxa"/>
            <w:vAlign w:val="bottom"/>
          </w:tcPr>
          <w:p>
            <w:pPr>
              <w:jc w:val="center"/>
              <w:ind w:left="621"/>
              <w:spacing w:after="0" w:line="164" w:lineRule="exact"/>
              <w:rPr>
                <w:sz w:val="20"/>
                <w:szCs w:val="20"/>
                <w:color w:val="auto"/>
              </w:rPr>
            </w:pPr>
            <w:r>
              <w:rPr>
                <w:rFonts w:ascii="Arial" w:cs="Arial" w:eastAsia="Arial" w:hAnsi="Arial"/>
                <w:sz w:val="16"/>
                <w:szCs w:val="16"/>
                <w:color w:val="auto"/>
              </w:rPr>
              <w:t>258</w:t>
            </w:r>
          </w:p>
        </w:tc>
      </w:tr>
      <w:tr>
        <w:trPr>
          <w:trHeight w:val="176"/>
        </w:trPr>
        <w:tc>
          <w:tcPr>
            <w:tcW w:w="38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440" w:type="dxa"/>
            <w:vAlign w:val="bottom"/>
          </w:tcPr>
          <w:p>
            <w:pPr>
              <w:spacing w:after="0"/>
              <w:rPr>
                <w:sz w:val="15"/>
                <w:szCs w:val="15"/>
                <w:color w:val="auto"/>
              </w:rPr>
            </w:pPr>
          </w:p>
        </w:tc>
        <w:tc>
          <w:tcPr>
            <w:tcW w:w="5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243</w:t>
            </w:r>
          </w:p>
        </w:tc>
        <w:tc>
          <w:tcPr>
            <w:tcW w:w="740" w:type="dxa"/>
            <w:vAlign w:val="bottom"/>
          </w:tcPr>
          <w:p>
            <w:pPr>
              <w:spacing w:after="0"/>
              <w:rPr>
                <w:sz w:val="15"/>
                <w:szCs w:val="15"/>
                <w:color w:val="auto"/>
              </w:rPr>
            </w:pPr>
          </w:p>
        </w:tc>
        <w:tc>
          <w:tcPr>
            <w:tcW w:w="1460" w:type="dxa"/>
            <w:vAlign w:val="bottom"/>
          </w:tcPr>
          <w:p>
            <w:pPr>
              <w:jc w:val="right"/>
              <w:ind w:right="641"/>
              <w:spacing w:after="0" w:line="176" w:lineRule="exact"/>
              <w:rPr>
                <w:sz w:val="20"/>
                <w:szCs w:val="20"/>
                <w:color w:val="auto"/>
              </w:rPr>
            </w:pPr>
            <w:r>
              <w:rPr>
                <w:rFonts w:ascii="Arial" w:cs="Arial" w:eastAsia="Arial" w:hAnsi="Arial"/>
                <w:sz w:val="16"/>
                <w:szCs w:val="16"/>
                <w:color w:val="auto"/>
              </w:rPr>
              <w:t>47</w:t>
            </w:r>
          </w:p>
        </w:tc>
        <w:tc>
          <w:tcPr>
            <w:tcW w:w="920" w:type="dxa"/>
            <w:vAlign w:val="bottom"/>
            <w:tcBorders>
              <w:right w:val="single" w:sz="8" w:color="auto"/>
            </w:tcBorders>
          </w:tcPr>
          <w:p>
            <w:pPr>
              <w:ind w:left="240"/>
              <w:spacing w:after="0" w:line="176" w:lineRule="exact"/>
              <w:rPr>
                <w:sz w:val="20"/>
                <w:szCs w:val="20"/>
                <w:color w:val="auto"/>
              </w:rPr>
            </w:pPr>
            <w:r>
              <w:rPr>
                <w:rFonts w:ascii="Arial" w:cs="Arial" w:eastAsia="Arial" w:hAnsi="Arial"/>
                <w:sz w:val="16"/>
                <w:szCs w:val="16"/>
                <w:color w:val="auto"/>
              </w:rPr>
              <w:t>24</w:t>
            </w:r>
          </w:p>
        </w:tc>
        <w:tc>
          <w:tcPr>
            <w:tcW w:w="500" w:type="dxa"/>
            <w:vAlign w:val="bottom"/>
          </w:tcPr>
          <w:p>
            <w:pPr>
              <w:spacing w:after="0"/>
              <w:rPr>
                <w:sz w:val="15"/>
                <w:szCs w:val="15"/>
                <w:color w:val="auto"/>
              </w:rPr>
            </w:pPr>
          </w:p>
        </w:tc>
        <w:tc>
          <w:tcPr>
            <w:tcW w:w="1060" w:type="dxa"/>
            <w:vAlign w:val="bottom"/>
          </w:tcPr>
          <w:p>
            <w:pPr>
              <w:jc w:val="center"/>
              <w:ind w:left="621"/>
              <w:spacing w:after="0" w:line="176" w:lineRule="exact"/>
              <w:rPr>
                <w:sz w:val="20"/>
                <w:szCs w:val="20"/>
                <w:color w:val="auto"/>
              </w:rPr>
            </w:pPr>
            <w:r>
              <w:rPr>
                <w:rFonts w:ascii="Arial" w:cs="Arial" w:eastAsia="Arial" w:hAnsi="Arial"/>
                <w:sz w:val="16"/>
                <w:szCs w:val="16"/>
                <w:color w:val="auto"/>
              </w:rPr>
              <w:t>196</w:t>
            </w:r>
          </w:p>
        </w:tc>
      </w:tr>
      <w:tr>
        <w:trPr>
          <w:trHeight w:val="194"/>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44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250</w:t>
            </w:r>
          </w:p>
        </w:tc>
        <w:tc>
          <w:tcPr>
            <w:tcW w:w="9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83</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color w:val="auto"/>
              </w:rPr>
              <w:t>(300)</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Sempra Energy increased in 2012 primarily due to:</w:t>
      </w:r>
    </w:p>
    <w:p>
      <w:pPr>
        <w:spacing w:after="0" w:line="221" w:lineRule="exact"/>
        <w:rPr>
          <w:sz w:val="20"/>
          <w:szCs w:val="20"/>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$205 million higher issuances of long-term debt;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$87 million higher long-term debt payments;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$32 million higher decrease in short-term debt;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$21 million increase in common dividends paid.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SDG&amp;E increased in 2012 primarily due to:</w:t>
      </w:r>
    </w:p>
    <w:p>
      <w:pPr>
        <w:spacing w:after="0" w:line="194" w:lineRule="exact"/>
        <w:rPr>
          <w:sz w:val="20"/>
          <w:szCs w:val="20"/>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$249 million higher issuances of long-term debt;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$200 million capital contribution from Sempra Energy in 2011.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by financing activities decreased in 2012 at SoCalGas due to a $250 million long-term debt payment in 2011.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credit ratings of Sempra Energy, SDG&amp;E and SoCalGas remained at investment grade levels during the first three months of 2012.</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ectPr>
          <w:pgSz w:w="11900" w:h="16838" w:orient="portrait"/>
          <w:cols w:equalWidth="0" w:num="1">
            <w:col w:w="11420"/>
          </w:cols>
          <w:pgMar w:left="240" w:top="582" w:right="239" w:bottom="79" w:gutter="0" w:footer="0" w:header="0"/>
        </w:sectPr>
      </w:pPr>
    </w:p>
    <w:bookmarkStart w:id="65" w:name="page66"/>
    <w:bookmarkEnd w:id="65"/>
    <w:p>
      <w:pPr>
        <w:ind w:right="160"/>
        <w:spacing w:after="0" w:line="277" w:lineRule="auto"/>
        <w:rPr>
          <w:sz w:val="20"/>
          <w:szCs w:val="20"/>
          <w:color w:val="auto"/>
        </w:rPr>
      </w:pPr>
      <w:r>
        <w:rPr>
          <w:rFonts w:ascii="Arial" w:cs="Arial" w:eastAsia="Arial" w:hAnsi="Arial"/>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70"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California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 and below.</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April 2011, Sempra South American Utilities increased its investment in two utilities in South America. We expect the acquisition to be accretive to our earnings per share. However, in connection with our increased interests in Chilquinta Energía and Luz del Sur, Sempra Energy has $984 million in goodwill on its Consolidated Balance Sheet as of March 31, 2012. Goodwill is subject to impairment testing, annually and under other potential circumstances, which may cause its fair value to vary if differing estimates and assumptions are used in the valuation techniques applied as indicated by changing market or other conditions.</w:t>
      </w:r>
    </w:p>
    <w:p>
      <w:pPr>
        <w:spacing w:after="0" w:line="1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discuss the acquisition in Note 3 of the Notes to Consolidated Financial Statements in the Annual Report. Sempra South American Utilities is also expected to provide earnings from construction projects when completed and other investments, but will require substantial funding for these investments.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5"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Sempra Renewables is developing and investing in renewable energy generation projects that have long-term contracts with utilities. The renewable energy projects have planned in-service dates ranging from 2012 to 2016. These projects require construction financing which may come from a variety of sources including operating cash flow, project financing, low-cost financing procured under the U.S. Department of Energy’s (DOE) loan guaranty program, U.S.</w:t>
      </w:r>
    </w:p>
    <w:p>
      <w:pPr>
        <w:ind w:right="160"/>
        <w:spacing w:after="0" w:line="261" w:lineRule="auto"/>
        <w:rPr>
          <w:sz w:val="20"/>
          <w:szCs w:val="20"/>
          <w:color w:val="auto"/>
        </w:rPr>
      </w:pPr>
      <w:r>
        <w:rPr>
          <w:rFonts w:ascii="Arial" w:cs="Arial" w:eastAsia="Arial" w:hAnsi="Arial"/>
          <w:sz w:val="18"/>
          <w:szCs w:val="18"/>
          <w:color w:val="auto"/>
        </w:rPr>
        <w:t>Treasury Department cash grants, funds from the parent and partnering in joint ventures. The varying costs of these alternative financing sources impact the projects’ returns.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Currently, Sempra Renewables is planning for Auwahi Wind, Mehoopany Wind Farm and Flat Ridge 2 Wind Farm projects to be placed in service in 2012. If all or any portion of these projects are not placed in service during 2012, Sempra Renewables’ cash flows and earnings for the next 10 years will be adversely affected as wind projects must be placed in service during 2012 in order to claim production tax credits or cash grants.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Current energy market prices are significantly lower than those under Sempra Natural Gas’ contract with the DWR, which ended on September 30, 2011 and had provided a significant portion of Sempra Natural Gas’ revenues. Revenues from Sempra Natural Gas’ generation plants are also expected to be lower due to a decline in market demand and the sale of Sempra Natural Gas’ El Dorado natural gas generation plant to SDG&amp;E on October 1, 2011. Based on current market prices for electricity, contracts Sempra Natural Gas enters into at its natural gas-fired plants to replace the DWR contract, if obtained, or merchant (daily) sales will provide substantially lower earnings. Because Sempra Mexico sells power from its Mexicali plant to Sempra Natural Gas, its earnings from generation may also decrease due to the completion of the DWR contract.</w:t>
      </w:r>
    </w:p>
    <w:p>
      <w:pPr>
        <w:spacing w:after="0" w:line="17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June 2011, Sempra Natural Gas entered into a 25-year contract with various members of Southwest Public Power Resources Group (SPPR Group), an association of 40 not-for-profit utilities in Arizona and southern Nevada, for 240 MW of electricity. Under the terms of the agreement, Sempra Natural Gas will provide 21 participating SPPR Group members with firm, day-ahead dispatchable power delivered to the Palo Verde hub beginning in January 2015.</w:t>
      </w:r>
    </w:p>
    <w:p>
      <w:pPr>
        <w:spacing w:after="0" w:line="13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At Sempra Natural Gas, until there are firm liquefied natural gas (LNG) supply or capacity services contracts from third parties that would subscribe to 100 percent of the capacity of Sempra Natural Gas’ Cameron terminal, Sempra Natural Gas will seek to purchase short-term LNG supplies and sell short-term capacity, which may result in greater variability in revenues and earnings. Sempra Natural Gas is currently evaluating opportunities to utilize its assets to support the liquefaction and exportation of LNG. The objective is to obtain a long-term contract and fully utilize our existing infrastructure while minimizing our future additional capital investment. In January 2012, the DOE approved Cameron LNG’s application for an LNG export license to Free Trade Act countries. The authorization to export LNG to countries with which the U.S. does not have a Free Trade Agreement is pending review by the DOE.</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April and May 2012, Sempra Natural Gas signed commercial development agreements with Mitsubishi Corporation, Mitsui &amp; Co., Ltd., and a subsidiary of GDF SUEZ S.A. (GDF SUEZ) to develop a natural gas liquefaction export facility at the Cameron LNG terminal. The completed liquefaction facility is expected to be comprised of three liquefaction trains with a total export capability of 12 million tonnes per annum (Mtpa) of LNG, or approximately 1.7 Bcf per day. Sempra Natural Gas expects to receive the required permits from the FERC and enter into a turnkey contract in 2013 for engineering and construction services for the project. Pending regulatory approvals and the achievement of other key milestones, construction on the project is planned to start in 2013 and begin operations in late 2016. The liquefaction facility will utilize Cameron LNG’s existing facilities, including two marine berths, three LNG storage tanks, and vaporization capability for regasification services of 1.5 Bcf per day. The anticipated incremental investment in the three-train liquefaction project is estimated to be approximately $6 billion, the majority of which will be project-financed and the balance provided by the project partners in a joint-venture arrangement.</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commercial development agreements bind the parties to fund all development expenses, including design, permitting and engineering, as well as to negotiate 20-year tolling agreements, based on agreed-upon key terms outlined in the commercial development agreements. Each tolling agreement would be for 4 Mtpa.</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we discuss above under “Overview–Sempra Natural Gas,” Sempra Natural Gas, KMP and Conoco jointly own REX. KMP, the majority owner, has announced its intention to sell certain assets, including its interest in REX. These assets are being divested in order for KMP’s general partner, Kinder Morgan, Inc., to obtain approval for a proposed acquisition. We believe that this sales process could result in an indication of fair value for KMP’s interest in REX. If so, we would consider what, if any, impacts this information could have on our recorded value for REX. If such information indicated an impairment of our investment, we would also need to evaluate whether such impairment, if any, was other than temporary, in accordance with applicable accounting standards for equity method investments.</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Commodities</w:t>
      </w:r>
    </w:p>
    <w:p>
      <w:pPr>
        <w:sectPr>
          <w:pgSz w:w="11900" w:h="16838" w:orient="portrait"/>
          <w:cols w:equalWidth="0" w:num="1">
            <w:col w:w="11380"/>
          </w:cols>
          <w:pgMar w:left="240" w:top="125" w:right="279" w:bottom="0" w:gutter="0" w:footer="0" w:header="0"/>
          <w:type w:val="continuous"/>
        </w:sectPr>
      </w:pPr>
    </w:p>
    <w:bookmarkStart w:id="66" w:name="page67"/>
    <w:bookmarkEnd w:id="66"/>
    <w:p>
      <w:pPr>
        <w:ind w:right="20"/>
        <w:spacing w:after="0" w:line="272"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$126 million at March 31, 2012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6 and 10 of the Notes to Condensed Consolidated Financial Statements herein and in Notes 3, 4, 5 and 15 of the Notes to Consolidated Financial Statements in the Annual Report.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Joint Matters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Rate Case (GRC)</w:t>
      </w:r>
    </w:p>
    <w:p>
      <w:pPr>
        <w:spacing w:after="0" w:line="2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Both SDG&amp;E and SoCalGas have their 2012 General Rate Case (GRC) applications pending at the CPUC. The California Utilities filed their initial applications for the 2012 GRC in December 2010 to establish their authorized 2012 revenue requirements and the ratemaking mechanisms by which those requirements will change on an annual basis over the subsequent three-year (2013-2015) period. In July 2011, SDG&amp;E and SoCalGas filed revised applications and in February 2012, SDG&amp;E and SoCalGas filed amendments to update the July 2011 filing. The 2012 amendments revised the requested increases to their authorized revenue requirements, as compared to their 2011 authorized revenues, to $235 million at SDG&amp;E, of which $67 million is for the cost recovery of incremental wildfire insurance premiums, and to $268 million at SoCalGas. The Division of Ratepayer Advocates and other intervening parties are recommending that the CPUC reduce the utilities’ revenue requirements in 2012 by approximately 5 percent compared to 2011.</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Evidentiary hearings were completed in January 2012 and final briefs reflecting the results from these hearings are scheduled to be filed with the CPUC by May 14, 2012. We currently expect a final decision for the 2012 GRC, which will be made effective retroactive to January 1, 2012, in the second half of 2012. However, until such time as a final decision for the 2012 GRC is issued, the California Utilities are recording revenues in 2012 based on levels authorized in 2011 plus, for SDG&amp;E, consistent with the recent CPUC decisions for cost recovery for SDG&amp;E’s incremental wildfire insurance premiums, an amount for the recovery of 2012 wildfire insurance premiums. The timing of the CPUC decision and the outcome from these proceedings will have an impact on the financial condition, operating results and cash flows of the California Utilities. If the CPUC’s final decision grants a significantly lower authorized revenue requirement, it could result in a material adverse effect to the California Utilities’ cash flows, financial position and results of operations starting in 2012 as compared to 2011. We provide additional information regarding the 2012 GRC in Note 9 of the Notes to Condensed Consolidated Financial Statements herein and in Note 14 of the Notes to the Consolidated Financial Statements in the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Capital</w:t>
      </w:r>
    </w:p>
    <w:p>
      <w:pPr>
        <w:spacing w:after="0" w:line="2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SDG&amp;E and SoCalGas filed separate applications with the CPUC in April 2012 to update their cost of capital effective January 1, 2013. SDG&amp;E is proposing to adjust its authorized capital structure by increasing the amount of its common equity from 49.0 percent to 52.0 percent. SDG&amp;E is also proposing to lower its authorized ROE from 11.1 percent to 11.0 percent and to lower its authorized ROR from 8.40 percent to 8.20 percent. The proposed change in SDG&amp;E’s capital structure and resulting ROR would result in a decrease in its 2013 authorized revenue of approximately $7.7 million if approved by the CPUC.</w:t>
      </w:r>
    </w:p>
    <w:p>
      <w:pPr>
        <w:spacing w:after="0" w:line="15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SoCalGas is requesting to adjust its authorized capital structure by increasing the amount of its common equity from 48.0 percent to 52.0 percent. SoCalGas is also requesting to increase its authorized ROE from 10.82 percent to 10.9 percent and to lower its authorized ROR from 8.68 percent to 8.42 percent. The proposed change in SoCalGas’ capital structure and resulting ROR would result in a decrease in its 2013 authorized revenue of approximately $1.4 million if approved by the CPUC.</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the CPUC were to approve a capital structure in the cost of capital proceedings that resulted in either SDG&amp;E’s or SoCalGas’ ROR being significantly lower than what was proposed, it could materially adversely affect the respective company’s cash flows, financial position and results of operations starting in 2013.</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SDG&amp;E is proposing to continue using the cost of capital adjustment mechanism currently in effect, which uses a utility bond benchmark. SoCalGas is proposing to switch from its current cost of capital adjustment mechanism, which is based on U.S. Treasury Bonds, to the utility bond benchmark used by SDG&amp;E, Edison and PG&amp;E. We provide more information about the cost of capital proceedings in Note 9 of the Notes to Condensed Consolidated Financial Statements herein.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 Operations Safety Assessments</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PG&amp;E and Southwest Gas filed implementation plans to test or replace all natural gas transmission pipelines that have not been pressure tested with the CPUC as we discuss in Note 14 of the Notes to Consolidated Financial Statements in the Annual Report. The California Utilities are currently estimating that the total cost for Phase 1 of the two-phase plan is $3.1 billion over a 10-year period.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 We provide additional information in Note 9 of the Notes to Condensed Consolidated Financial Statements herein.</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Matters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regard to the 2007 wildfire litigation, SDG&amp;E’s settlement of claims and the estimate of outstanding claims and legal fees is approximately $2 billion, which is in excess of the $1.1 billion of liability insurance coverage and the approximately $450 million it has received from third parties, including Cox. However, SDG&amp;E has concluded that it is probable that it will be permitted to recover from its utility customers substantially all reasonably incurred costs of resolving wildfire claims in excess of its liability insurance coverage and amounts recovered from other potentially responsible parties. Consequently, Sempra</w:t>
      </w:r>
    </w:p>
    <w:p>
      <w:pPr>
        <w:sectPr>
          <w:pgSz w:w="11900" w:h="16838" w:orient="portrait"/>
          <w:cols w:equalWidth="0" w:num="1">
            <w:col w:w="11420"/>
          </w:cols>
          <w:pgMar w:left="240" w:top="341" w:right="239" w:bottom="0" w:gutter="0" w:footer="0" w:header="0"/>
        </w:sectPr>
      </w:pPr>
    </w:p>
    <w:bookmarkStart w:id="67" w:name="page68"/>
    <w:bookmarkEnd w:id="67"/>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Energy and SDG&amp;E expect no significant earnings impact from the resolution of the remaining wildfire claims. As of March 31, 2012, Sempra Energy’s and SDG&amp;E’s Condensed Consolidated Balance Sheets reflect a regulatory asset in the amount of $603 million for these costs. However, SDG&amp;E’s cash flow may be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 We provide additional information concerning these matters in Notes 9 and 10 of the Notes to Condensed Consolidated Financial Statements herein and in Notes 14 and 15 of the Notes to Consolidated Financial Statements in the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SDG&amp;E has a 20-percent ownership interest in San Onofre Nuclear Generating Station (SONGS), a 2,150-MW nuclear generating facility near San Clemente, California. SONGS is operated by Southern California Edison Company (Edison) and is subject to the jurisdiction of the Nuclear Regulatory Commission (NRC). Edison is currently addressing a number of regulatory and performance issues at SONGS, and the NRC has required Edison to take actions to provide greater assurance of compliance by SONGS personnel. Edison continues to implement plans and address the identified issues, however a number of these issues remain outstanding. To the extent that these issues persist, the likelihood of further required action by Edison persists, which may result in increased SONGS operating costs and/or materially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 or, if electric generation is adversely impacted, require SDG&amp;E to procure additional electricity supply from other sources.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light of the aftermath and the significant safety events at the Fukushima Daiichi nuclear plant in Japan resulting from the earthquake and tsunami in March 2011, the NRC plans to perform additional operation and safety reviews of nuclear facilities in the United States. The lessons learned from the events in Japan and the results of the NRC reviews may materially impact future operations and capital requirements at nuclear facilities in the United States, including the operations and capital requirements at SONGS.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2010 and 2011, Edison installed four replacement steam generators in SONGS’ Units 2 and 3. Inspections of the Unit 2 steam generators during a planned maintenance and refueling outage in February 2012 found isolated areas of wear in some of the approximately 19,500 heat transfer tubes. As the steam generators are designed to include sufficient tubes to accommodate a need to remove some from service, Edison, in consultation with the steam generators’ manufacturer, determined that a number of the tubes should be removed from service as a preventive measure with the number of tubes being removed from service being well within the extra margin. Additionally, on January 31, 2012, a water leak was detected in one of the tubes of a new steam generator in Unit 3, and the unit was safely taken offline. Both Units 2 and 3 continue to be offline.</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Findings from the extensive testing conducted by Edison have determined that the water leak in the Unit 3 steam generator was caused by wear resulting from tube-to-tube contact in the area of the leak. Causal analysis of the tube-to-tube contact continues. The same area was re-inspected in the Unit 2 steam generators using a more sensitive inspection method and similar tube-to-tube wear was found on two tubes in one of the steam generators at wear levels below the detection capability of the initial testing. Earlier tests performed on the Unit 2 steam generators during the planned outage initially found high levels of wear in some tubes that were in contact with a tube support structure. As a result, all tubes in contact with the support structure in both Unit 2 steam generators were preventatively removed from service through plugging. Subsequent inspections on Unit 3 found similar tube-to-tube structure wear, and the affected tubes will also be plugged preventatively.</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inspection and testing of the steam generators by Edison, additional pressure tests of certain tubes were completed to determine the safety significance of the wear. Eight of the 129 tubes subjected to the additional tests failed, and the NRC was notified as required. Given these test results, the NRC launched an Augmented Inspection Team to assess: 1) the tube failures and their causes, 2) Edison’s operation of the units, and 3) Edison’s oversight of the design, fabrication, and shipping process. The efforts of the Augmented Inspection Team remain in progress.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March 2012, the NRC issued a confirmatory action letter that requires NRC permission to restart Units 2 and 3 and outlined the actions Edison must complete. Each unit will be restarted only when the necessary repairs and appropriate mitigation plans for each respective Unit are completed in accordance with the NRC’s letter and it is safe to do so.</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2005, the CPUC authorized a project to install four new steam generators in Units 2 and 3 and remove and dispose of their predecessors. Through March 31, 2012, SDG&amp;E’s proportional investment in this project was approximately $177 million. Those expenditures remain subject to CPUC review upon submission of Edison’s final costs for the overall project.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unscheduled outage at SONGS, SDG&amp;E has procured replacement power, the cost of which is balanced subject to reasonableness review. Replacement power costs for outages associated with the unscheduled SONGS outage (commencing in 2012 on February 1 for Unit 3 and March 5 for Unit 2) through March 31, 2012 were approximately $12 million. Total replacement power costs will not be known until the Units are returned to service, but costs for power are likely to be higher during the summer months should replacement power still be required at that time.</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steam generators are warranted for an initial period of 20 years from acceptance by its supplier, Mitsubishi Heavy Industries (MHI). Subject to certain exceptions, the purchase agreement sets forth specified damages for certain repairs, generally limits MHI’s aggregate contractual liability to the purchase price of the generators and excludes consequential damages from recovery, such as the cost of replacement power. We provide more information about SONGS in Note 10 of the Notes to Condensed Consolidated Financial Statements herein and in Notes 6, 14 and 15 of the Notes to Consolidated Financial Statements in the Annual Report.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discuss additional potential and expected impacts of the 2010 Tax Act on our income tax expense, earnings and cash flows in “Results of Operations – Changes in Revenues, Costs and Earnings – Income Taxes” above.</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may be further impacted by depressed and rapidly changing economic conditions. Moreover, the dollar has fluctuated significantly compared to some foreign currencies, especially in Mexico and South America where we have significant operations. We discuss foreign currency rate risk further under</w:t>
      </w:r>
    </w:p>
    <w:p>
      <w:pPr>
        <w:sectPr>
          <w:pgSz w:w="11900" w:h="16840" w:orient="portrait"/>
          <w:cols w:equalWidth="0" w:num="1">
            <w:col w:w="11420"/>
          </w:cols>
          <w:pgMar w:left="240" w:top="125" w:right="239" w:bottom="0" w:gutter="0" w:footer="0" w:header="0"/>
        </w:sectPr>
      </w:pPr>
    </w:p>
    <w:bookmarkStart w:id="68" w:name="page69"/>
    <w:bookmarkEnd w:id="68"/>
    <w:p>
      <w:pPr>
        <w:spacing w:after="0" w:line="279" w:lineRule="auto"/>
        <w:rPr>
          <w:sz w:val="20"/>
          <w:szCs w:val="20"/>
          <w:color w:val="auto"/>
        </w:rPr>
      </w:pPr>
      <w:r>
        <w:rPr>
          <w:rFonts w:ascii="Arial" w:cs="Arial" w:eastAsia="Arial" w:hAnsi="Arial"/>
          <w:sz w:val="17"/>
          <w:szCs w:val="17"/>
          <w:color w:val="auto"/>
        </w:rPr>
        <w:t>“Market Risk—Foreign Currency Rate Risk” in “Management’s Discussion and Analysis of Financial Condition and Results of Operations” in the Annual Report.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additional matters that could affect our future performance in Notes 9 and 10 of the Notes to Condensed Consolidated Financial Statements herein and in Notes 14 and 15 of the Notes to Consolidated Financial Statements in the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pacing w:after="0" w:line="2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an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describe legal proceedings which could adversely affect our future performance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 – INDUSTRY DEVELOPMENTS AND CAPITAL PROJECTS</w:t>
      </w:r>
    </w:p>
    <w:p>
      <w:pPr>
        <w:spacing w:after="0" w:line="23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We describe capital projects, electric and natural gas regulation and rates, and other pending proceedings and investigations that affect our business in Note 9 of the Notes to Condensed Consolidated Financial Statements herein and in Note 14 of the Notes to Consolidated Financial Statements in the Annual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 AND SEMPRA U.S. GAS &amp; POWER INVESTMENTS</w:t>
      </w:r>
    </w:p>
    <w:p>
      <w:pPr>
        <w:spacing w:after="0" w:line="23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Santa Teresa</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May 2011, groundbreaking took place for Santa Teresa, a project at Luz del Sur to build a 98-MW hydroelectric power plant in Peru’s Cusco region. It is planned to be completed in 2014.</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05"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In April 2011, SDG&amp;E entered into a 20-year contract for up to 156 MW of renewable power supplied from the first phase of Sempra Mexico’s Energía Sierra Juárez wind project in Baja California, Mexico. The contract was approved by the CPUC in March 2012, and the required approval by the FERC is pending. We expect construction on the project to begin in 2012, and the project to be fully operational in 2014.</w:t>
      </w:r>
    </w:p>
    <w:p>
      <w:pPr>
        <w:spacing w:after="0" w:line="151"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Sempra Mexico intends to develop the project within the framework of a joint venture, and is working on an agreement for the sale of a 50-percent partnership interest in the current phase of the project to BP Wind Energy.</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05"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Copper Mountain Solar is a photovoltaic generation facility operated and under development by Sempra Renewables in Boulder City, Nevada. When fully developed, the project will be capable of producing up to approximately 400 MW of solar power. Copper Mountain Solar 1 is a 58-MW photovoltaic generation facility currently in operation, and now includes the 10-MW facility previously referred to as El Dorado Solar.</w:t>
      </w:r>
    </w:p>
    <w:p>
      <w:pPr>
        <w:spacing w:after="0" w:line="15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Copper Mountain Solar 2 (CMS 2) will total 150 MW and construction began in December 2011. CMS 2 is divided into two phases, with the first phase of 92 MW planned to be completed by the end of January 2013 and the remaining 58 MW planned to be completed in 2015. PG&amp;E has contracted for all of the solar power at CMS 2 for 25 years and has an option to accelerate the second phase of 58 MW to be available before 2015.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ectPr>
          <w:pgSz w:w="11900" w:h="16838" w:orient="portrait"/>
          <w:cols w:equalWidth="0" w:num="1">
            <w:col w:w="11420"/>
          </w:cols>
          <w:pgMar w:left="240" w:top="125" w:right="239" w:bottom="0" w:gutter="0" w:footer="0" w:header="0"/>
        </w:sectPr>
      </w:pPr>
    </w:p>
    <w:p>
      <w:pPr>
        <w:spacing w:after="0" w:line="20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Mesquite Solar is a photovoltaic generation facility under development by Sempra Renewables in Maricopa County, Arizona. When fully developed, the project will be capable of producing up to approximately 700 MW of solar power. Construction of the first phase (Mesquite Solar 1) of 150 MW began in</w:t>
      </w:r>
    </w:p>
    <w:p>
      <w:pPr>
        <w:sectPr>
          <w:pgSz w:w="11900" w:h="16838" w:orient="portrait"/>
          <w:cols w:equalWidth="0" w:num="1">
            <w:col w:w="11420"/>
          </w:cols>
          <w:pgMar w:left="240" w:top="125" w:right="239" w:bottom="0" w:gutter="0" w:footer="0" w:header="0"/>
          <w:type w:val="continuous"/>
        </w:sectPr>
      </w:pPr>
    </w:p>
    <w:bookmarkStart w:id="69" w:name="page70"/>
    <w:bookmarkEnd w:id="69"/>
    <w:p>
      <w:pPr>
        <w:jc w:val="both"/>
        <w:ind w:right="240"/>
        <w:spacing w:after="0" w:line="308" w:lineRule="auto"/>
        <w:rPr>
          <w:sz w:val="20"/>
          <w:szCs w:val="20"/>
          <w:color w:val="auto"/>
        </w:rPr>
      </w:pPr>
      <w:r>
        <w:rPr>
          <w:rFonts w:ascii="Arial" w:cs="Arial" w:eastAsia="Arial" w:hAnsi="Arial"/>
          <w:sz w:val="17"/>
          <w:szCs w:val="17"/>
          <w:color w:val="auto"/>
        </w:rPr>
        <w:t>June 2011 and is expected to be completed in early 2013. In December 2011, solar panels were fully installed and began delivering 42 MW of electricity to the grid. Currently, the project is at 74 MW capacity. PG&amp;E has contracted for all of the solar power at Mesquite Solar 1 for 20 years.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Auwahi Wind</w:t>
      </w:r>
    </w:p>
    <w:p>
      <w:pPr>
        <w:spacing w:after="0" w:line="205"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 Auwahi Wind project, in the southeastern region of Maui, is a joint venture project with a BP affiliate, Auwahi Wind Energy Holdings, with a 20-year contract with Maui Electric Company to provide 21 MW of wind energy. Construction on the project began in March 2012, and we expect the project to be fully operational in late 2012.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Mehoopany Wind Farm</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December 2011, Sempra Renewables entered into a joint venture with BP Wind Energy to develop the Mehoopany Wind Farm in Wyoming County, Pennsylvania, which is expected to generate up to 141 MW of energy. The power output from the wind farm has been sold under 20-year contracts to Old Dominion Electric Cooperative and Southern Maryland Electric Cooperative Inc. Construction began in November 2011, and we expect the project to be fully operational by the end of 2012.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Flat Ridge 2 Wind Farm</w:t>
      </w:r>
    </w:p>
    <w:p>
      <w:pPr>
        <w:spacing w:after="0" w:line="20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December 2011, Sempra Renewables entered into a joint venture with BP Wind Energy to develop the Flat Ridge 2 Wind Farm near Wichita, Kansas, which is expected to generate up to 419 MW of energy. The power output from the wind farm has been sold under three contracts for 20 to 25 year terms, including contracts with Associated Electric Cooperative, Inc. and Southwestern Electric Power Company. Construction began in April 2012, and we expect the project to be fully operational by the end of 2012. Sempra Renewables plans to participate with BP in a 51-MW expansion of Flat Ridge 2 since obtaining a purchase power agreement with Arkansas Electric Cooperative for the expansion, which was approved by the Rural Electric Service in April 2012.</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Sempra Natural Gas has 23 Bcf of operational working natural gas storage capacity. We are currently developing another 20 Bcf of capacity with planned in-service dates through 2013 and may, over the long term, develop as much as 76 Bcf of total storage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25" w:lineRule="exact"/>
        <w:rPr>
          <w:sz w:val="20"/>
          <w:szCs w:val="20"/>
          <w:color w:val="auto"/>
        </w:rPr>
      </w:pPr>
    </w:p>
    <w:p>
      <w:pPr>
        <w:jc w:val="both"/>
        <w:ind w:left="340" w:hanging="188"/>
        <w:spacing w:after="0" w:line="26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ind w:left="340" w:hanging="188"/>
        <w:spacing w:after="0" w:line="342"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Liberty natural gas storage expansion,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w:t>
      </w:r>
    </w:p>
    <w:p>
      <w:pPr>
        <w:spacing w:after="0" w:line="205"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 xml:space="preserve">In April and May 2012, Sempra Natural Gas signed commercial development agreements with Mitsubishi Corporation, Mitsui &amp; Co., Ltd., and GDF SUEZ to develop a natural gas liquefaction export facility at the site of its Cameron LNG terminal in Hackberry, Louisiana. We discuss these agreements above in “Factors Influencing Future Performance </w:t>
      </w:r>
      <w:r>
        <w:rPr>
          <w:rFonts w:ascii="Arial" w:cs="Arial" w:eastAsia="Arial" w:hAnsi="Arial"/>
          <w:sz w:val="19"/>
          <w:szCs w:val="19"/>
          <w:i w:val="1"/>
          <w:iCs w:val="1"/>
          <w:color w:val="auto"/>
        </w:rPr>
        <w:t>–</w:t>
      </w:r>
      <w:r>
        <w:rPr>
          <w:rFonts w:ascii="Arial" w:cs="Arial" w:eastAsia="Arial" w:hAnsi="Arial"/>
          <w:sz w:val="18"/>
          <w:szCs w:val="18"/>
          <w:color w:val="auto"/>
        </w:rPr>
        <w:t xml:space="preserve"> Sempra Energy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9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ectPr>
          <w:pgSz w:w="11900" w:h="16838" w:orient="portrait"/>
          <w:cols w:equalWidth="0" w:num="1">
            <w:col w:w="11420"/>
          </w:cols>
          <w:pgMar w:left="240" w:top="125" w:right="239" w:bottom="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ectPr>
          <w:pgSz w:w="11900" w:h="16838" w:orient="portrait"/>
          <w:cols w:equalWidth="0" w:num="1">
            <w:col w:w="11420"/>
          </w:cols>
          <w:pgMar w:left="240" w:top="125" w:right="239" w:bottom="0" w:gutter="0" w:footer="0" w:header="0"/>
          <w:type w:val="continuous"/>
        </w:sectPr>
      </w:pPr>
    </w:p>
    <w:bookmarkStart w:id="70" w:name="page71"/>
    <w:bookmarkEnd w:id="70"/>
    <w:p>
      <w:pPr>
        <w:ind w:right="320"/>
        <w:spacing w:after="0" w:line="277" w:lineRule="auto"/>
        <w:rPr>
          <w:sz w:val="20"/>
          <w:szCs w:val="20"/>
          <w:color w:val="auto"/>
        </w:rPr>
      </w:pPr>
      <w:r>
        <w:rPr>
          <w:rFonts w:ascii="Arial" w:cs="Arial" w:eastAsia="Arial" w:hAnsi="Arial"/>
          <w:sz w:val="18"/>
          <w:szCs w:val="18"/>
          <w:color w:val="auto"/>
        </w:rPr>
        <w:t>The table below shows the nominal amount and the one-year VaR for long-term debt, excluding commercial paper classified as long-term debt and capital lease obligations, and before reductions for unamortized discount, at March 31, 2012 and December 31,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right"/>
              <w:ind w:right="621"/>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701"/>
              <w:spacing w:after="0" w:line="157" w:lineRule="exact"/>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82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80"/>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color w:val="auto"/>
              </w:rPr>
              <w:t>Nominal</w:t>
            </w:r>
          </w:p>
        </w:tc>
        <w:tc>
          <w:tcPr>
            <w:tcW w:w="30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color w:val="auto"/>
                <w:w w:val="98"/>
              </w:rPr>
              <w:t>One-Year</w:t>
            </w:r>
          </w:p>
        </w:tc>
        <w:tc>
          <w:tcPr>
            <w:tcW w:w="24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5"/>
                <w:szCs w:val="15"/>
                <w:color w:val="auto"/>
              </w:rPr>
            </w:pPr>
          </w:p>
        </w:tc>
        <w:tc>
          <w:tcPr>
            <w:tcW w:w="1040" w:type="dxa"/>
            <w:vAlign w:val="bottom"/>
          </w:tcPr>
          <w:p>
            <w:pPr>
              <w:jc w:val="right"/>
              <w:ind w:right="241"/>
              <w:spacing w:after="0"/>
              <w:rPr>
                <w:sz w:val="20"/>
                <w:szCs w:val="20"/>
                <w:color w:val="auto"/>
              </w:rPr>
            </w:pPr>
            <w:r>
              <w:rPr>
                <w:rFonts w:ascii="Arial" w:cs="Arial" w:eastAsia="Arial" w:hAnsi="Arial"/>
                <w:sz w:val="14"/>
                <w:szCs w:val="14"/>
                <w:color w:val="auto"/>
              </w:rPr>
              <w:t>One-Year</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3"/>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2"/>
              <w:spacing w:after="0" w:line="157" w:lineRule="exact"/>
              <w:rPr>
                <w:sz w:val="20"/>
                <w:szCs w:val="20"/>
                <w:color w:val="auto"/>
              </w:rPr>
            </w:pPr>
            <w:r>
              <w:rPr>
                <w:rFonts w:ascii="Arial" w:cs="Arial" w:eastAsia="Arial" w:hAnsi="Arial"/>
                <w:sz w:val="14"/>
                <w:szCs w:val="14"/>
                <w:color w:val="auto"/>
              </w:rPr>
              <w:t>Debt</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2"/>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1"/>
              <w:spacing w:after="0" w:line="157"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164"/>
        </w:trPr>
        <w:tc>
          <w:tcPr>
            <w:tcW w:w="4100" w:type="dxa"/>
            <w:vAlign w:val="bottom"/>
          </w:tcPr>
          <w:p>
            <w:pPr>
              <w:spacing w:after="0" w:line="164" w:lineRule="exact"/>
              <w:rPr>
                <w:sz w:val="20"/>
                <w:szCs w:val="20"/>
                <w:color w:val="auto"/>
              </w:rPr>
            </w:pPr>
            <w:r>
              <w:rPr>
                <w:rFonts w:ascii="Arial" w:cs="Arial" w:eastAsia="Arial" w:hAnsi="Arial"/>
                <w:sz w:val="16"/>
                <w:szCs w:val="16"/>
                <w:color w:val="auto"/>
              </w:rPr>
              <w:t>At March 31, 2012: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4,867</w:t>
            </w:r>
          </w:p>
        </w:tc>
        <w:tc>
          <w:tcPr>
            <w:tcW w:w="2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616</w:t>
            </w:r>
          </w:p>
        </w:tc>
        <w:tc>
          <w:tcPr>
            <w:tcW w:w="240" w:type="dxa"/>
            <w:vAlign w:val="bottom"/>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3,555</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501</w:t>
            </w:r>
          </w:p>
        </w:tc>
        <w:tc>
          <w:tcPr>
            <w:tcW w:w="2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1,312</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California Utilities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588</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588</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All other, fixed-rate and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5,236</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296</w:t>
            </w:r>
          </w:p>
        </w:tc>
        <w:tc>
          <w:tcPr>
            <w:tcW w:w="2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6"/>
                <w:szCs w:val="16"/>
                <w:color w:val="auto"/>
              </w:rPr>
              <w:t>At December 31, 2011:</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California Utilities fixed-rate</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4,617</w:t>
            </w:r>
          </w:p>
        </w:tc>
        <w:tc>
          <w:tcPr>
            <w:tcW w:w="2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782</w:t>
            </w:r>
          </w:p>
        </w:tc>
        <w:tc>
          <w:tcPr>
            <w:tcW w:w="240" w:type="dxa"/>
            <w:vAlign w:val="bottom"/>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3,304</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623</w:t>
            </w:r>
          </w:p>
        </w:tc>
        <w:tc>
          <w:tcPr>
            <w:tcW w:w="2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1,313</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California Utilities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591</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591</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100" w:type="dxa"/>
            <w:vAlign w:val="bottom"/>
          </w:tcPr>
          <w:p>
            <w:pPr>
              <w:ind w:left="180"/>
              <w:spacing w:after="0"/>
              <w:rPr>
                <w:sz w:val="20"/>
                <w:szCs w:val="20"/>
                <w:color w:val="auto"/>
              </w:rPr>
            </w:pPr>
            <w:r>
              <w:rPr>
                <w:rFonts w:ascii="Arial" w:cs="Arial" w:eastAsia="Arial" w:hAnsi="Arial"/>
                <w:sz w:val="16"/>
                <w:szCs w:val="16"/>
                <w:color w:val="auto"/>
              </w:rPr>
              <w:t>All other, fixed-rate and variable-rate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4,602</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377</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After the effects of interest rate swaps.</w:t>
      </w:r>
    </w:p>
    <w:p>
      <w:pPr>
        <w:spacing w:after="0" w:line="2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March 31, 2012, the net notional amount of interest rate swap transactions ranged from $15 million to $305 million at Sempra Energy (ranges relate to the tenor of the various hedging instruments). 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234"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We discuss our foreign currency rate risk in detail in “Management’s Discussion and Analysis of Financial Condition and Results of Operations” in the Annual Report. At March 31, 2012, there were no significant changes to our exposure to foreign currency rate risk since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March 31, 2012,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and 15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not been any material changes from the risk factors previously disclosed in our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41" w:right="239" w:bottom="18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ITEM 6. EXHIBITS</w:t>
      </w:r>
    </w:p>
    <w:p>
      <w:pPr>
        <w:spacing w:after="0" w:line="19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exhibits filed under Forms 8-K and Form 8-K/A that are incorporated herein by reference were filed under Commission File Number 1-14201 (Sempra Energy).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 Form of Sempra Energy 2008 Long Term Incentive Plan 2012 Performance-Based Restricted Stock Unit Award.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12.2 San Diego Gas &amp; Electric Company Computation of Ratio of Earnings to Combined Fixed Charges and Preferred Stock Dividends.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12.3 Southern California Gas Company Computation of Ratio of Earnings to Combined Fixed Charges and Preferred Stock Dividends.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420" w:right="580" w:hanging="404"/>
        <w:spacing w:after="0" w:line="243"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86" w:lineRule="exact"/>
        <w:rPr>
          <w:sz w:val="20"/>
          <w:szCs w:val="20"/>
          <w:color w:val="auto"/>
        </w:rPr>
      </w:pPr>
    </w:p>
    <w:p>
      <w:pPr>
        <w:ind w:left="1420" w:right="640" w:hanging="404"/>
        <w:spacing w:after="0" w:line="262"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420" w:right="700" w:hanging="404"/>
        <w:spacing w:after="0" w:line="243"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86" w:lineRule="exact"/>
        <w:rPr>
          <w:sz w:val="20"/>
          <w:szCs w:val="20"/>
          <w:color w:val="auto"/>
        </w:rPr>
      </w:pPr>
    </w:p>
    <w:p>
      <w:pPr>
        <w:ind w:left="1420" w:hanging="404"/>
        <w:spacing w:after="0" w:line="262"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101.INS XBRL Instance Document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101.SCH XBRL Taxonomy Extension Schema Document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 XBRL Taxonomy Extension Label Linkbase Document</w:t>
      </w:r>
    </w:p>
    <w:p>
      <w:pPr>
        <w:sectPr>
          <w:pgSz w:w="11900" w:h="16838" w:orient="portrait"/>
          <w:cols w:equalWidth="0" w:num="1">
            <w:col w:w="11400"/>
          </w:cols>
          <w:pgMar w:left="240" w:top="136" w:right="259" w:bottom="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101.PRE XBRL Taxonomy Extension Presentation Linkbase Document</w:t>
      </w:r>
    </w:p>
    <w:p>
      <w:pPr>
        <w:sectPr>
          <w:pgSz w:w="11900" w:h="16838" w:orient="portrait"/>
          <w:cols w:equalWidth="0" w:num="1">
            <w:col w:w="9519"/>
          </w:cols>
          <w:pgMar w:left="940" w:top="341" w:right="1440"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SEMPRA ENERGY,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1960"/>
        <w:spacing w:after="0"/>
        <w:tabs>
          <w:tab w:leader="none" w:pos="588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6"/>
          <w:szCs w:val="16"/>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Joseph A. Householder</w:t>
      </w:r>
    </w:p>
    <w:p>
      <w:pPr>
        <w:ind w:left="5900"/>
        <w:spacing w:after="0" w:line="234" w:lineRule="auto"/>
        <w:rPr>
          <w:sz w:val="20"/>
          <w:szCs w:val="20"/>
          <w:color w:val="auto"/>
        </w:rPr>
      </w:pPr>
      <w:r>
        <w:rPr>
          <w:rFonts w:ascii="Arial" w:cs="Arial" w:eastAsia="Arial" w:hAnsi="Arial"/>
          <w:sz w:val="18"/>
          <w:szCs w:val="18"/>
          <w:color w:val="auto"/>
        </w:rPr>
        <w:t>Executive Vice President, Chief Financial Officer and Chief</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SAN DIEGO GAS &amp; ELECTRIC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1960"/>
        <w:spacing w:after="0"/>
        <w:tabs>
          <w:tab w:leader="none" w:pos="588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line="234" w:lineRule="auto"/>
        <w:rPr>
          <w:sz w:val="20"/>
          <w:szCs w:val="20"/>
          <w:color w:val="auto"/>
        </w:rPr>
      </w:pPr>
      <w:r>
        <w:rPr>
          <w:rFonts w:ascii="Arial" w:cs="Arial" w:eastAsia="Arial" w:hAnsi="Arial"/>
          <w:sz w:val="18"/>
          <w:szCs w:val="18"/>
          <w:color w:val="auto"/>
        </w:rPr>
        <w:t>Vice President, Controller, Chief Financial Officer and Chief</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SOUTHERN CALIFORNIA GAS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196" w:lineRule="exact"/>
        <w:rPr>
          <w:sz w:val="20"/>
          <w:szCs w:val="20"/>
          <w:color w:val="auto"/>
        </w:rPr>
      </w:pPr>
    </w:p>
    <w:p>
      <w:pPr>
        <w:ind w:left="1960"/>
        <w:spacing w:after="0"/>
        <w:tabs>
          <w:tab w:leader="none" w:pos="588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line="234" w:lineRule="auto"/>
        <w:rPr>
          <w:sz w:val="20"/>
          <w:szCs w:val="20"/>
          <w:color w:val="auto"/>
        </w:rPr>
      </w:pPr>
      <w:r>
        <w:rPr>
          <w:rFonts w:ascii="Arial" w:cs="Arial" w:eastAsia="Arial" w:hAnsi="Arial"/>
          <w:sz w:val="18"/>
          <w:szCs w:val="18"/>
          <w:color w:val="auto"/>
        </w:rPr>
        <w:t>Vice President, Controller, Chief Financial Officer and Chief</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720"/>
          </w:cols>
          <w:pgMar w:left="240" w:top="513" w:right="939"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ind w:right="-19"/>
        <w:spacing w:after="0"/>
        <w:rPr>
          <w:sz w:val="20"/>
          <w:szCs w:val="20"/>
          <w:color w:val="auto"/>
        </w:rPr>
      </w:pPr>
      <w:r>
        <w:rPr>
          <w:rFonts w:ascii="Arial" w:cs="Arial" w:eastAsia="Arial" w:hAnsi="Arial"/>
          <w:sz w:val="24"/>
          <w:szCs w:val="24"/>
          <w:b w:val="1"/>
          <w:bCs w:val="1"/>
          <w:color w:val="auto"/>
        </w:rPr>
        <w:t>SEMPRA ENERGY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2008 LONG TERM INCENTIVE PLAN</w:t>
      </w:r>
    </w:p>
    <w:p>
      <w:pPr>
        <w:jc w:val="center"/>
        <w:ind w:right="-19"/>
        <w:spacing w:after="0"/>
        <w:rPr>
          <w:sz w:val="20"/>
          <w:szCs w:val="20"/>
          <w:color w:val="auto"/>
        </w:rPr>
      </w:pPr>
      <w:r>
        <w:rPr>
          <w:rFonts w:ascii="Arial" w:cs="Arial" w:eastAsia="Arial" w:hAnsi="Arial"/>
          <w:sz w:val="24"/>
          <w:szCs w:val="24"/>
          <w:b w:val="1"/>
          <w:bCs w:val="1"/>
          <w:color w:val="auto"/>
        </w:rPr>
        <w:t>2012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13970</wp:posOffset>
            </wp:positionV>
            <wp:extent cx="61658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65850" cy="3429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82550</wp:posOffset>
            </wp:positionV>
            <wp:extent cx="61658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65850" cy="34290"/>
                    </a:xfrm>
                    <a:prstGeom prst="rect">
                      <a:avLst/>
                    </a:prstGeom>
                    <a:noFill/>
                  </pic:spPr>
                </pic:pic>
              </a:graphicData>
            </a:graphic>
          </wp:anchor>
        </w:drawing>
      </w:r>
    </w:p>
    <w:p>
      <w:pPr>
        <w:spacing w:after="0" w:line="2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based upon the satisfaction of total shareholder return performance criteria for a performance period beginning on January 1, 2012 and ending in January 2016. Shares of Common Stock will be distributed to you after the completion of the performance period ending in January 2016, if the restricted stock units vest under the terms and conditions of your award.</w:t>
      </w:r>
    </w:p>
    <w:p>
      <w:pPr>
        <w:spacing w:after="0" w:line="177"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i w:val="1"/>
          <w:iCs w:val="1"/>
          <w:color w:val="auto"/>
        </w:rPr>
        <w:t>The terms and conditions of your award are set forth in the attached Year 2012 Restricted Stock Unit Award Agreement and in the Sempra Energy 2008 Long Term Incentive Plan, which has been provided to you. The summary below highlights selected terms and conditions but it is not complete and you should carefully read the attachments to fully understand the terms and conditions of your award.</w:t>
      </w:r>
    </w:p>
    <w:p>
      <w:pPr>
        <w:spacing w:after="0" w:line="61" w:lineRule="exact"/>
        <w:rPr>
          <w:sz w:val="20"/>
          <w:szCs w:val="20"/>
          <w:color w:val="auto"/>
        </w:rPr>
      </w:pPr>
    </w:p>
    <w:p>
      <w:pPr>
        <w:ind w:left="3660"/>
        <w:spacing w:after="0"/>
        <w:rPr>
          <w:sz w:val="20"/>
          <w:szCs w:val="20"/>
          <w:color w:val="auto"/>
        </w:rPr>
      </w:pPr>
      <w:r>
        <w:rPr>
          <w:rFonts w:ascii="Arial" w:cs="Arial" w:eastAsia="Arial" w:hAnsi="Arial"/>
          <w:sz w:val="24"/>
          <w:szCs w:val="24"/>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-79375</wp:posOffset>
            </wp:positionV>
            <wp:extent cx="6165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65850" cy="26035"/>
                    </a:xfrm>
                    <a:prstGeom prst="rect">
                      <a:avLst/>
                    </a:prstGeom>
                    <a:noFill/>
                  </pic:spPr>
                </pic:pic>
              </a:graphicData>
            </a:graphic>
          </wp:anchor>
        </w:drawing>
      </w:r>
    </w:p>
    <w:p>
      <w:pPr>
        <w:spacing w:after="0" w:line="177" w:lineRule="exact"/>
        <w:rPr>
          <w:sz w:val="20"/>
          <w:szCs w:val="20"/>
          <w:color w:val="auto"/>
        </w:rPr>
      </w:pPr>
    </w:p>
    <w:p>
      <w:pPr>
        <w:spacing w:after="0"/>
        <w:tabs>
          <w:tab w:leader="none" w:pos="3200" w:val="left"/>
        </w:tabs>
        <w:rPr>
          <w:sz w:val="20"/>
          <w:szCs w:val="20"/>
          <w:color w:val="auto"/>
        </w:rPr>
      </w:pPr>
      <w:r>
        <w:rPr>
          <w:rFonts w:ascii="Arial" w:cs="Arial" w:eastAsia="Arial" w:hAnsi="Arial"/>
          <w:sz w:val="19"/>
          <w:szCs w:val="19"/>
          <w:b w:val="1"/>
          <w:bCs w:val="1"/>
          <w:color w:val="auto"/>
        </w:rPr>
        <w:t>Date of Award:</w:t>
      </w:r>
      <w:r>
        <w:rPr>
          <w:sz w:val="20"/>
          <w:szCs w:val="20"/>
          <w:color w:val="auto"/>
        </w:rPr>
        <w:tab/>
      </w:r>
      <w:r>
        <w:rPr>
          <w:rFonts w:ascii="Arial" w:cs="Arial" w:eastAsia="Arial" w:hAnsi="Arial"/>
          <w:sz w:val="17"/>
          <w:szCs w:val="17"/>
          <w:b w:val="1"/>
          <w:bCs w:val="1"/>
          <w:color w:val="auto"/>
        </w:rPr>
        <w:t>January 3, 2012</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 of Recipient:</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Recipient’s Employee Number:</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(prior to any dividend equivalents):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At Target:</w:t>
      </w:r>
    </w:p>
    <w:p>
      <w:pPr>
        <w:spacing w:after="0" w:line="92" w:lineRule="exact"/>
        <w:rPr>
          <w:sz w:val="20"/>
          <w:szCs w:val="20"/>
          <w:color w:val="auto"/>
        </w:rPr>
      </w:pPr>
    </w:p>
    <w:p>
      <w:pPr>
        <w:ind w:left="420"/>
        <w:spacing w:after="0"/>
        <w:tabs>
          <w:tab w:leader="none" w:pos="3260" w:val="left"/>
        </w:tabs>
        <w:rPr>
          <w:sz w:val="20"/>
          <w:szCs w:val="20"/>
          <w:color w:val="auto"/>
        </w:rPr>
      </w:pPr>
      <w:r>
        <w:rPr>
          <w:rFonts w:ascii="Arial" w:cs="Arial" w:eastAsia="Arial" w:hAnsi="Arial"/>
          <w:sz w:val="19"/>
          <w:szCs w:val="19"/>
          <w:b w:val="1"/>
          <w:bCs w:val="1"/>
          <w:color w:val="auto"/>
        </w:rPr>
        <w:t>At Maximum:</w:t>
      </w:r>
      <w:r>
        <w:rPr>
          <w:sz w:val="20"/>
          <w:szCs w:val="20"/>
          <w:color w:val="auto"/>
        </w:rPr>
        <w:tab/>
      </w:r>
      <w:r>
        <w:rPr>
          <w:rFonts w:ascii="Arial" w:cs="Arial" w:eastAsia="Arial" w:hAnsi="Arial"/>
          <w:sz w:val="17"/>
          <w:szCs w:val="17"/>
          <w:b w:val="1"/>
          <w:bCs w:val="1"/>
          <w:color w:val="auto"/>
        </w:rPr>
        <w:t>150% of Target (e.g. 1,000 at Target = 1,500 at Maximum)</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Award Date Fair Market Value per</w:t>
      </w:r>
    </w:p>
    <w:p>
      <w:pPr>
        <w:spacing w:after="0" w:line="20" w:lineRule="exact"/>
        <w:rPr>
          <w:sz w:val="20"/>
          <w:szCs w:val="20"/>
          <w:color w:val="auto"/>
        </w:rPr>
      </w:pPr>
    </w:p>
    <w:p>
      <w:pPr>
        <w:spacing w:after="0"/>
        <w:tabs>
          <w:tab w:leader="none" w:pos="3260" w:val="left"/>
        </w:tabs>
        <w:rPr>
          <w:sz w:val="20"/>
          <w:szCs w:val="20"/>
          <w:color w:val="auto"/>
        </w:rPr>
      </w:pPr>
      <w:r>
        <w:rPr>
          <w:rFonts w:ascii="Arial" w:cs="Arial" w:eastAsia="Arial" w:hAnsi="Arial"/>
          <w:sz w:val="19"/>
          <w:szCs w:val="19"/>
          <w:b w:val="1"/>
          <w:bCs w:val="1"/>
          <w:color w:val="auto"/>
        </w:rPr>
        <w:t>Share of Common Stock:</w:t>
      </w:r>
      <w:r>
        <w:rPr>
          <w:sz w:val="20"/>
          <w:szCs w:val="20"/>
          <w:color w:val="auto"/>
        </w:rPr>
        <w:tab/>
      </w:r>
      <w:r>
        <w:rPr>
          <w:rFonts w:ascii="Arial" w:cs="Arial" w:eastAsia="Arial" w:hAnsi="Arial"/>
          <w:sz w:val="16"/>
          <w:szCs w:val="16"/>
          <w:b w:val="1"/>
          <w:bCs w:val="1"/>
          <w:color w:val="auto"/>
        </w:rPr>
        <w:t>$54.83</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20"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Your restricted stock units represent the right to receive shares of Common Stock in the future, subject to the terms and conditions of your award. Your restricted stock units are not shares of Common Stock. The target number of restricted</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stock units will vest (as described below), if the target total shareholder return (a return at the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is achieved. If above target total shareholder return is achieved, you may vest in up to the maximum number of restricted stock units.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Vesting/Forfeiture of Restricted Stock Units:</w:t>
      </w:r>
    </w:p>
    <w:p>
      <w:pPr>
        <w:spacing w:after="0" w:line="20" w:lineRule="exact"/>
        <w:rPr>
          <w:sz w:val="20"/>
          <w:szCs w:val="20"/>
          <w:color w:val="auto"/>
        </w:rPr>
      </w:pPr>
    </w:p>
    <w:p>
      <w:pPr>
        <w:ind w:right="100"/>
        <w:spacing w:after="0" w:line="239" w:lineRule="auto"/>
        <w:rPr>
          <w:sz w:val="20"/>
          <w:szCs w:val="20"/>
          <w:color w:val="auto"/>
        </w:rPr>
      </w:pPr>
      <w:r>
        <w:rPr>
          <w:rFonts w:ascii="Arial" w:cs="Arial" w:eastAsia="Arial" w:hAnsi="Arial"/>
          <w:sz w:val="19"/>
          <w:szCs w:val="19"/>
          <w:color w:val="auto"/>
        </w:rPr>
        <w:t>Your restricted stock units will vest only upon and only to the extent that the Compensation Committee determines and certifies that Sempra Energy has met specified total shareholder return performance criteria for the performance period beginning on January 1, 2012 and ending at the close of trading on the first New York Stock Exchange trading day of 2016. Any restricted stock units that do not vest upon the Compensation Committee's determination and certification will be forfeited.</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Restrictions:</w:t>
      </w:r>
    </w:p>
    <w:p>
      <w:pPr>
        <w:spacing w:after="0" w:line="20" w:lineRule="exact"/>
        <w:rPr>
          <w:sz w:val="20"/>
          <w:szCs w:val="20"/>
          <w:color w:val="auto"/>
        </w:rPr>
      </w:pPr>
    </w:p>
    <w:p>
      <w:pPr>
        <w:ind w:right="360"/>
        <w:spacing w:after="0" w:line="243" w:lineRule="auto"/>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Employment: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Your restricted stock units also may be forfeited if your employment terminates.</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Equivalents:</w:t>
      </w:r>
    </w:p>
    <w:p>
      <w:pPr>
        <w:spacing w:after="0" w:line="2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 of Shares:</w:t>
      </w:r>
    </w:p>
    <w:p>
      <w:pPr>
        <w:spacing w:after="0" w:line="20"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Shares of Common Stock will be distributed to you to the extent your restricted stock units vest. The shares will be distributed to you after the completion of the performance period ending in January 2016 and the Compensation Committee’s determination and certification of Sempra Energy’s total shareholder return for the performance period. The shares of Common Stock will include the additional shares to be distributed pursuant to your dividend equivalents.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Taxes:</w:t>
      </w:r>
    </w:p>
    <w:p>
      <w:pPr>
        <w:spacing w:after="0" w:line="20" w:lineRule="exact"/>
        <w:rPr>
          <w:sz w:val="20"/>
          <w:szCs w:val="20"/>
          <w:color w:val="auto"/>
        </w:rPr>
      </w:pPr>
    </w:p>
    <w:p>
      <w:pPr>
        <w:ind w:right="360"/>
        <w:spacing w:after="0" w:line="243" w:lineRule="auto"/>
        <w:rPr>
          <w:sz w:val="20"/>
          <w:szCs w:val="20"/>
          <w:color w:val="auto"/>
        </w:rPr>
      </w:pPr>
      <w:r>
        <w:rPr>
          <w:rFonts w:ascii="Arial" w:cs="Arial" w:eastAsia="Arial" w:hAnsi="Arial"/>
          <w:sz w:val="19"/>
          <w:szCs w:val="19"/>
          <w:color w:val="auto"/>
        </w:rPr>
        <w:t>Upon distribution of shares of Common Stock to you, you will be subject to income taxes on the value of the distributed shares at the time of distribution and must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74930</wp:posOffset>
            </wp:positionV>
            <wp:extent cx="61658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65850" cy="3429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143510</wp:posOffset>
            </wp:positionV>
            <wp:extent cx="61658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65850" cy="34290"/>
                    </a:xfrm>
                    <a:prstGeom prst="rect">
                      <a:avLst/>
                    </a:prstGeom>
                    <a:noFill/>
                  </pic:spPr>
                </pic:pic>
              </a:graphicData>
            </a:graphic>
          </wp:anchor>
        </w:drawing>
      </w:r>
    </w:p>
    <w:p>
      <w:pPr>
        <w:spacing w:after="0" w:line="237" w:lineRule="exact"/>
        <w:rPr>
          <w:sz w:val="20"/>
          <w:szCs w:val="20"/>
          <w:color w:val="auto"/>
        </w:rPr>
      </w:pPr>
    </w:p>
    <w:p>
      <w:pPr>
        <w:ind w:right="80"/>
        <w:spacing w:after="0" w:line="355" w:lineRule="auto"/>
        <w:rPr>
          <w:sz w:val="20"/>
          <w:szCs w:val="20"/>
          <w:color w:val="auto"/>
        </w:rPr>
      </w:pPr>
      <w:r>
        <w:rPr>
          <w:rFonts w:ascii="Arial" w:cs="Arial" w:eastAsia="Arial" w:hAnsi="Arial"/>
          <w:sz w:val="16"/>
          <w:szCs w:val="16"/>
          <w:b w:val="1"/>
          <w:bCs w:val="1"/>
          <w:i w:val="1"/>
          <w:iCs w:val="1"/>
          <w:color w:val="auto"/>
        </w:rPr>
        <w:t>By your acceptance of this award, you agree to all of the terms and conditions set forth in this Cover Page/Summary, the attached Year 2012 Restricted Stock Unit Award Agreement and the Sempra Energy 2008 Long Term Incentive Plan.</w:t>
      </w:r>
    </w:p>
    <w:p>
      <w:pPr>
        <w:sectPr>
          <w:pgSz w:w="11900" w:h="16838" w:orient="portrait"/>
          <w:cols w:equalWidth="0" w:num="1">
            <w:col w:w="9460"/>
          </w:cols>
          <w:pgMar w:left="1220" w:top="112" w:right="1219" w:bottom="0" w:gutter="0" w:footer="0" w:header="0"/>
        </w:sectPr>
      </w:pPr>
    </w:p>
    <w:p>
      <w:pPr>
        <w:spacing w:after="0" w:line="200" w:lineRule="exact"/>
        <w:rPr>
          <w:sz w:val="20"/>
          <w:szCs w:val="20"/>
          <w:color w:val="auto"/>
        </w:rPr>
      </w:pPr>
    </w:p>
    <w:p>
      <w:pPr>
        <w:spacing w:after="0" w:line="215"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Recipient:</w:t>
      </w:r>
    </w:p>
    <w:p>
      <w:pPr>
        <w:sectPr>
          <w:pgSz w:w="11900" w:h="16838" w:orient="portrait"/>
          <w:cols w:equalWidth="0" w:num="1">
            <w:col w:w="9460"/>
          </w:cols>
          <w:pgMar w:left="1220" w:top="112" w:right="1219" w:bottom="0" w:gutter="0" w:footer="0" w:header="0"/>
          <w:type w:val="continuous"/>
        </w:sectPr>
      </w:pPr>
    </w:p>
    <w:bookmarkStart w:id="76" w:name="page77"/>
    <w:bookmarkEnd w:id="76"/>
    <w:tbl>
      <w:tblPr>
        <w:tblLayout w:type="fixed"/>
        <w:tblInd w:w="2020" w:type="dxa"/>
        <w:tblCellMar>
          <w:top w:w="0" w:type="dxa"/>
          <w:left w:w="0" w:type="dxa"/>
          <w:bottom w:w="0" w:type="dxa"/>
          <w:right w:w="0" w:type="dxa"/>
        </w:tblCellMar>
      </w:tblPr>
      <w:tr>
        <w:trPr>
          <w:trHeight w:val="351"/>
        </w:trPr>
        <w:tc>
          <w:tcPr>
            <w:tcW w:w="2100" w:type="dxa"/>
            <w:vAlign w:val="bottom"/>
          </w:tcPr>
          <w:p>
            <w:pPr>
              <w:spacing w:after="0"/>
              <w:rPr>
                <w:sz w:val="24"/>
                <w:szCs w:val="24"/>
                <w:color w:val="auto"/>
              </w:rPr>
            </w:pPr>
          </w:p>
        </w:tc>
        <w:tc>
          <w:tcPr>
            <w:tcW w:w="3020" w:type="dxa"/>
            <w:vAlign w:val="bottom"/>
            <w:tcBorders>
              <w:bottom w:val="single" w:sz="8" w:color="auto"/>
            </w:tcBorders>
          </w:tcPr>
          <w:p>
            <w:pPr>
              <w:ind w:left="140"/>
              <w:spacing w:after="0"/>
              <w:rPr>
                <w:sz w:val="20"/>
                <w:szCs w:val="20"/>
                <w:color w:val="auto"/>
              </w:rPr>
            </w:pPr>
            <w:r>
              <w:rPr>
                <w:rFonts w:ascii="Arial" w:cs="Arial" w:eastAsia="Arial" w:hAnsi="Arial"/>
                <w:sz w:val="27"/>
                <w:szCs w:val="27"/>
                <w:b w:val="1"/>
                <w:bCs w:val="1"/>
                <w:color w:val="auto"/>
              </w:rPr>
              <w:t>X</w:t>
            </w:r>
          </w:p>
        </w:tc>
      </w:tr>
      <w:tr>
        <w:trPr>
          <w:trHeight w:val="216"/>
        </w:trPr>
        <w:tc>
          <w:tcPr>
            <w:tcW w:w="2100" w:type="dxa"/>
            <w:vAlign w:val="bottom"/>
          </w:tcPr>
          <w:p>
            <w:pPr>
              <w:spacing w:after="0"/>
              <w:rPr>
                <w:sz w:val="18"/>
                <w:szCs w:val="18"/>
                <w:color w:val="auto"/>
              </w:rPr>
            </w:pPr>
          </w:p>
        </w:tc>
        <w:tc>
          <w:tcPr>
            <w:tcW w:w="3020" w:type="dxa"/>
            <w:vAlign w:val="bottom"/>
          </w:tcPr>
          <w:p>
            <w:pPr>
              <w:jc w:val="center"/>
              <w:spacing w:after="0" w:line="215" w:lineRule="exact"/>
              <w:rPr>
                <w:sz w:val="20"/>
                <w:szCs w:val="20"/>
                <w:color w:val="auto"/>
              </w:rPr>
            </w:pPr>
            <w:r>
              <w:rPr>
                <w:rFonts w:ascii="Arial" w:cs="Arial" w:eastAsia="Arial" w:hAnsi="Arial"/>
                <w:sz w:val="19"/>
                <w:szCs w:val="19"/>
                <w:color w:val="auto"/>
                <w:w w:val="91"/>
              </w:rPr>
              <w:t>(Signature)</w:t>
            </w:r>
          </w:p>
        </w:tc>
      </w:tr>
      <w:tr>
        <w:trPr>
          <w:trHeight w:val="265"/>
        </w:trPr>
        <w:tc>
          <w:tcPr>
            <w:tcW w:w="2100" w:type="dxa"/>
            <w:vAlign w:val="bottom"/>
          </w:tcPr>
          <w:p>
            <w:pPr>
              <w:spacing w:after="0"/>
              <w:rPr>
                <w:sz w:val="20"/>
                <w:szCs w:val="20"/>
                <w:color w:val="auto"/>
              </w:rPr>
            </w:pPr>
            <w:r>
              <w:rPr>
                <w:rFonts w:ascii="Arial" w:cs="Arial" w:eastAsia="Arial" w:hAnsi="Arial"/>
                <w:sz w:val="19"/>
                <w:szCs w:val="19"/>
                <w:color w:val="auto"/>
              </w:rPr>
              <w:t>Sempra Energy:</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91"/>
              </w:rPr>
              <w:t>/s/ Debra L. Reed</w:t>
            </w:r>
          </w:p>
        </w:tc>
      </w:tr>
      <w:tr>
        <w:trPr>
          <w:trHeight w:val="228"/>
        </w:trPr>
        <w:tc>
          <w:tcPr>
            <w:tcW w:w="21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9"/>
                <w:szCs w:val="19"/>
                <w:color w:val="auto"/>
                <w:w w:val="91"/>
              </w:rPr>
              <w:t>(Signature)</w:t>
            </w:r>
          </w:p>
        </w:tc>
      </w:tr>
      <w:tr>
        <w:trPr>
          <w:trHeight w:val="246"/>
        </w:trPr>
        <w:tc>
          <w:tcPr>
            <w:tcW w:w="2100" w:type="dxa"/>
            <w:vAlign w:val="bottom"/>
          </w:tcPr>
          <w:p>
            <w:pPr>
              <w:spacing w:after="0"/>
              <w:rPr>
                <w:sz w:val="20"/>
                <w:szCs w:val="20"/>
                <w:color w:val="auto"/>
              </w:rPr>
            </w:pPr>
            <w:r>
              <w:rPr>
                <w:rFonts w:ascii="Arial" w:cs="Arial" w:eastAsia="Arial" w:hAnsi="Arial"/>
                <w:sz w:val="19"/>
                <w:szCs w:val="19"/>
                <w:color w:val="auto"/>
              </w:rPr>
              <w:t>Title:</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Chief Executive Officer</w:t>
            </w:r>
          </w:p>
        </w:tc>
      </w:tr>
    </w:tbl>
    <w:p>
      <w:pPr>
        <w:sectPr>
          <w:pgSz w:w="11900" w:h="16838" w:orient="portrait"/>
          <w:cols w:equalWidth="0" w:num="1">
            <w:col w:w="9019"/>
          </w:cols>
          <w:pgMar w:left="1440" w:top="125" w:right="1440" w:bottom="1440" w:gutter="0" w:footer="0" w:header="0"/>
        </w:sectPr>
      </w:pPr>
    </w:p>
    <w:bookmarkStart w:id="77" w:name="page78"/>
    <w:bookmarkEnd w:id="77"/>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980" w:type="dxa"/>
            <w:vAlign w:val="bottom"/>
          </w:tcPr>
          <w:p>
            <w:pPr>
              <w:spacing w:after="0"/>
              <w:rPr>
                <w:sz w:val="23"/>
                <w:szCs w:val="23"/>
                <w:color w:val="auto"/>
              </w:rPr>
            </w:pPr>
          </w:p>
        </w:tc>
        <w:tc>
          <w:tcPr>
            <w:tcW w:w="4860" w:type="dxa"/>
            <w:vAlign w:val="bottom"/>
            <w:gridSpan w:val="3"/>
          </w:tcPr>
          <w:p>
            <w:pPr>
              <w:jc w:val="center"/>
              <w:ind w:left="675"/>
              <w:spacing w:after="0"/>
              <w:rPr>
                <w:sz w:val="20"/>
                <w:szCs w:val="20"/>
                <w:color w:val="auto"/>
              </w:rPr>
            </w:pPr>
            <w:r>
              <w:rPr>
                <w:rFonts w:ascii="Arial" w:cs="Arial" w:eastAsia="Arial" w:hAnsi="Arial"/>
                <w:sz w:val="24"/>
                <w:szCs w:val="24"/>
                <w:b w:val="1"/>
                <w:bCs w:val="1"/>
                <w:color w:val="auto"/>
              </w:rPr>
              <w:t>SEMPRA ENERGY</w:t>
            </w:r>
          </w:p>
        </w:tc>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17"/>
        </w:trPr>
        <w:tc>
          <w:tcPr>
            <w:tcW w:w="1980" w:type="dxa"/>
            <w:vAlign w:val="bottom"/>
          </w:tcPr>
          <w:p>
            <w:pPr>
              <w:spacing w:after="0"/>
              <w:rPr>
                <w:sz w:val="24"/>
                <w:szCs w:val="24"/>
                <w:color w:val="auto"/>
              </w:rPr>
            </w:pPr>
          </w:p>
        </w:tc>
        <w:tc>
          <w:tcPr>
            <w:tcW w:w="7620" w:type="dxa"/>
            <w:vAlign w:val="bottom"/>
            <w:gridSpan w:val="5"/>
          </w:tcPr>
          <w:p>
            <w:pPr>
              <w:jc w:val="center"/>
              <w:ind w:right="2000"/>
              <w:spacing w:after="0"/>
              <w:rPr>
                <w:sz w:val="20"/>
                <w:szCs w:val="20"/>
                <w:color w:val="auto"/>
              </w:rPr>
            </w:pPr>
            <w:r>
              <w:rPr>
                <w:rFonts w:ascii="Arial" w:cs="Arial" w:eastAsia="Arial" w:hAnsi="Arial"/>
                <w:sz w:val="24"/>
                <w:szCs w:val="24"/>
                <w:b w:val="1"/>
                <w:bCs w:val="1"/>
                <w:color w:val="auto"/>
              </w:rPr>
              <w:t>2008 LONG TERM INCENTIVE PLAN</w:t>
            </w:r>
          </w:p>
        </w:tc>
      </w:tr>
      <w:tr>
        <w:trPr>
          <w:trHeight w:val="513"/>
        </w:trPr>
        <w:tc>
          <w:tcPr>
            <w:tcW w:w="1980" w:type="dxa"/>
            <w:vAlign w:val="bottom"/>
          </w:tcPr>
          <w:p>
            <w:pPr>
              <w:spacing w:after="0"/>
              <w:rPr>
                <w:sz w:val="24"/>
                <w:szCs w:val="24"/>
                <w:color w:val="auto"/>
              </w:rPr>
            </w:pPr>
          </w:p>
        </w:tc>
        <w:tc>
          <w:tcPr>
            <w:tcW w:w="7620" w:type="dxa"/>
            <w:vAlign w:val="bottom"/>
            <w:gridSpan w:val="5"/>
          </w:tcPr>
          <w:p>
            <w:pPr>
              <w:jc w:val="center"/>
              <w:ind w:right="1980"/>
              <w:spacing w:after="0"/>
              <w:rPr>
                <w:sz w:val="20"/>
                <w:szCs w:val="20"/>
                <w:color w:val="auto"/>
              </w:rPr>
            </w:pPr>
            <w:r>
              <w:rPr>
                <w:rFonts w:ascii="Arial" w:cs="Arial" w:eastAsia="Arial" w:hAnsi="Arial"/>
                <w:sz w:val="24"/>
                <w:szCs w:val="24"/>
                <w:b w:val="1"/>
                <w:bCs w:val="1"/>
                <w:color w:val="auto"/>
                <w:w w:val="92"/>
              </w:rPr>
              <w:t>Year 2012 Restricted Stock Unit Award Agreement</w:t>
            </w:r>
          </w:p>
        </w:tc>
      </w:tr>
      <w:tr>
        <w:trPr>
          <w:trHeight w:val="286"/>
        </w:trPr>
        <w:tc>
          <w:tcPr>
            <w:tcW w:w="1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88"/>
        </w:trPr>
        <w:tc>
          <w:tcPr>
            <w:tcW w:w="198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gridSpan w:val="2"/>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65"/>
        </w:trPr>
        <w:tc>
          <w:tcPr>
            <w:tcW w:w="1980" w:type="dxa"/>
            <w:vAlign w:val="bottom"/>
          </w:tcPr>
          <w:p>
            <w:pPr>
              <w:ind w:left="120"/>
              <w:spacing w:after="0"/>
              <w:rPr>
                <w:sz w:val="20"/>
                <w:szCs w:val="20"/>
                <w:color w:val="auto"/>
              </w:rPr>
            </w:pPr>
            <w:r>
              <w:rPr>
                <w:rFonts w:ascii="Arial" w:cs="Arial" w:eastAsia="Arial" w:hAnsi="Arial"/>
                <w:sz w:val="21"/>
                <w:szCs w:val="21"/>
                <w:b w:val="1"/>
                <w:bCs w:val="1"/>
                <w:color w:val="auto"/>
              </w:rPr>
              <w:t>Award:</w:t>
            </w: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0"/>
              </w:rPr>
              <w:t>You have been granted a performance-based restricted stock unit award under</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3"/>
              </w:rPr>
              <w:t>Sempra Energy’s 2008 Long Term Incentive Plan. The award consists of the</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2"/>
              </w:rPr>
              <w:t>number of restricted stock units set forth on the Cover Page/Summary to this</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2"/>
              </w:rPr>
              <w:t>Agreement, and dividend equivalents with respect to the restricted stock units</w:t>
            </w:r>
          </w:p>
        </w:tc>
      </w:tr>
      <w:tr>
        <w:trPr>
          <w:trHeight w:val="264"/>
        </w:trPr>
        <w:tc>
          <w:tcPr>
            <w:tcW w:w="1980" w:type="dxa"/>
            <w:vAlign w:val="bottom"/>
          </w:tcPr>
          <w:p>
            <w:pPr>
              <w:spacing w:after="0"/>
              <w:rPr>
                <w:sz w:val="22"/>
                <w:szCs w:val="22"/>
                <w:color w:val="auto"/>
              </w:rPr>
            </w:pPr>
          </w:p>
        </w:tc>
        <w:tc>
          <w:tcPr>
            <w:tcW w:w="4860" w:type="dxa"/>
            <w:vAlign w:val="bottom"/>
            <w:gridSpan w:val="3"/>
          </w:tcPr>
          <w:p>
            <w:pPr>
              <w:ind w:left="980"/>
              <w:spacing w:after="0"/>
              <w:rPr>
                <w:sz w:val="20"/>
                <w:szCs w:val="20"/>
                <w:color w:val="auto"/>
              </w:rPr>
            </w:pPr>
            <w:r>
              <w:rPr>
                <w:rFonts w:ascii="Arial" w:cs="Arial" w:eastAsia="Arial" w:hAnsi="Arial"/>
                <w:sz w:val="21"/>
                <w:szCs w:val="21"/>
                <w:color w:val="auto"/>
              </w:rPr>
              <w:t>(described below).</w:t>
            </w:r>
          </w:p>
        </w:tc>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38"/>
        </w:trPr>
        <w:tc>
          <w:tcPr>
            <w:tcW w:w="1980" w:type="dxa"/>
            <w:vAlign w:val="bottom"/>
          </w:tcPr>
          <w:p>
            <w:pPr>
              <w:spacing w:after="0"/>
              <w:rPr>
                <w:sz w:val="24"/>
                <w:szCs w:val="24"/>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4"/>
              </w:rPr>
              <w:t>Your restricted stock units represent the right to receive shares of Common</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5"/>
              </w:rPr>
              <w:t>Stock in the future, subject to the terms and conditions of your award. Your</w:t>
            </w:r>
          </w:p>
        </w:tc>
      </w:tr>
      <w:tr>
        <w:trPr>
          <w:trHeight w:val="264"/>
        </w:trPr>
        <w:tc>
          <w:tcPr>
            <w:tcW w:w="1980" w:type="dxa"/>
            <w:vAlign w:val="bottom"/>
          </w:tcPr>
          <w:p>
            <w:pPr>
              <w:spacing w:after="0"/>
              <w:rPr>
                <w:sz w:val="22"/>
                <w:szCs w:val="22"/>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rPr>
              <w:t>restricted stock units are not shares of Common Stock.</w:t>
            </w:r>
          </w:p>
        </w:tc>
      </w:tr>
      <w:tr>
        <w:trPr>
          <w:trHeight w:val="438"/>
        </w:trPr>
        <w:tc>
          <w:tcPr>
            <w:tcW w:w="1980" w:type="dxa"/>
            <w:vAlign w:val="bottom"/>
          </w:tcPr>
          <w:p>
            <w:pPr>
              <w:spacing w:after="0"/>
              <w:rPr>
                <w:sz w:val="24"/>
                <w:szCs w:val="24"/>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0"/>
              </w:rPr>
              <w:t>Each restricted stock unit represents the right to receive one share of Common</w:t>
            </w:r>
          </w:p>
        </w:tc>
      </w:tr>
      <w:tr>
        <w:trPr>
          <w:trHeight w:val="264"/>
        </w:trPr>
        <w:tc>
          <w:tcPr>
            <w:tcW w:w="1980" w:type="dxa"/>
            <w:vAlign w:val="bottom"/>
          </w:tcPr>
          <w:p>
            <w:pPr>
              <w:spacing w:after="0"/>
              <w:rPr>
                <w:sz w:val="22"/>
                <w:szCs w:val="22"/>
                <w:color w:val="auto"/>
              </w:rPr>
            </w:pPr>
          </w:p>
        </w:tc>
        <w:tc>
          <w:tcPr>
            <w:tcW w:w="4860" w:type="dxa"/>
            <w:vAlign w:val="bottom"/>
            <w:gridSpan w:val="3"/>
          </w:tcPr>
          <w:p>
            <w:pPr>
              <w:ind w:left="980"/>
              <w:spacing w:after="0"/>
              <w:rPr>
                <w:sz w:val="20"/>
                <w:szCs w:val="20"/>
                <w:color w:val="auto"/>
              </w:rPr>
            </w:pPr>
            <w:r>
              <w:rPr>
                <w:rFonts w:ascii="Arial" w:cs="Arial" w:eastAsia="Arial" w:hAnsi="Arial"/>
                <w:sz w:val="21"/>
                <w:szCs w:val="21"/>
                <w:color w:val="auto"/>
              </w:rPr>
              <w:t>Stock upon the vesting of the unit.</w:t>
            </w:r>
          </w:p>
        </w:tc>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38"/>
        </w:trPr>
        <w:tc>
          <w:tcPr>
            <w:tcW w:w="1980" w:type="dxa"/>
            <w:vAlign w:val="bottom"/>
          </w:tcPr>
          <w:p>
            <w:pPr>
              <w:spacing w:after="0"/>
              <w:rPr>
                <w:sz w:val="24"/>
                <w:szCs w:val="24"/>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rPr>
              <w:t>Unless and until they vest, your restricted stock units and any dividend</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5"/>
              </w:rPr>
              <w:t>equivalents (as described below) will be subject to transfer restrictions and</w:t>
            </w:r>
          </w:p>
        </w:tc>
      </w:tr>
      <w:tr>
        <w:trPr>
          <w:trHeight w:val="264"/>
        </w:trPr>
        <w:tc>
          <w:tcPr>
            <w:tcW w:w="1980" w:type="dxa"/>
            <w:vAlign w:val="bottom"/>
          </w:tcPr>
          <w:p>
            <w:pPr>
              <w:spacing w:after="0"/>
              <w:rPr>
                <w:sz w:val="22"/>
                <w:szCs w:val="22"/>
                <w:color w:val="auto"/>
              </w:rPr>
            </w:pPr>
          </w:p>
        </w:tc>
        <w:tc>
          <w:tcPr>
            <w:tcW w:w="4860" w:type="dxa"/>
            <w:vAlign w:val="bottom"/>
            <w:gridSpan w:val="3"/>
          </w:tcPr>
          <w:p>
            <w:pPr>
              <w:ind w:left="980"/>
              <w:spacing w:after="0"/>
              <w:rPr>
                <w:sz w:val="20"/>
                <w:szCs w:val="20"/>
                <w:color w:val="auto"/>
              </w:rPr>
            </w:pPr>
            <w:r>
              <w:rPr>
                <w:rFonts w:ascii="Arial" w:cs="Arial" w:eastAsia="Arial" w:hAnsi="Arial"/>
                <w:sz w:val="21"/>
                <w:szCs w:val="21"/>
                <w:color w:val="auto"/>
              </w:rPr>
              <w:t>forfeiture and vesting conditions.</w:t>
            </w:r>
          </w:p>
        </w:tc>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30"/>
        </w:trPr>
        <w:tc>
          <w:tcPr>
            <w:tcW w:w="1980" w:type="dxa"/>
            <w:vAlign w:val="bottom"/>
          </w:tcPr>
          <w:p>
            <w:pPr>
              <w:spacing w:after="0"/>
              <w:rPr>
                <w:sz w:val="24"/>
                <w:szCs w:val="24"/>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3"/>
              </w:rPr>
              <w:t>Your restricted stock units (and dividend equivalents) will vest only upon and</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8"/>
              </w:rPr>
              <w:t>only to the extent that the Compensation Committee of Sempra Energy's</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8"/>
              </w:rPr>
              <w:t>Board of Directors determines and certifies that Sempra Energy has met</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rPr>
              <w:t>specified total shareholder return criteria for the performance period</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3"/>
              </w:rPr>
              <w:t>beginning January 1, 2012 and ending in January 2016. Any restricted stock</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8"/>
              </w:rPr>
              <w:t>units (and dividend equivalents) that do not vest upon the Compensation</w:t>
            </w:r>
          </w:p>
        </w:tc>
      </w:tr>
      <w:tr>
        <w:trPr>
          <w:trHeight w:val="264"/>
        </w:trPr>
        <w:tc>
          <w:tcPr>
            <w:tcW w:w="1980" w:type="dxa"/>
            <w:vAlign w:val="bottom"/>
          </w:tcPr>
          <w:p>
            <w:pPr>
              <w:spacing w:after="0"/>
              <w:rPr>
                <w:sz w:val="22"/>
                <w:szCs w:val="22"/>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rPr>
              <w:t>Committee's determination and certification will be forfeited.</w:t>
            </w:r>
          </w:p>
        </w:tc>
      </w:tr>
      <w:tr>
        <w:trPr>
          <w:trHeight w:val="330"/>
        </w:trPr>
        <w:tc>
          <w:tcPr>
            <w:tcW w:w="1980" w:type="dxa"/>
            <w:vAlign w:val="bottom"/>
          </w:tcPr>
          <w:p>
            <w:pPr>
              <w:spacing w:after="0"/>
              <w:rPr>
                <w:sz w:val="24"/>
                <w:szCs w:val="24"/>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3"/>
              </w:rPr>
              <w:t>Your restricted stock units (and dividend equivalents) also may be forfeited if</w:t>
            </w:r>
          </w:p>
        </w:tc>
      </w:tr>
      <w:tr>
        <w:trPr>
          <w:trHeight w:val="264"/>
        </w:trPr>
        <w:tc>
          <w:tcPr>
            <w:tcW w:w="1980" w:type="dxa"/>
            <w:vAlign w:val="bottom"/>
          </w:tcPr>
          <w:p>
            <w:pPr>
              <w:spacing w:after="0"/>
              <w:rPr>
                <w:sz w:val="22"/>
                <w:szCs w:val="22"/>
                <w:color w:val="auto"/>
              </w:rPr>
            </w:pPr>
          </w:p>
        </w:tc>
        <w:tc>
          <w:tcPr>
            <w:tcW w:w="4860" w:type="dxa"/>
            <w:vAlign w:val="bottom"/>
            <w:gridSpan w:val="3"/>
          </w:tcPr>
          <w:p>
            <w:pPr>
              <w:ind w:left="980"/>
              <w:spacing w:after="0"/>
              <w:rPr>
                <w:sz w:val="20"/>
                <w:szCs w:val="20"/>
                <w:color w:val="auto"/>
              </w:rPr>
            </w:pPr>
            <w:r>
              <w:rPr>
                <w:rFonts w:ascii="Arial" w:cs="Arial" w:eastAsia="Arial" w:hAnsi="Arial"/>
                <w:sz w:val="21"/>
                <w:szCs w:val="21"/>
                <w:color w:val="auto"/>
                <w:w w:val="90"/>
              </w:rPr>
              <w:t>your employment terminates before they vest.</w:t>
            </w:r>
          </w:p>
        </w:tc>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16"/>
        </w:trPr>
        <w:tc>
          <w:tcPr>
            <w:tcW w:w="1980" w:type="dxa"/>
            <w:vAlign w:val="bottom"/>
          </w:tcPr>
          <w:p>
            <w:pPr>
              <w:spacing w:after="0"/>
              <w:rPr>
                <w:sz w:val="24"/>
                <w:szCs w:val="24"/>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rPr>
              <w:t>See “Vesting/Forfeiture,” “Transfer Restrictions,” and “Termination of</w:t>
            </w:r>
          </w:p>
        </w:tc>
      </w:tr>
      <w:tr>
        <w:trPr>
          <w:trHeight w:val="264"/>
        </w:trPr>
        <w:tc>
          <w:tcPr>
            <w:tcW w:w="1980" w:type="dxa"/>
            <w:vAlign w:val="bottom"/>
          </w:tcPr>
          <w:p>
            <w:pPr>
              <w:spacing w:after="0"/>
              <w:rPr>
                <w:sz w:val="22"/>
                <w:szCs w:val="22"/>
                <w:color w:val="auto"/>
              </w:rPr>
            </w:pPr>
          </w:p>
        </w:tc>
        <w:tc>
          <w:tcPr>
            <w:tcW w:w="4860" w:type="dxa"/>
            <w:vAlign w:val="bottom"/>
            <w:gridSpan w:val="3"/>
          </w:tcPr>
          <w:p>
            <w:pPr>
              <w:ind w:left="980"/>
              <w:spacing w:after="0"/>
              <w:rPr>
                <w:sz w:val="20"/>
                <w:szCs w:val="20"/>
                <w:color w:val="auto"/>
              </w:rPr>
            </w:pPr>
            <w:r>
              <w:rPr>
                <w:rFonts w:ascii="Arial" w:cs="Arial" w:eastAsia="Arial" w:hAnsi="Arial"/>
                <w:sz w:val="21"/>
                <w:szCs w:val="21"/>
                <w:color w:val="auto"/>
              </w:rPr>
              <w:t>Employment” below.</w:t>
            </w:r>
          </w:p>
        </w:tc>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65"/>
        </w:trPr>
        <w:tc>
          <w:tcPr>
            <w:tcW w:w="1980" w:type="dxa"/>
            <w:vAlign w:val="bottom"/>
          </w:tcPr>
          <w:p>
            <w:pPr>
              <w:ind w:left="120"/>
              <w:spacing w:after="0"/>
              <w:rPr>
                <w:sz w:val="20"/>
                <w:szCs w:val="20"/>
                <w:color w:val="auto"/>
              </w:rPr>
            </w:pPr>
            <w:r>
              <w:rPr>
                <w:rFonts w:ascii="Arial" w:cs="Arial" w:eastAsia="Arial" w:hAnsi="Arial"/>
                <w:sz w:val="21"/>
                <w:szCs w:val="21"/>
                <w:b w:val="1"/>
                <w:bCs w:val="1"/>
                <w:color w:val="auto"/>
                <w:w w:val="98"/>
              </w:rPr>
              <w:t>Vesting/Forfeiture:</w:t>
            </w: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2"/>
              </w:rPr>
              <w:t>Your restricted stock units (and dividend equivalents, as described below) will</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5"/>
              </w:rPr>
              <w:t>vest only upon and only to the extent that the Compensation Committee of</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6"/>
              </w:rPr>
              <w:t>Sempra Energy's Board of Directors determines and certifies that Sempra</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2"/>
              </w:rPr>
              <w:t>Energy has met the following total shareholder return performance criteria for</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w w:val="90"/>
              </w:rPr>
              <w:t>the performance period beginning on January 1, 2012 and ending on the close</w:t>
            </w:r>
          </w:p>
        </w:tc>
      </w:tr>
      <w:tr>
        <w:trPr>
          <w:trHeight w:val="264"/>
        </w:trPr>
        <w:tc>
          <w:tcPr>
            <w:tcW w:w="1980" w:type="dxa"/>
            <w:vAlign w:val="bottom"/>
          </w:tcPr>
          <w:p>
            <w:pPr>
              <w:spacing w:after="0"/>
              <w:rPr>
                <w:sz w:val="22"/>
                <w:szCs w:val="22"/>
                <w:color w:val="auto"/>
              </w:rPr>
            </w:pPr>
          </w:p>
        </w:tc>
        <w:tc>
          <w:tcPr>
            <w:tcW w:w="7620" w:type="dxa"/>
            <w:vAlign w:val="bottom"/>
            <w:gridSpan w:val="5"/>
          </w:tcPr>
          <w:p>
            <w:pPr>
              <w:ind w:left="980"/>
              <w:spacing w:after="0"/>
              <w:rPr>
                <w:sz w:val="20"/>
                <w:szCs w:val="20"/>
                <w:color w:val="auto"/>
              </w:rPr>
            </w:pPr>
            <w:r>
              <w:rPr>
                <w:rFonts w:ascii="Arial" w:cs="Arial" w:eastAsia="Arial" w:hAnsi="Arial"/>
                <w:sz w:val="21"/>
                <w:szCs w:val="21"/>
                <w:color w:val="auto"/>
              </w:rPr>
              <w:t>of trading on the first New York Stock Exchange trading day of 2016:</w:t>
            </w:r>
          </w:p>
        </w:tc>
      </w:tr>
      <w:tr>
        <w:trPr>
          <w:trHeight w:val="438"/>
        </w:trPr>
        <w:tc>
          <w:tcPr>
            <w:tcW w:w="1980" w:type="dxa"/>
            <w:vAlign w:val="bottom"/>
          </w:tcPr>
          <w:p>
            <w:pPr>
              <w:spacing w:after="0"/>
              <w:rPr>
                <w:sz w:val="24"/>
                <w:szCs w:val="24"/>
                <w:color w:val="auto"/>
              </w:rPr>
            </w:pPr>
          </w:p>
        </w:tc>
        <w:tc>
          <w:tcPr>
            <w:tcW w:w="7620" w:type="dxa"/>
            <w:vAlign w:val="bottom"/>
            <w:gridSpan w:val="5"/>
          </w:tcPr>
          <w:p>
            <w:pPr>
              <w:ind w:left="1060"/>
              <w:spacing w:after="0"/>
              <w:rPr>
                <w:sz w:val="20"/>
                <w:szCs w:val="20"/>
                <w:color w:val="auto"/>
              </w:rPr>
            </w:pPr>
            <w:r>
              <w:rPr>
                <w:rFonts w:ascii="Arial" w:cs="Arial" w:eastAsia="Arial" w:hAnsi="Arial"/>
                <w:sz w:val="21"/>
                <w:szCs w:val="21"/>
                <w:color w:val="auto"/>
                <w:w w:val="94"/>
              </w:rPr>
              <w:t>§   The percentage of your target number of restricted stock units that vest</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w w:val="97"/>
              </w:rPr>
              <w:t>will be determined as follows, based on the percentile ranking for the</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rPr>
              <w:t>performance period (as measured based on the thirty-day average</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w w:val="94"/>
              </w:rPr>
              <w:t>immediately preceding the start of the performance period compared to</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w w:val="91"/>
              </w:rPr>
              <w:t>the thirty-day average immediately preceding the end of the performance</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rPr>
              <w:t>period) of Sempra Energy’s cumulative total shareholder return</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w w:val="94"/>
              </w:rPr>
              <w:t>(consisting of per share appreciation in Common Stock plus reinvested</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w w:val="97"/>
              </w:rPr>
              <w:t>dividends and other distributions paid on Common Stock) among the</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w w:val="94"/>
              </w:rPr>
              <w:t>companies (ranked by cumulative total shareholder returns) in the S&amp;P</w:t>
            </w:r>
          </w:p>
        </w:tc>
      </w:tr>
      <w:tr>
        <w:trPr>
          <w:trHeight w:val="243"/>
        </w:trPr>
        <w:tc>
          <w:tcPr>
            <w:tcW w:w="1980" w:type="dxa"/>
            <w:vAlign w:val="bottom"/>
          </w:tcPr>
          <w:p>
            <w:pPr>
              <w:spacing w:after="0"/>
              <w:rPr>
                <w:sz w:val="21"/>
                <w:szCs w:val="21"/>
                <w:color w:val="auto"/>
              </w:rPr>
            </w:pPr>
          </w:p>
        </w:tc>
        <w:tc>
          <w:tcPr>
            <w:tcW w:w="7620" w:type="dxa"/>
            <w:vAlign w:val="bottom"/>
            <w:gridSpan w:val="5"/>
          </w:tcPr>
          <w:p>
            <w:pPr>
              <w:ind w:left="1380"/>
              <w:spacing w:after="0"/>
              <w:rPr>
                <w:sz w:val="20"/>
                <w:szCs w:val="20"/>
                <w:color w:val="auto"/>
              </w:rPr>
            </w:pPr>
            <w:r>
              <w:rPr>
                <w:rFonts w:ascii="Arial" w:cs="Arial" w:eastAsia="Arial" w:hAnsi="Arial"/>
                <w:sz w:val="21"/>
                <w:szCs w:val="21"/>
                <w:color w:val="auto"/>
              </w:rPr>
              <w:t>500 Utility Index, as determined and certified by the Compensation</w:t>
            </w:r>
          </w:p>
        </w:tc>
      </w:tr>
      <w:tr>
        <w:trPr>
          <w:trHeight w:val="264"/>
        </w:trPr>
        <w:tc>
          <w:tcPr>
            <w:tcW w:w="1980" w:type="dxa"/>
            <w:vAlign w:val="bottom"/>
          </w:tcPr>
          <w:p>
            <w:pPr>
              <w:spacing w:after="0"/>
              <w:rPr>
                <w:sz w:val="22"/>
                <w:szCs w:val="22"/>
                <w:color w:val="auto"/>
              </w:rPr>
            </w:pPr>
          </w:p>
        </w:tc>
        <w:tc>
          <w:tcPr>
            <w:tcW w:w="4860" w:type="dxa"/>
            <w:vAlign w:val="bottom"/>
            <w:gridSpan w:val="3"/>
          </w:tcPr>
          <w:p>
            <w:pPr>
              <w:ind w:left="1380"/>
              <w:spacing w:after="0"/>
              <w:rPr>
                <w:sz w:val="20"/>
                <w:szCs w:val="20"/>
                <w:color w:val="auto"/>
              </w:rPr>
            </w:pPr>
            <w:r>
              <w:rPr>
                <w:rFonts w:ascii="Arial" w:cs="Arial" w:eastAsia="Arial" w:hAnsi="Arial"/>
                <w:sz w:val="21"/>
                <w:szCs w:val="21"/>
                <w:color w:val="auto"/>
              </w:rPr>
              <w:t>Committee.</w:t>
            </w:r>
          </w:p>
        </w:tc>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870"/>
        </w:trPr>
        <w:tc>
          <w:tcPr>
            <w:tcW w:w="1980" w:type="dxa"/>
            <w:vAlign w:val="bottom"/>
          </w:tcPr>
          <w:p>
            <w:pPr>
              <w:spacing w:after="0"/>
              <w:rPr>
                <w:sz w:val="24"/>
                <w:szCs w:val="24"/>
                <w:color w:val="auto"/>
              </w:rPr>
            </w:pPr>
          </w:p>
        </w:tc>
        <w:tc>
          <w:tcPr>
            <w:tcW w:w="4860" w:type="dxa"/>
            <w:vAlign w:val="bottom"/>
            <w:gridSpan w:val="3"/>
          </w:tcPr>
          <w:p>
            <w:pPr>
              <w:ind w:left="2020"/>
              <w:spacing w:after="0"/>
              <w:rPr>
                <w:sz w:val="20"/>
                <w:szCs w:val="20"/>
                <w:color w:val="auto"/>
              </w:rPr>
            </w:pPr>
            <w:r>
              <w:rPr>
                <w:rFonts w:ascii="Arial" w:cs="Arial" w:eastAsia="Arial" w:hAnsi="Arial"/>
                <w:sz w:val="21"/>
                <w:szCs w:val="21"/>
                <w:color w:val="auto"/>
                <w:w w:val="88"/>
              </w:rPr>
              <w:t>Sempra Energy Total Shareholder</w:t>
            </w:r>
          </w:p>
        </w:tc>
        <w:tc>
          <w:tcPr>
            <w:tcW w:w="2760" w:type="dxa"/>
            <w:vAlign w:val="bottom"/>
            <w:gridSpan w:val="2"/>
          </w:tcPr>
          <w:p>
            <w:pPr>
              <w:ind w:left="660"/>
              <w:spacing w:after="0"/>
              <w:rPr>
                <w:sz w:val="20"/>
                <w:szCs w:val="20"/>
                <w:color w:val="auto"/>
              </w:rPr>
            </w:pPr>
            <w:r>
              <w:rPr>
                <w:rFonts w:ascii="Arial" w:cs="Arial" w:eastAsia="Arial" w:hAnsi="Arial"/>
                <w:sz w:val="21"/>
                <w:szCs w:val="21"/>
                <w:color w:val="auto"/>
              </w:rPr>
              <w:t>Percentage of Target</w:t>
            </w:r>
          </w:p>
        </w:tc>
      </w:tr>
      <w:tr>
        <w:trPr>
          <w:trHeight w:val="243"/>
        </w:trPr>
        <w:tc>
          <w:tcPr>
            <w:tcW w:w="1980" w:type="dxa"/>
            <w:vAlign w:val="bottom"/>
          </w:tcPr>
          <w:p>
            <w:pPr>
              <w:spacing w:after="0"/>
              <w:rPr>
                <w:sz w:val="21"/>
                <w:szCs w:val="21"/>
                <w:color w:val="auto"/>
              </w:rPr>
            </w:pPr>
          </w:p>
        </w:tc>
        <w:tc>
          <w:tcPr>
            <w:tcW w:w="4860" w:type="dxa"/>
            <w:vAlign w:val="bottom"/>
            <w:gridSpan w:val="3"/>
          </w:tcPr>
          <w:p>
            <w:pPr>
              <w:ind w:left="2020"/>
              <w:spacing w:after="0"/>
              <w:rPr>
                <w:sz w:val="20"/>
                <w:szCs w:val="20"/>
                <w:color w:val="auto"/>
              </w:rPr>
            </w:pPr>
            <w:r>
              <w:rPr>
                <w:rFonts w:ascii="Arial" w:cs="Arial" w:eastAsia="Arial" w:hAnsi="Arial"/>
                <w:sz w:val="21"/>
                <w:szCs w:val="21"/>
                <w:color w:val="auto"/>
              </w:rPr>
              <w:t>Return Percentile</w:t>
            </w:r>
          </w:p>
        </w:tc>
        <w:tc>
          <w:tcPr>
            <w:tcW w:w="2760" w:type="dxa"/>
            <w:vAlign w:val="bottom"/>
            <w:gridSpan w:val="2"/>
          </w:tcPr>
          <w:p>
            <w:pPr>
              <w:spacing w:after="0"/>
              <w:rPr>
                <w:sz w:val="20"/>
                <w:szCs w:val="20"/>
                <w:color w:val="auto"/>
              </w:rPr>
            </w:pPr>
            <w:r>
              <w:rPr>
                <w:rFonts w:ascii="Arial" w:cs="Arial" w:eastAsia="Arial" w:hAnsi="Arial"/>
                <w:sz w:val="21"/>
                <w:szCs w:val="21"/>
                <w:color w:val="auto"/>
              </w:rPr>
              <w:t>Number of Restricted</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40" w:type="dxa"/>
            <w:vAlign w:val="bottom"/>
            <w:gridSpan w:val="2"/>
          </w:tcPr>
          <w:p>
            <w:pPr>
              <w:ind w:left="360"/>
              <w:spacing w:after="0" w:line="216" w:lineRule="exact"/>
              <w:rPr>
                <w:sz w:val="20"/>
                <w:szCs w:val="20"/>
                <w:color w:val="auto"/>
              </w:rPr>
            </w:pPr>
            <w:r>
              <w:rPr>
                <w:rFonts w:ascii="Arial" w:cs="Arial" w:eastAsia="Arial" w:hAnsi="Arial"/>
                <w:sz w:val="21"/>
                <w:szCs w:val="21"/>
                <w:color w:val="auto"/>
              </w:rPr>
              <w:t>Ranking</w:t>
            </w:r>
          </w:p>
        </w:tc>
        <w:tc>
          <w:tcPr>
            <w:tcW w:w="2760" w:type="dxa"/>
            <w:vAlign w:val="bottom"/>
            <w:gridSpan w:val="2"/>
          </w:tcPr>
          <w:p>
            <w:pPr>
              <w:spacing w:after="0" w:line="216" w:lineRule="exact"/>
              <w:rPr>
                <w:sz w:val="20"/>
                <w:szCs w:val="20"/>
                <w:color w:val="auto"/>
              </w:rPr>
            </w:pPr>
            <w:r>
              <w:rPr>
                <w:rFonts w:ascii="Arial" w:cs="Arial" w:eastAsia="Arial" w:hAnsi="Arial"/>
                <w:sz w:val="21"/>
                <w:szCs w:val="21"/>
                <w:color w:val="auto"/>
              </w:rPr>
              <w:t>Stock Units that Vest</w:t>
            </w:r>
          </w:p>
        </w:tc>
      </w:tr>
      <w:tr>
        <w:trPr>
          <w:trHeight w:val="555"/>
        </w:trPr>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Borders>
              <w:top w:val="single" w:sz="8" w:color="auto"/>
            </w:tcBorders>
          </w:tcPr>
          <w:p>
            <w:pPr>
              <w:ind w:left="480"/>
              <w:spacing w:after="0"/>
              <w:rPr>
                <w:sz w:val="20"/>
                <w:szCs w:val="20"/>
                <w:color w:val="auto"/>
              </w:rPr>
            </w:pPr>
            <w:r>
              <w:rPr>
                <w:rFonts w:ascii="Arial" w:cs="Arial" w:eastAsia="Arial" w:hAnsi="Arial"/>
                <w:sz w:val="41"/>
                <w:szCs w:val="41"/>
                <w:color w:val="auto"/>
                <w:vertAlign w:val="subscript"/>
              </w:rPr>
              <w:t>75</w:t>
            </w:r>
            <w:r>
              <w:rPr>
                <w:rFonts w:ascii="Arial" w:cs="Arial" w:eastAsia="Arial" w:hAnsi="Arial"/>
                <w:sz w:val="17"/>
                <w:szCs w:val="17"/>
                <w:color w:val="auto"/>
              </w:rPr>
              <w:t>th</w:t>
            </w:r>
          </w:p>
        </w:tc>
        <w:tc>
          <w:tcPr>
            <w:tcW w:w="1780" w:type="dxa"/>
            <w:vAlign w:val="bottom"/>
          </w:tcPr>
          <w:p>
            <w:pPr>
              <w:spacing w:after="0"/>
              <w:rPr>
                <w:sz w:val="24"/>
                <w:szCs w:val="24"/>
                <w:color w:val="auto"/>
              </w:rPr>
            </w:pPr>
          </w:p>
        </w:tc>
        <w:tc>
          <w:tcPr>
            <w:tcW w:w="1740" w:type="dxa"/>
            <w:vAlign w:val="bottom"/>
            <w:tcBorders>
              <w:top w:val="single" w:sz="8" w:color="auto"/>
            </w:tcBorders>
          </w:tcPr>
          <w:p>
            <w:pPr>
              <w:ind w:left="480"/>
              <w:spacing w:after="0"/>
              <w:rPr>
                <w:sz w:val="20"/>
                <w:szCs w:val="20"/>
                <w:color w:val="auto"/>
              </w:rPr>
            </w:pPr>
            <w:r>
              <w:rPr>
                <w:rFonts w:ascii="Arial" w:cs="Arial" w:eastAsia="Arial" w:hAnsi="Arial"/>
                <w:sz w:val="21"/>
                <w:szCs w:val="21"/>
                <w:color w:val="auto"/>
              </w:rPr>
              <w:t>150%</w:t>
            </w:r>
          </w:p>
        </w:tc>
        <w:tc>
          <w:tcPr>
            <w:tcW w:w="1020" w:type="dxa"/>
            <w:vAlign w:val="bottom"/>
          </w:tcPr>
          <w:p>
            <w:pPr>
              <w:spacing w:after="0"/>
              <w:rPr>
                <w:sz w:val="24"/>
                <w:szCs w:val="24"/>
                <w:color w:val="auto"/>
              </w:rPr>
            </w:pPr>
          </w:p>
        </w:tc>
      </w:tr>
      <w:tr>
        <w:trPr>
          <w:trHeight w:val="311"/>
        </w:trPr>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40" w:type="dxa"/>
            <w:vAlign w:val="bottom"/>
            <w:gridSpan w:val="2"/>
          </w:tcPr>
          <w:p>
            <w:pPr>
              <w:ind w:left="480"/>
              <w:spacing w:after="0" w:line="311" w:lineRule="exact"/>
              <w:rPr>
                <w:sz w:val="20"/>
                <w:szCs w:val="20"/>
                <w:color w:val="auto"/>
              </w:rPr>
            </w:pPr>
            <w:r>
              <w:rPr>
                <w:rFonts w:ascii="Arial" w:cs="Arial" w:eastAsia="Arial" w:hAnsi="Arial"/>
                <w:sz w:val="36"/>
                <w:szCs w:val="36"/>
                <w:color w:val="auto"/>
                <w:vertAlign w:val="subscript"/>
              </w:rPr>
              <w:t>70</w:t>
            </w:r>
            <w:r>
              <w:rPr>
                <w:rFonts w:ascii="Arial" w:cs="Arial" w:eastAsia="Arial" w:hAnsi="Arial"/>
                <w:sz w:val="16"/>
                <w:szCs w:val="16"/>
                <w:color w:val="auto"/>
              </w:rPr>
              <w:t>th</w:t>
            </w:r>
          </w:p>
        </w:tc>
        <w:tc>
          <w:tcPr>
            <w:tcW w:w="1740" w:type="dxa"/>
            <w:vAlign w:val="bottom"/>
          </w:tcPr>
          <w:p>
            <w:pPr>
              <w:ind w:left="480"/>
              <w:spacing w:after="0"/>
              <w:rPr>
                <w:sz w:val="20"/>
                <w:szCs w:val="20"/>
                <w:color w:val="auto"/>
              </w:rPr>
            </w:pPr>
            <w:r>
              <w:rPr>
                <w:rFonts w:ascii="Arial" w:cs="Arial" w:eastAsia="Arial" w:hAnsi="Arial"/>
                <w:sz w:val="21"/>
                <w:szCs w:val="21"/>
                <w:color w:val="auto"/>
              </w:rPr>
              <w:t>140%</w:t>
            </w:r>
          </w:p>
        </w:tc>
        <w:tc>
          <w:tcPr>
            <w:tcW w:w="1020" w:type="dxa"/>
            <w:vAlign w:val="bottom"/>
          </w:tcPr>
          <w:p>
            <w:pPr>
              <w:spacing w:after="0"/>
              <w:rPr>
                <w:sz w:val="24"/>
                <w:szCs w:val="24"/>
                <w:color w:val="auto"/>
              </w:rPr>
            </w:pPr>
          </w:p>
        </w:tc>
      </w:tr>
      <w:tr>
        <w:trPr>
          <w:trHeight w:val="311"/>
        </w:trPr>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65</w:t>
            </w:r>
            <w:r>
              <w:rPr>
                <w:rFonts w:ascii="Arial" w:cs="Arial" w:eastAsia="Arial" w:hAnsi="Arial"/>
                <w:sz w:val="34"/>
                <w:szCs w:val="34"/>
                <w:color w:val="auto"/>
                <w:vertAlign w:val="superscript"/>
              </w:rPr>
              <w:t>th</w:t>
            </w:r>
          </w:p>
        </w:tc>
        <w:tc>
          <w:tcPr>
            <w:tcW w:w="1740" w:type="dxa"/>
            <w:vAlign w:val="bottom"/>
          </w:tcPr>
          <w:p>
            <w:pPr>
              <w:ind w:left="480"/>
              <w:spacing w:after="0"/>
              <w:rPr>
                <w:sz w:val="20"/>
                <w:szCs w:val="20"/>
                <w:color w:val="auto"/>
              </w:rPr>
            </w:pPr>
            <w:r>
              <w:rPr>
                <w:rFonts w:ascii="Arial" w:cs="Arial" w:eastAsia="Arial" w:hAnsi="Arial"/>
                <w:sz w:val="21"/>
                <w:szCs w:val="21"/>
                <w:color w:val="auto"/>
              </w:rPr>
              <w:t>130%</w:t>
            </w:r>
          </w:p>
        </w:tc>
        <w:tc>
          <w:tcPr>
            <w:tcW w:w="1020" w:type="dxa"/>
            <w:vAlign w:val="bottom"/>
          </w:tcPr>
          <w:p>
            <w:pPr>
              <w:spacing w:after="0"/>
              <w:rPr>
                <w:sz w:val="24"/>
                <w:szCs w:val="24"/>
                <w:color w:val="auto"/>
              </w:rPr>
            </w:pPr>
          </w:p>
        </w:tc>
      </w:tr>
      <w:tr>
        <w:trPr>
          <w:trHeight w:val="311"/>
        </w:trPr>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60</w:t>
            </w:r>
            <w:r>
              <w:rPr>
                <w:rFonts w:ascii="Arial" w:cs="Arial" w:eastAsia="Arial" w:hAnsi="Arial"/>
                <w:sz w:val="34"/>
                <w:szCs w:val="34"/>
                <w:color w:val="auto"/>
                <w:vertAlign w:val="superscript"/>
              </w:rPr>
              <w:t>th</w:t>
            </w:r>
          </w:p>
        </w:tc>
        <w:tc>
          <w:tcPr>
            <w:tcW w:w="1740" w:type="dxa"/>
            <w:vAlign w:val="bottom"/>
          </w:tcPr>
          <w:p>
            <w:pPr>
              <w:ind w:left="480"/>
              <w:spacing w:after="0"/>
              <w:rPr>
                <w:sz w:val="20"/>
                <w:szCs w:val="20"/>
                <w:color w:val="auto"/>
              </w:rPr>
            </w:pPr>
            <w:r>
              <w:rPr>
                <w:rFonts w:ascii="Arial" w:cs="Arial" w:eastAsia="Arial" w:hAnsi="Arial"/>
                <w:sz w:val="21"/>
                <w:szCs w:val="21"/>
                <w:color w:val="auto"/>
              </w:rPr>
              <w:t>120%</w:t>
            </w:r>
          </w:p>
        </w:tc>
        <w:tc>
          <w:tcPr>
            <w:tcW w:w="1020" w:type="dxa"/>
            <w:vAlign w:val="bottom"/>
          </w:tcPr>
          <w:p>
            <w:pPr>
              <w:spacing w:after="0"/>
              <w:rPr>
                <w:sz w:val="24"/>
                <w:szCs w:val="24"/>
                <w:color w:val="auto"/>
              </w:rPr>
            </w:pPr>
          </w:p>
        </w:tc>
      </w:tr>
      <w:tr>
        <w:trPr>
          <w:trHeight w:val="311"/>
        </w:trPr>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55</w:t>
            </w:r>
            <w:r>
              <w:rPr>
                <w:rFonts w:ascii="Arial" w:cs="Arial" w:eastAsia="Arial" w:hAnsi="Arial"/>
                <w:sz w:val="34"/>
                <w:szCs w:val="34"/>
                <w:color w:val="auto"/>
                <w:vertAlign w:val="superscript"/>
              </w:rPr>
              <w:t>th</w:t>
            </w:r>
          </w:p>
        </w:tc>
        <w:tc>
          <w:tcPr>
            <w:tcW w:w="1740" w:type="dxa"/>
            <w:vAlign w:val="bottom"/>
          </w:tcPr>
          <w:p>
            <w:pPr>
              <w:ind w:left="480"/>
              <w:spacing w:after="0"/>
              <w:rPr>
                <w:sz w:val="20"/>
                <w:szCs w:val="20"/>
                <w:color w:val="auto"/>
              </w:rPr>
            </w:pPr>
            <w:r>
              <w:rPr>
                <w:rFonts w:ascii="Arial" w:cs="Arial" w:eastAsia="Arial" w:hAnsi="Arial"/>
                <w:sz w:val="21"/>
                <w:szCs w:val="21"/>
                <w:color w:val="auto"/>
              </w:rPr>
              <w:t>110%</w:t>
            </w:r>
          </w:p>
        </w:tc>
        <w:tc>
          <w:tcPr>
            <w:tcW w:w="1020" w:type="dxa"/>
            <w:vAlign w:val="bottom"/>
          </w:tcPr>
          <w:p>
            <w:pPr>
              <w:spacing w:after="0"/>
              <w:rPr>
                <w:sz w:val="24"/>
                <w:szCs w:val="24"/>
                <w:color w:val="auto"/>
              </w:rPr>
            </w:pPr>
          </w:p>
        </w:tc>
      </w:tr>
      <w:tr>
        <w:trPr>
          <w:trHeight w:val="450"/>
        </w:trPr>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40" w:type="dxa"/>
            <w:vAlign w:val="bottom"/>
            <w:gridSpan w:val="2"/>
          </w:tcPr>
          <w:p>
            <w:pPr>
              <w:ind w:left="480"/>
              <w:spacing w:after="0"/>
              <w:rPr>
                <w:sz w:val="20"/>
                <w:szCs w:val="20"/>
                <w:color w:val="auto"/>
              </w:rPr>
            </w:pPr>
            <w:r>
              <w:rPr>
                <w:rFonts w:ascii="Arial" w:cs="Arial" w:eastAsia="Arial" w:hAnsi="Arial"/>
                <w:sz w:val="21"/>
                <w:szCs w:val="21"/>
                <w:color w:val="auto"/>
              </w:rPr>
              <w:t>50</w:t>
            </w:r>
            <w:r>
              <w:rPr>
                <w:rFonts w:ascii="Arial" w:cs="Arial" w:eastAsia="Arial" w:hAnsi="Arial"/>
                <w:sz w:val="34"/>
                <w:szCs w:val="34"/>
                <w:color w:val="auto"/>
                <w:vertAlign w:val="superscript"/>
              </w:rPr>
              <w:t>th</w:t>
            </w:r>
          </w:p>
        </w:tc>
        <w:tc>
          <w:tcPr>
            <w:tcW w:w="1740" w:type="dxa"/>
            <w:vAlign w:val="bottom"/>
          </w:tcPr>
          <w:p>
            <w:pPr>
              <w:ind w:left="480"/>
              <w:spacing w:after="0"/>
              <w:rPr>
                <w:sz w:val="20"/>
                <w:szCs w:val="20"/>
                <w:color w:val="auto"/>
              </w:rPr>
            </w:pPr>
            <w:r>
              <w:rPr>
                <w:rFonts w:ascii="Arial" w:cs="Arial" w:eastAsia="Arial" w:hAnsi="Arial"/>
                <w:sz w:val="21"/>
                <w:szCs w:val="21"/>
                <w:color w:val="auto"/>
              </w:rPr>
              <w:t>100%</w:t>
            </w:r>
          </w:p>
        </w:tc>
        <w:tc>
          <w:tcPr>
            <w:tcW w:w="1020" w:type="dxa"/>
            <w:vAlign w:val="bottom"/>
          </w:tcPr>
          <w:p>
            <w:pPr>
              <w:spacing w:after="0"/>
              <w:rPr>
                <w:sz w:val="24"/>
                <w:szCs w:val="24"/>
                <w:color w:val="auto"/>
              </w:rPr>
            </w:pPr>
          </w:p>
        </w:tc>
      </w:tr>
    </w:tbl>
    <w:p>
      <w:pPr>
        <w:sectPr>
          <w:pgSz w:w="11900" w:h="16950" w:orient="portrait"/>
          <w:cols w:equalWidth="0" w:num="1">
            <w:col w:w="9600"/>
          </w:cols>
          <w:pgMar w:left="1160" w:top="105" w:right="1139" w:bottom="0" w:gutter="0" w:footer="0" w:header="0"/>
        </w:sectPr>
      </w:pPr>
    </w:p>
    <w:bookmarkStart w:id="78" w:name="page79"/>
    <w:bookmarkEnd w:id="78"/>
    <w:p>
      <w:pPr>
        <w:spacing w:after="0" w:line="1" w:lineRule="exact"/>
        <w:rPr>
          <w:sz w:val="20"/>
          <w:szCs w:val="20"/>
          <w:color w:val="auto"/>
        </w:rPr>
      </w:pPr>
    </w:p>
    <w:tbl>
      <w:tblPr>
        <w:tblLayout w:type="fixed"/>
        <w:tblInd w:w="4200" w:type="dxa"/>
        <w:tblCellMar>
          <w:top w:w="0" w:type="dxa"/>
          <w:left w:w="0" w:type="dxa"/>
          <w:bottom w:w="0" w:type="dxa"/>
          <w:right w:w="0" w:type="dxa"/>
        </w:tblCellMar>
      </w:tblPr>
      <w:tr>
        <w:trPr>
          <w:trHeight w:val="391"/>
        </w:trPr>
        <w:tc>
          <w:tcPr>
            <w:tcW w:w="1680" w:type="dxa"/>
            <w:vAlign w:val="bottom"/>
          </w:tcPr>
          <w:p>
            <w:pPr>
              <w:spacing w:after="0"/>
              <w:rPr>
                <w:sz w:val="20"/>
                <w:szCs w:val="20"/>
                <w:color w:val="auto"/>
              </w:rPr>
            </w:pPr>
            <w:r>
              <w:rPr>
                <w:rFonts w:ascii="Arial" w:cs="Arial" w:eastAsia="Arial" w:hAnsi="Arial"/>
                <w:sz w:val="21"/>
                <w:szCs w:val="21"/>
                <w:color w:val="auto"/>
              </w:rPr>
              <w:t>45</w:t>
            </w:r>
            <w:r>
              <w:rPr>
                <w:rFonts w:ascii="Arial" w:cs="Arial" w:eastAsia="Arial" w:hAnsi="Arial"/>
                <w:sz w:val="34"/>
                <w:szCs w:val="34"/>
                <w:color w:val="auto"/>
                <w:vertAlign w:val="superscript"/>
              </w:rPr>
              <w:t>th</w:t>
            </w:r>
          </w:p>
        </w:tc>
        <w:tc>
          <w:tcPr>
            <w:tcW w:w="1700" w:type="dxa"/>
            <w:vAlign w:val="bottom"/>
          </w:tcPr>
          <w:p>
            <w:pPr>
              <w:jc w:val="right"/>
              <w:spacing w:after="0"/>
              <w:rPr>
                <w:sz w:val="20"/>
                <w:szCs w:val="20"/>
                <w:color w:val="auto"/>
              </w:rPr>
            </w:pPr>
            <w:r>
              <w:rPr>
                <w:rFonts w:ascii="Arial" w:cs="Arial" w:eastAsia="Arial" w:hAnsi="Arial"/>
                <w:sz w:val="21"/>
                <w:szCs w:val="21"/>
                <w:color w:val="auto"/>
              </w:rPr>
              <w:t>70%</w:t>
            </w:r>
          </w:p>
        </w:tc>
      </w:tr>
      <w:tr>
        <w:trPr>
          <w:trHeight w:val="311"/>
        </w:trPr>
        <w:tc>
          <w:tcPr>
            <w:tcW w:w="1680" w:type="dxa"/>
            <w:vAlign w:val="bottom"/>
          </w:tcPr>
          <w:p>
            <w:pPr>
              <w:spacing w:after="0" w:line="310" w:lineRule="exact"/>
              <w:rPr>
                <w:sz w:val="20"/>
                <w:szCs w:val="20"/>
                <w:color w:val="auto"/>
              </w:rPr>
            </w:pPr>
            <w:r>
              <w:rPr>
                <w:rFonts w:ascii="Arial" w:cs="Arial" w:eastAsia="Arial" w:hAnsi="Arial"/>
                <w:sz w:val="21"/>
                <w:szCs w:val="21"/>
                <w:color w:val="auto"/>
              </w:rPr>
              <w:t>40</w:t>
            </w:r>
            <w:r>
              <w:rPr>
                <w:rFonts w:ascii="Arial" w:cs="Arial" w:eastAsia="Arial" w:hAnsi="Arial"/>
                <w:sz w:val="34"/>
                <w:szCs w:val="34"/>
                <w:color w:val="auto"/>
                <w:vertAlign w:val="superscript"/>
              </w:rPr>
              <w:t>th</w:t>
            </w:r>
          </w:p>
        </w:tc>
        <w:tc>
          <w:tcPr>
            <w:tcW w:w="170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450"/>
        </w:trPr>
        <w:tc>
          <w:tcPr>
            <w:tcW w:w="1680" w:type="dxa"/>
            <w:vAlign w:val="bottom"/>
          </w:tcPr>
          <w:p>
            <w:pPr>
              <w:spacing w:after="0"/>
              <w:rPr>
                <w:sz w:val="20"/>
                <w:szCs w:val="20"/>
                <w:color w:val="auto"/>
              </w:rPr>
            </w:pPr>
            <w:r>
              <w:rPr>
                <w:rFonts w:ascii="Arial" w:cs="Arial" w:eastAsia="Arial" w:hAnsi="Arial"/>
                <w:sz w:val="21"/>
                <w:szCs w:val="21"/>
                <w:color w:val="auto"/>
              </w:rPr>
              <w:t>35</w:t>
            </w:r>
            <w:r>
              <w:rPr>
                <w:rFonts w:ascii="Arial" w:cs="Arial" w:eastAsia="Arial" w:hAnsi="Arial"/>
                <w:sz w:val="34"/>
                <w:szCs w:val="34"/>
                <w:color w:val="auto"/>
                <w:vertAlign w:val="superscript"/>
              </w:rPr>
              <w:t>th</w:t>
            </w:r>
          </w:p>
        </w:tc>
        <w:tc>
          <w:tcPr>
            <w:tcW w:w="1700" w:type="dxa"/>
            <w:vAlign w:val="bottom"/>
          </w:tcPr>
          <w:p>
            <w:pPr>
              <w:jc w:val="right"/>
              <w:spacing w:after="0"/>
              <w:rPr>
                <w:sz w:val="20"/>
                <w:szCs w:val="20"/>
                <w:color w:val="auto"/>
              </w:rPr>
            </w:pPr>
            <w:r>
              <w:rPr>
                <w:rFonts w:ascii="Arial" w:cs="Arial" w:eastAsia="Arial" w:hAnsi="Arial"/>
                <w:sz w:val="21"/>
                <w:szCs w:val="21"/>
                <w:color w:val="auto"/>
              </w:rPr>
              <w:t>0%</w:t>
            </w:r>
          </w:p>
        </w:tc>
      </w:tr>
    </w:tbl>
    <w:p>
      <w:pPr>
        <w:spacing w:after="0" w:line="55" w:lineRule="exact"/>
        <w:rPr>
          <w:sz w:val="20"/>
          <w:szCs w:val="20"/>
          <w:color w:val="auto"/>
        </w:rPr>
      </w:pPr>
    </w:p>
    <w:p>
      <w:pPr>
        <w:ind w:left="3080"/>
        <w:spacing w:after="0" w:line="247" w:lineRule="auto"/>
        <w:rPr>
          <w:sz w:val="20"/>
          <w:szCs w:val="20"/>
          <w:color w:val="auto"/>
        </w:rPr>
      </w:pPr>
      <w:r>
        <w:rPr>
          <w:rFonts w:ascii="Arial" w:cs="Arial" w:eastAsia="Arial" w:hAnsi="Arial"/>
          <w:sz w:val="21"/>
          <w:szCs w:val="21"/>
          <w:color w:val="auto"/>
        </w:rPr>
        <w:t>If the percentile ranking does not equal a ranking shown in the above table, the percentage of your target number of restricted stock units that vest will be determined by a linear interpolation between the next lowest percentile shown in the table and the next highest percentile shown on the table.</w:t>
      </w:r>
    </w:p>
    <w:p>
      <w:pPr>
        <w:spacing w:after="0" w:line="210" w:lineRule="exact"/>
        <w:rPr>
          <w:sz w:val="20"/>
          <w:szCs w:val="20"/>
          <w:color w:val="auto"/>
        </w:rPr>
      </w:pPr>
    </w:p>
    <w:p>
      <w:pPr>
        <w:ind w:left="3660" w:right="20" w:hanging="326"/>
        <w:spacing w:after="0" w:line="194" w:lineRule="auto"/>
        <w:tabs>
          <w:tab w:leader="none" w:pos="3660" w:val="left"/>
        </w:tabs>
        <w:numPr>
          <w:ilvl w:val="0"/>
          <w:numId w:val="87"/>
        </w:numPr>
        <w:rPr>
          <w:rFonts w:ascii="Courier New" w:cs="Courier New" w:eastAsia="Courier New" w:hAnsi="Courier New"/>
          <w:sz w:val="40"/>
          <w:szCs w:val="40"/>
          <w:color w:val="auto"/>
          <w:vertAlign w:val="superscript"/>
        </w:rPr>
      </w:pPr>
      <w:r>
        <w:rPr>
          <w:rFonts w:ascii="Arial" w:cs="Arial" w:eastAsia="Arial" w:hAnsi="Arial"/>
          <w:sz w:val="20"/>
          <w:szCs w:val="20"/>
          <w:color w:val="auto"/>
        </w:rPr>
        <w:t>If the percentile ranking is at or above the 75</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150% of your target number of restricted stock units will vest.</w:t>
      </w:r>
    </w:p>
    <w:p>
      <w:pPr>
        <w:spacing w:after="0" w:line="204" w:lineRule="exact"/>
        <w:rPr>
          <w:rFonts w:ascii="Courier New" w:cs="Courier New" w:eastAsia="Courier New" w:hAnsi="Courier New"/>
          <w:sz w:val="40"/>
          <w:szCs w:val="40"/>
          <w:color w:val="auto"/>
          <w:vertAlign w:val="superscript"/>
        </w:rPr>
      </w:pPr>
    </w:p>
    <w:p>
      <w:pPr>
        <w:ind w:left="3660" w:right="80" w:hanging="326"/>
        <w:spacing w:after="0" w:line="188" w:lineRule="auto"/>
        <w:tabs>
          <w:tab w:leader="none" w:pos="3660" w:val="left"/>
        </w:tabs>
        <w:numPr>
          <w:ilvl w:val="0"/>
          <w:numId w:val="87"/>
        </w:numPr>
        <w:rPr>
          <w:rFonts w:ascii="Courier New" w:cs="Courier New" w:eastAsia="Courier New" w:hAnsi="Courier New"/>
          <w:sz w:val="41"/>
          <w:szCs w:val="41"/>
          <w:color w:val="auto"/>
          <w:vertAlign w:val="superscript"/>
        </w:rPr>
      </w:pPr>
      <w:r>
        <w:rPr>
          <w:rFonts w:ascii="Arial" w:cs="Arial" w:eastAsia="Arial" w:hAnsi="Arial"/>
          <w:sz w:val="21"/>
          <w:szCs w:val="21"/>
          <w:color w:val="auto"/>
        </w:rPr>
        <w:t>If the percentile ranking is at or below the 35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none of your restricted stock units will vest.</w:t>
      </w:r>
    </w:p>
    <w:p>
      <w:pPr>
        <w:spacing w:after="0" w:line="196" w:lineRule="exact"/>
        <w:rPr>
          <w:sz w:val="20"/>
          <w:szCs w:val="20"/>
          <w:color w:val="auto"/>
        </w:rPr>
      </w:pPr>
    </w:p>
    <w:p>
      <w:pPr>
        <w:ind w:left="3660" w:right="20" w:hanging="326"/>
        <w:spacing w:after="0" w:line="249" w:lineRule="auto"/>
        <w:tabs>
          <w:tab w:leader="none" w:pos="36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Compensation Committee also will determine and certify the percentile ranking of Sempra Energy’s cumulative total shareholder return for the performance period (as measured based on the thirty-day average immediately preceding the start of the performance period compared to the thirty-day average immediately preceding the end of the performance period) among the companies (ranking by cumulative total shareholder returns) in the S&amp;P 500 Composite Index. If the Compensation Committee determines and certifies that Sempra Energy’s cumulative total shareholder return is at or above the 50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among the companies in the S&amp;P 500 Composite Index, the percentage of your target number of restricted stock units that vest will be not less than 100%.</w:t>
      </w:r>
    </w:p>
    <w:p>
      <w:pPr>
        <w:spacing w:after="0" w:line="173" w:lineRule="exact"/>
        <w:rPr>
          <w:rFonts w:ascii="Arial" w:cs="Arial" w:eastAsia="Arial" w:hAnsi="Arial"/>
          <w:sz w:val="20"/>
          <w:szCs w:val="20"/>
          <w:color w:val="auto"/>
        </w:rPr>
      </w:pPr>
    </w:p>
    <w:p>
      <w:pPr>
        <w:ind w:left="3660" w:right="20" w:hanging="326"/>
        <w:spacing w:after="0" w:line="256" w:lineRule="auto"/>
        <w:tabs>
          <w:tab w:leader="none" w:pos="36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As soon as reasonably practicable following the end of the performance period, the Compensation Committee will determine and certify the extent to which Sempra Energy has met the performance criteria and the extent, if any, as to which your restricted stock units have then vested. You will receive the number of shares of Common Stock equal to the number of your vested restricted stock units after the Compensation Committee’s determination and certification. Also, you will receive the number of shares of Common Stock equal to your dividend equivalents after the Compensation Committee’s determination and certification. Certificates for the shares will be issued to you or transferred to an account that you designate. When the shares of Common Stock are issued to you, your restricted stock units (vested and unvested) and your dividend equivalents will terminate.</w:t>
      </w:r>
    </w:p>
    <w:p>
      <w:pPr>
        <w:spacing w:after="0" w:line="169" w:lineRule="exact"/>
        <w:rPr>
          <w:rFonts w:ascii="Arial" w:cs="Arial" w:eastAsia="Arial" w:hAnsi="Arial"/>
          <w:sz w:val="20"/>
          <w:szCs w:val="20"/>
          <w:color w:val="auto"/>
        </w:rPr>
      </w:pPr>
    </w:p>
    <w:p>
      <w:pPr>
        <w:ind w:left="3660" w:right="100" w:hanging="326"/>
        <w:spacing w:after="0" w:line="289" w:lineRule="auto"/>
        <w:tabs>
          <w:tab w:leader="none" w:pos="36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Examples illustrating the application of the vesting provisions are shown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Award Agreement.</w:t>
      </w:r>
    </w:p>
    <w:p>
      <w:pPr>
        <w:spacing w:after="0" w:line="61" w:lineRule="exact"/>
        <w:rPr>
          <w:sz w:val="20"/>
          <w:szCs w:val="20"/>
          <w:color w:val="auto"/>
        </w:rPr>
      </w:pPr>
    </w:p>
    <w:p>
      <w:pPr>
        <w:ind w:left="2680" w:right="60" w:hanging="2849"/>
        <w:spacing w:after="0" w:line="264" w:lineRule="auto"/>
        <w:tabs>
          <w:tab w:leader="none" w:pos="2660" w:val="left"/>
        </w:tabs>
        <w:rPr>
          <w:sz w:val="20"/>
          <w:szCs w:val="20"/>
          <w:color w:val="auto"/>
        </w:rPr>
      </w:pPr>
      <w:r>
        <w:rPr>
          <w:rFonts w:ascii="Arial" w:cs="Arial" w:eastAsia="Arial" w:hAnsi="Arial"/>
          <w:sz w:val="21"/>
          <w:szCs w:val="21"/>
          <w:b w:val="1"/>
          <w:bCs w:val="1"/>
          <w:color w:val="auto"/>
        </w:rPr>
        <w:t>Transfer Restrictions:</w:t>
      </w:r>
      <w:r>
        <w:rPr>
          <w:sz w:val="20"/>
          <w:szCs w:val="20"/>
          <w:color w:val="auto"/>
        </w:rPr>
        <w:tab/>
      </w:r>
      <w:r>
        <w:rPr>
          <w:rFonts w:ascii="Arial" w:cs="Arial" w:eastAsia="Arial" w:hAnsi="Arial"/>
          <w:sz w:val="21"/>
          <w:szCs w:val="21"/>
          <w:color w:val="auto"/>
        </w:rPr>
        <w:t>You may not sell or otherwise transfer or assign your restricted stock units (or your dividend equivalents).</w:t>
      </w:r>
    </w:p>
    <w:p>
      <w:pPr>
        <w:spacing w:after="0" w:line="90" w:lineRule="exact"/>
        <w:rPr>
          <w:sz w:val="20"/>
          <w:szCs w:val="20"/>
          <w:color w:val="auto"/>
        </w:rPr>
      </w:pPr>
    </w:p>
    <w:p>
      <w:pPr>
        <w:ind w:left="2680" w:right="60" w:hanging="2849"/>
        <w:spacing w:after="0" w:line="287" w:lineRule="auto"/>
        <w:tabs>
          <w:tab w:leader="none" w:pos="2660" w:val="left"/>
        </w:tabs>
        <w:rPr>
          <w:sz w:val="20"/>
          <w:szCs w:val="20"/>
          <w:color w:val="auto"/>
        </w:rPr>
      </w:pPr>
      <w:r>
        <w:rPr>
          <w:rFonts w:ascii="Arial" w:cs="Arial" w:eastAsia="Arial" w:hAnsi="Arial"/>
          <w:sz w:val="21"/>
          <w:szCs w:val="21"/>
          <w:b w:val="1"/>
          <w:bCs w:val="1"/>
          <w:color w:val="auto"/>
        </w:rPr>
        <w:t>Dividend Equivalents:</w:t>
      </w:r>
      <w:r>
        <w:rPr>
          <w:sz w:val="20"/>
          <w:szCs w:val="20"/>
          <w:color w:val="auto"/>
        </w:rPr>
        <w:tab/>
      </w: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w:t>
      </w:r>
    </w:p>
    <w:p>
      <w:pPr>
        <w:spacing w:after="0" w:line="88" w:lineRule="exact"/>
        <w:rPr>
          <w:sz w:val="20"/>
          <w:szCs w:val="20"/>
          <w:color w:val="auto"/>
        </w:rPr>
      </w:pPr>
    </w:p>
    <w:p>
      <w:pPr>
        <w:jc w:val="both"/>
        <w:ind w:left="2680" w:right="60"/>
        <w:spacing w:after="0" w:line="253"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as your restricted stock units. They will vest when your restricted stock units vest.</w:t>
      </w:r>
    </w:p>
    <w:p>
      <w:pPr>
        <w:sectPr>
          <w:pgSz w:w="11900" w:h="16838" w:orient="portrait"/>
          <w:cols w:equalWidth="0" w:num="1">
            <w:col w:w="9200"/>
          </w:cols>
          <w:pgMar w:left="1440" w:top="67" w:right="1259" w:bottom="0" w:gutter="0" w:footer="0" w:header="0"/>
        </w:sectPr>
      </w:pPr>
    </w:p>
    <w:bookmarkStart w:id="79" w:name="page80"/>
    <w:bookmarkEnd w:id="79"/>
    <w:p>
      <w:pPr>
        <w:ind w:left="2840" w:right="40"/>
        <w:spacing w:after="0" w:line="274" w:lineRule="auto"/>
        <w:rPr>
          <w:sz w:val="20"/>
          <w:szCs w:val="20"/>
          <w:color w:val="auto"/>
        </w:rPr>
      </w:pPr>
      <w:r>
        <w:rPr>
          <w:rFonts w:ascii="Arial" w:cs="Arial" w:eastAsia="Arial" w:hAnsi="Arial"/>
          <w:sz w:val="19"/>
          <w:szCs w:val="19"/>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2008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spacing w:after="0" w:line="78" w:lineRule="exact"/>
        <w:rPr>
          <w:sz w:val="20"/>
          <w:szCs w:val="20"/>
          <w:color w:val="auto"/>
        </w:rPr>
      </w:pPr>
    </w:p>
    <w:p>
      <w:pPr>
        <w:ind w:left="2840" w:right="400" w:hanging="2849"/>
        <w:spacing w:after="0" w:line="262" w:lineRule="auto"/>
        <w:tabs>
          <w:tab w:leader="none" w:pos="2820" w:val="left"/>
        </w:tabs>
        <w:rPr>
          <w:sz w:val="20"/>
          <w:szCs w:val="20"/>
          <w:color w:val="auto"/>
        </w:rPr>
      </w:pPr>
      <w:r>
        <w:rPr>
          <w:rFonts w:ascii="Arial" w:cs="Arial" w:eastAsia="Arial" w:hAnsi="Arial"/>
          <w:sz w:val="21"/>
          <w:szCs w:val="21"/>
          <w:b w:val="1"/>
          <w:bCs w:val="1"/>
          <w:color w:val="auto"/>
        </w:rPr>
        <w:t>No Shareholder Rights:</w:t>
      </w:r>
      <w:r>
        <w:rPr>
          <w:sz w:val="20"/>
          <w:szCs w:val="20"/>
          <w:color w:val="auto"/>
        </w:rPr>
        <w:tab/>
      </w:r>
      <w:r>
        <w:rPr>
          <w:rFonts w:ascii="Arial" w:cs="Arial" w:eastAsia="Arial" w:hAnsi="Arial"/>
          <w:sz w:val="20"/>
          <w:szCs w:val="20"/>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2008 Long Term Incentive Plan.</w:t>
      </w:r>
    </w:p>
    <w:p>
      <w:pPr>
        <w:spacing w:after="0" w:line="95" w:lineRule="exact"/>
        <w:rPr>
          <w:sz w:val="20"/>
          <w:szCs w:val="20"/>
          <w:color w:val="auto"/>
        </w:rPr>
      </w:pPr>
    </w:p>
    <w:p>
      <w:pPr>
        <w:ind w:left="2840" w:right="260" w:hanging="2849"/>
        <w:spacing w:after="0" w:line="249" w:lineRule="auto"/>
        <w:tabs>
          <w:tab w:leader="none" w:pos="2820" w:val="left"/>
        </w:tabs>
        <w:rPr>
          <w:sz w:val="20"/>
          <w:szCs w:val="20"/>
          <w:color w:val="auto"/>
        </w:rPr>
      </w:pPr>
      <w:r>
        <w:rPr>
          <w:rFonts w:ascii="Arial" w:cs="Arial" w:eastAsia="Arial" w:hAnsi="Arial"/>
          <w:sz w:val="21"/>
          <w:szCs w:val="21"/>
          <w:b w:val="1"/>
          <w:bCs w:val="1"/>
          <w:color w:val="auto"/>
        </w:rPr>
        <w:t>Distribution of Shares:</w:t>
      </w:r>
      <w:r>
        <w:rPr>
          <w:sz w:val="20"/>
          <w:szCs w:val="20"/>
          <w:color w:val="auto"/>
        </w:rPr>
        <w:tab/>
      </w:r>
      <w:r>
        <w:rPr>
          <w:rFonts w:ascii="Arial" w:cs="Arial" w:eastAsia="Arial" w:hAnsi="Arial"/>
          <w:sz w:val="21"/>
          <w:szCs w:val="21"/>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spacing w:after="0" w:line="111" w:lineRule="exact"/>
        <w:rPr>
          <w:sz w:val="20"/>
          <w:szCs w:val="20"/>
          <w:color w:val="auto"/>
        </w:rPr>
      </w:pPr>
    </w:p>
    <w:p>
      <w:pPr>
        <w:ind w:left="2840" w:right="100"/>
        <w:spacing w:after="0" w:line="274" w:lineRule="auto"/>
        <w:rPr>
          <w:sz w:val="20"/>
          <w:szCs w:val="20"/>
          <w:color w:val="auto"/>
        </w:rPr>
      </w:pPr>
      <w:r>
        <w:rPr>
          <w:rFonts w:ascii="Arial" w:cs="Arial" w:eastAsia="Arial" w:hAnsi="Arial"/>
          <w:sz w:val="19"/>
          <w:szCs w:val="19"/>
          <w:color w:val="auto"/>
        </w:rPr>
        <w:t>You will receive the number of shares of Common Stock equal to the number of your restricted stock units that have vested. However, in no event will you receive under this award, and other awards granted to you under the 2008 Long Term Incentive Plan in the same fiscal year of Sempra Energy, more than the maximum number of shares of Common Stock permitted under the 2008 Long Term Incentive Plan. Also, you will receive the number of shares of Common Stock equal to your dividend equivalents after the Compensation Committee’s determination and certification.</w:t>
      </w:r>
    </w:p>
    <w:p>
      <w:pPr>
        <w:spacing w:after="0" w:line="98" w:lineRule="exact"/>
        <w:rPr>
          <w:sz w:val="20"/>
          <w:szCs w:val="20"/>
          <w:color w:val="auto"/>
        </w:rPr>
      </w:pPr>
    </w:p>
    <w:p>
      <w:pPr>
        <w:ind w:left="2840" w:right="20"/>
        <w:spacing w:after="0" w:line="247" w:lineRule="auto"/>
        <w:rPr>
          <w:sz w:val="20"/>
          <w:szCs w:val="20"/>
          <w:color w:val="auto"/>
        </w:rPr>
      </w:pPr>
      <w:r>
        <w:rPr>
          <w:rFonts w:ascii="Arial" w:cs="Arial" w:eastAsia="Arial" w:hAnsi="Arial"/>
          <w:sz w:val="21"/>
          <w:szCs w:val="21"/>
          <w:color w:val="auto"/>
        </w:rPr>
        <w:t>You will receive the shares as soon as reasonably practicable following the Compensation Committee’s determination and certification (and in no event later than March 15, 2016). Once you receive the shares of Common Stock, your vested and unvested restricted stock units (and dividend equivalents) will terminate.</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spacing w:after="0" w:line="143" w:lineRule="exact"/>
        <w:rPr>
          <w:sz w:val="20"/>
          <w:szCs w:val="20"/>
          <w:color w:val="auto"/>
        </w:rPr>
      </w:pPr>
    </w:p>
    <w:p>
      <w:pPr>
        <w:ind w:left="2840" w:hanging="2536"/>
        <w:spacing w:after="0" w:line="245" w:lineRule="auto"/>
        <w:tabs>
          <w:tab w:leader="none" w:pos="460" w:val="left"/>
        </w:tabs>
        <w:numPr>
          <w:ilvl w:val="0"/>
          <w:numId w:val="89"/>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w:t>
      </w:r>
      <w:r>
        <w:rPr>
          <w:rFonts w:ascii="Arial" w:cs="Arial" w:eastAsia="Arial" w:hAnsi="Arial"/>
          <w:sz w:val="21"/>
          <w:szCs w:val="21"/>
          <w:color w:val="auto"/>
        </w:rPr>
        <w:t>If your employment with Sempra Energy and its subsidiaries terminates for any reason prior to the vesting of your restricted stock units (and dividend equivalents) (other than under the circumstances set forth in the next paragraph), all of your restricted stock units (and dividend equivalents) will be forfeited. The vesting of your restricted stock units does not occur until the date of the Compensation Committee’s determination and certification described above.</w:t>
      </w:r>
    </w:p>
    <w:p>
      <w:pPr>
        <w:spacing w:after="0" w:line="111" w:lineRule="exact"/>
        <w:rPr>
          <w:sz w:val="20"/>
          <w:szCs w:val="20"/>
          <w:color w:val="auto"/>
        </w:rPr>
      </w:pPr>
    </w:p>
    <w:p>
      <w:pPr>
        <w:jc w:val="both"/>
        <w:ind w:left="2840" w:right="80"/>
        <w:spacing w:after="0" w:line="292" w:lineRule="auto"/>
        <w:rPr>
          <w:sz w:val="20"/>
          <w:szCs w:val="20"/>
          <w:color w:val="auto"/>
        </w:rPr>
      </w:pPr>
      <w:r>
        <w:rPr>
          <w:rFonts w:ascii="Arial" w:cs="Arial" w:eastAsia="Arial" w:hAnsi="Arial"/>
          <w:sz w:val="19"/>
          <w:szCs w:val="19"/>
          <w:color w:val="auto"/>
        </w:rPr>
        <w:t>If your employment terminates, other than by Termination for Cause, and you had both completed five years of continuous service with Sempra Energy and its subsidiaries AND met any of the following conditions:</w:t>
      </w:r>
    </w:p>
    <w:p>
      <w:pPr>
        <w:spacing w:after="0" w:line="80" w:lineRule="exact"/>
        <w:rPr>
          <w:sz w:val="20"/>
          <w:szCs w:val="20"/>
          <w:color w:val="auto"/>
        </w:rPr>
      </w:pPr>
    </w:p>
    <w:p>
      <w:pPr>
        <w:ind w:left="3500" w:right="120" w:hanging="323"/>
        <w:spacing w:after="0" w:line="264" w:lineRule="auto"/>
        <w:rPr>
          <w:sz w:val="20"/>
          <w:szCs w:val="20"/>
          <w:color w:val="auto"/>
        </w:rPr>
      </w:pPr>
      <w:r>
        <w:rPr>
          <w:rFonts w:ascii="Arial" w:cs="Arial" w:eastAsia="Arial" w:hAnsi="Arial"/>
          <w:sz w:val="21"/>
          <w:szCs w:val="21"/>
          <w:color w:val="auto"/>
        </w:rPr>
        <w:t>1.) your employment terminates after December 31, 2012 and at the date of termination you had attained age 55; or</w:t>
      </w:r>
    </w:p>
    <w:p>
      <w:pPr>
        <w:spacing w:after="0" w:line="90" w:lineRule="exact"/>
        <w:rPr>
          <w:sz w:val="20"/>
          <w:szCs w:val="20"/>
          <w:color w:val="auto"/>
        </w:rPr>
      </w:pPr>
    </w:p>
    <w:p>
      <w:pPr>
        <w:ind w:left="3500" w:right="100" w:hanging="323"/>
        <w:spacing w:after="0" w:line="264" w:lineRule="auto"/>
        <w:rPr>
          <w:sz w:val="20"/>
          <w:szCs w:val="20"/>
          <w:color w:val="auto"/>
        </w:rPr>
      </w:pPr>
      <w:r>
        <w:rPr>
          <w:rFonts w:ascii="Arial" w:cs="Arial" w:eastAsia="Arial" w:hAnsi="Arial"/>
          <w:sz w:val="21"/>
          <w:szCs w:val="21"/>
          <w:color w:val="auto"/>
        </w:rPr>
        <w:t>2.) your employment terminates after November 30, 2012 and at the date of termination you had attained age 62; or</w:t>
      </w:r>
    </w:p>
    <w:p>
      <w:pPr>
        <w:spacing w:after="0" w:line="90" w:lineRule="exact"/>
        <w:rPr>
          <w:sz w:val="20"/>
          <w:szCs w:val="20"/>
          <w:color w:val="auto"/>
        </w:rPr>
      </w:pPr>
    </w:p>
    <w:p>
      <w:pPr>
        <w:ind w:left="3500" w:right="360" w:hanging="323"/>
        <w:spacing w:after="0" w:line="317" w:lineRule="auto"/>
        <w:rPr>
          <w:sz w:val="20"/>
          <w:szCs w:val="20"/>
          <w:color w:val="auto"/>
        </w:rPr>
      </w:pPr>
      <w:r>
        <w:rPr>
          <w:rFonts w:ascii="Arial" w:cs="Arial" w:eastAsia="Arial" w:hAnsi="Arial"/>
          <w:sz w:val="19"/>
          <w:szCs w:val="19"/>
          <w:color w:val="auto"/>
        </w:rPr>
        <w:t>3.) at the date of termination you had attained age 65 and you were an officer subject to the company’s mandatory retirement policy;</w:t>
      </w:r>
    </w:p>
    <w:p>
      <w:pPr>
        <w:spacing w:after="0" w:line="44" w:lineRule="exact"/>
        <w:rPr>
          <w:sz w:val="20"/>
          <w:szCs w:val="20"/>
          <w:color w:val="auto"/>
        </w:rPr>
      </w:pPr>
    </w:p>
    <w:p>
      <w:pPr>
        <w:ind w:left="2840" w:right="100"/>
        <w:spacing w:after="0" w:line="253" w:lineRule="auto"/>
        <w:rPr>
          <w:sz w:val="20"/>
          <w:szCs w:val="20"/>
          <w:color w:val="auto"/>
        </w:rPr>
      </w:pPr>
      <w:r>
        <w:rPr>
          <w:rFonts w:ascii="Arial" w:cs="Arial" w:eastAsia="Arial" w:hAnsi="Arial"/>
          <w:sz w:val="21"/>
          <w:szCs w:val="21"/>
          <w:color w:val="auto"/>
        </w:rPr>
        <w:t>your restricted stock units (and dividend equivalents) will not be forfeited but will continue to be subject to the transfer restrictions and vesting conditions and other terms and conditions of this Agreement</w:t>
      </w:r>
    </w:p>
    <w:p>
      <w:pPr>
        <w:spacing w:after="0" w:line="101" w:lineRule="exact"/>
        <w:rPr>
          <w:sz w:val="20"/>
          <w:szCs w:val="20"/>
          <w:color w:val="auto"/>
        </w:rPr>
      </w:pPr>
    </w:p>
    <w:p>
      <w:pPr>
        <w:ind w:left="2840" w:right="100" w:hanging="2698"/>
        <w:spacing w:after="0" w:line="304" w:lineRule="auto"/>
        <w:tabs>
          <w:tab w:leader="none" w:pos="298" w:val="left"/>
        </w:tabs>
        <w:numPr>
          <w:ilvl w:val="0"/>
          <w:numId w:val="90"/>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 for Cause:</w:t>
      </w:r>
      <w:r>
        <w:rPr>
          <w:rFonts w:ascii="Arial" w:cs="Arial" w:eastAsia="Arial" w:hAnsi="Arial"/>
          <w:sz w:val="18"/>
          <w:szCs w:val="18"/>
          <w:color w:val="auto"/>
        </w:rPr>
        <w:t>If your employment with Sempra Energy and its subsidiaries terminates for cause, or your employment would have been subject to termination for cause, prior to the vesting of your restricted stock units (and dividend equivalents), all of your restricted stock units (and dividend equivalents) will be cancelled.</w:t>
      </w:r>
    </w:p>
    <w:p>
      <w:pPr>
        <w:spacing w:after="0" w:line="59" w:lineRule="exact"/>
        <w:rPr>
          <w:sz w:val="20"/>
          <w:szCs w:val="20"/>
          <w:color w:val="auto"/>
        </w:rPr>
      </w:pPr>
    </w:p>
    <w:p>
      <w:pPr>
        <w:ind w:left="2840" w:right="180"/>
        <w:spacing w:after="0" w:line="277" w:lineRule="auto"/>
        <w:rPr>
          <w:sz w:val="20"/>
          <w:szCs w:val="20"/>
          <w:color w:val="auto"/>
        </w:rPr>
      </w:pPr>
      <w:r>
        <w:rPr>
          <w:rFonts w:ascii="Arial" w:cs="Arial" w:eastAsia="Arial" w:hAnsi="Arial"/>
          <w:sz w:val="19"/>
          <w:szCs w:val="19"/>
          <w:color w:val="auto"/>
        </w:rPr>
        <w:t>A termination for cause is (i) the willful failure by you to substantially perform your duties with the Company (other than any such failure resulting from your incapacity due to physical or mental illness), (ii) the grossly negligent performance of such obligations referenced in clause (i) of this definition, (iii) your gross insubordination; and/or (iv) your commission of one or more acts of moral turpitude that constitute a violation of applicable</w:t>
      </w:r>
    </w:p>
    <w:p>
      <w:pPr>
        <w:sectPr>
          <w:pgSz w:w="11900" w:h="16838" w:orient="portrait"/>
          <w:cols w:equalWidth="0" w:num="1">
            <w:col w:w="9360"/>
          </w:cols>
          <w:pgMar w:left="1280" w:top="126" w:right="1259" w:bottom="0" w:gutter="0" w:footer="0" w:header="0"/>
        </w:sectPr>
      </w:pPr>
    </w:p>
    <w:bookmarkStart w:id="80" w:name="page81"/>
    <w:bookmarkEnd w:id="80"/>
    <w:p>
      <w:pPr>
        <w:ind w:left="2840" w:right="40"/>
        <w:spacing w:after="0" w:line="277" w:lineRule="auto"/>
        <w:rPr>
          <w:sz w:val="20"/>
          <w:szCs w:val="20"/>
          <w:color w:val="auto"/>
        </w:rPr>
      </w:pPr>
      <w:r>
        <w:rPr>
          <w:rFonts w:ascii="Arial" w:cs="Arial" w:eastAsia="Arial" w:hAnsi="Arial"/>
          <w:sz w:val="19"/>
          <w:szCs w:val="19"/>
          <w:color w:val="auto"/>
        </w:rPr>
        <w:t>law (including but not limited to a felony) which have or result in an adverse effect on the Company, monetarily or otherwise, or one or more significant acts of dishonesty. For purposes of clause (i), no act, or failure to act, on your part shall be deemed “willful” unless done, or omitted to be done, by you not in good faith and without reasonable belief that your act, or failure to act, was in the best interests of the Company.”</w:t>
      </w:r>
    </w:p>
    <w:p>
      <w:pPr>
        <w:spacing w:after="0" w:line="81" w:lineRule="exact"/>
        <w:rPr>
          <w:sz w:val="20"/>
          <w:szCs w:val="20"/>
          <w:color w:val="auto"/>
        </w:rPr>
      </w:pPr>
    </w:p>
    <w:p>
      <w:pPr>
        <w:ind w:left="2840" w:hanging="2698"/>
        <w:spacing w:after="0" w:line="275" w:lineRule="auto"/>
        <w:tabs>
          <w:tab w:leader="none" w:pos="298" w:val="left"/>
        </w:tabs>
        <w:numPr>
          <w:ilvl w:val="0"/>
          <w:numId w:val="91"/>
        </w:numPr>
        <w:rPr>
          <w:rFonts w:ascii="Arial" w:cs="Arial" w:eastAsia="Arial" w:hAnsi="Arial"/>
          <w:sz w:val="21"/>
          <w:szCs w:val="21"/>
          <w:i w:val="1"/>
          <w:iCs w:val="1"/>
          <w:color w:val="auto"/>
        </w:rPr>
      </w:pPr>
      <w:r>
        <w:rPr>
          <w:rFonts w:ascii="Arial" w:cs="Arial" w:eastAsia="Arial" w:hAnsi="Arial"/>
          <w:sz w:val="21"/>
          <w:szCs w:val="21"/>
          <w:i w:val="1"/>
          <w:iCs w:val="1"/>
          <w:color w:val="auto"/>
        </w:rPr>
        <w:t>Leaves of Absence:</w:t>
      </w:r>
      <w:r>
        <w:rPr>
          <w:rFonts w:ascii="Arial" w:cs="Arial" w:eastAsia="Arial" w:hAnsi="Arial"/>
          <w:sz w:val="19"/>
          <w:szCs w:val="19"/>
          <w:color w:val="auto"/>
        </w:rPr>
        <w:t xml:space="preserve">Your employment does not terminate when you go on military leave, a sick leave or another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ectPr>
          <w:pgSz w:w="11900" w:h="16838" w:orient="portrait"/>
          <w:cols w:equalWidth="0" w:num="1">
            <w:col w:w="9340"/>
          </w:cols>
          <w:pgMar w:left="1280" w:top="126" w:right="1279" w:bottom="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The following is a general summary of the federal income tax consequences of your Restricted Stock Unit Award. The summary may not cover your particular circumstances because it does not consider foreign, state, local or other tax laws and does not describe future changes in tax rules. You are urged to consult your tax advisor regarding the specific tax consequences applicable to you rather than relying on this general summary.</w:t>
      </w:r>
    </w:p>
    <w:p>
      <w:pPr>
        <w:spacing w:after="0" w:line="81" w:lineRule="exact"/>
        <w:rPr>
          <w:sz w:val="20"/>
          <w:szCs w:val="20"/>
          <w:color w:val="auto"/>
        </w:rPr>
      </w:pPr>
    </w:p>
    <w:p>
      <w:pPr>
        <w:sectPr>
          <w:pgSz w:w="11900" w:h="16838" w:orient="portrait"/>
          <w:cols w:equalWidth="0" w:num="2">
            <w:col w:w="2120" w:space="720"/>
            <w:col w:w="6500"/>
          </w:cols>
          <w:pgMar w:left="1280" w:top="126" w:right="1279" w:bottom="0" w:gutter="0" w:footer="0" w:header="0"/>
          <w:type w:val="continuous"/>
        </w:sectPr>
      </w:pPr>
    </w:p>
    <w:p>
      <w:pPr>
        <w:ind w:left="300"/>
        <w:spacing w:after="0"/>
        <w:rPr>
          <w:sz w:val="20"/>
          <w:szCs w:val="20"/>
          <w:color w:val="auto"/>
        </w:rPr>
      </w:pPr>
      <w:r>
        <w:rPr>
          <w:rFonts w:ascii="Arial" w:cs="Arial" w:eastAsia="Arial" w:hAnsi="Arial"/>
          <w:sz w:val="19"/>
          <w:szCs w:val="19"/>
          <w:i w:val="1"/>
          <w:iCs w:val="1"/>
          <w:color w:val="auto"/>
        </w:rPr>
        <w:t>§ Generally:</w:t>
      </w:r>
    </w:p>
    <w:p>
      <w:pPr>
        <w:spacing w:after="0" w:line="20" w:lineRule="exact"/>
        <w:rPr>
          <w:sz w:val="20"/>
          <w:szCs w:val="20"/>
          <w:color w:val="auto"/>
        </w:rPr>
      </w:pPr>
      <w:r>
        <w:rPr>
          <w:sz w:val="20"/>
          <w:szCs w:val="20"/>
          <w:color w:val="auto"/>
        </w:rPr>
        <w:br w:type="column"/>
      </w:r>
    </w:p>
    <w:p>
      <w:pPr>
        <w:jc w:val="both"/>
        <w:ind w:right="120"/>
        <w:spacing w:after="0" w:line="317" w:lineRule="auto"/>
        <w:rPr>
          <w:sz w:val="20"/>
          <w:szCs w:val="20"/>
          <w:color w:val="auto"/>
        </w:rPr>
      </w:pPr>
      <w:r>
        <w:rPr>
          <w:rFonts w:ascii="Arial" w:cs="Arial" w:eastAsia="Arial" w:hAnsi="Arial"/>
          <w:sz w:val="19"/>
          <w:szCs w:val="19"/>
          <w:color w:val="auto"/>
        </w:rPr>
        <w:t>You will not be subject to withholding taxes on your award until you receive shares of Common Stock following the vesting of your restricted stock units.</w:t>
      </w:r>
    </w:p>
    <w:p>
      <w:pPr>
        <w:spacing w:after="0" w:line="85" w:lineRule="exact"/>
        <w:rPr>
          <w:sz w:val="20"/>
          <w:szCs w:val="20"/>
          <w:color w:val="auto"/>
        </w:rPr>
      </w:pPr>
    </w:p>
    <w:p>
      <w:pPr>
        <w:sectPr>
          <w:pgSz w:w="11900" w:h="16838" w:orient="portrait"/>
          <w:cols w:equalWidth="0" w:num="2">
            <w:col w:w="2120" w:space="720"/>
            <w:col w:w="6500"/>
          </w:cols>
          <w:pgMar w:left="1280" w:top="126" w:right="1279" w:bottom="0" w:gutter="0" w:footer="0" w:header="0"/>
          <w:type w:val="continuous"/>
        </w:sectPr>
      </w:pPr>
    </w:p>
    <w:p>
      <w:pPr>
        <w:ind w:left="2840" w:right="200"/>
        <w:spacing w:after="0" w:line="317" w:lineRule="auto"/>
        <w:rPr>
          <w:sz w:val="20"/>
          <w:szCs w:val="20"/>
          <w:color w:val="auto"/>
        </w:rPr>
      </w:pPr>
      <w:r>
        <w:rPr>
          <w:rFonts w:ascii="Arial" w:cs="Arial" w:eastAsia="Arial" w:hAnsi="Arial"/>
          <w:sz w:val="19"/>
          <w:szCs w:val="19"/>
          <w:color w:val="auto"/>
        </w:rPr>
        <w:t>When you receive your shares, you will realize taxable income based on the fair market value of the shares at the time you receive the shares.</w:t>
      </w:r>
    </w:p>
    <w:p>
      <w:pPr>
        <w:spacing w:after="0" w:line="85" w:lineRule="exact"/>
        <w:rPr>
          <w:sz w:val="20"/>
          <w:szCs w:val="20"/>
          <w:color w:val="auto"/>
        </w:rPr>
      </w:pPr>
    </w:p>
    <w:p>
      <w:pPr>
        <w:ind w:left="2840" w:right="220"/>
        <w:spacing w:after="0" w:line="253" w:lineRule="auto"/>
        <w:rPr>
          <w:sz w:val="20"/>
          <w:szCs w:val="20"/>
          <w:color w:val="auto"/>
        </w:rPr>
      </w:pPr>
      <w:r>
        <w:rPr>
          <w:rFonts w:ascii="Arial" w:cs="Arial" w:eastAsia="Arial" w:hAnsi="Arial"/>
          <w:sz w:val="21"/>
          <w:szCs w:val="21"/>
          <w:color w:val="auto"/>
        </w:rPr>
        <w:t>When you sell your shares you may also realize taxable gain (or loss) based upon the difference between the sales price and the amount that you have previously recognized as income.</w:t>
      </w:r>
    </w:p>
    <w:p>
      <w:pPr>
        <w:sectPr>
          <w:pgSz w:w="11900" w:h="16838" w:orient="portrait"/>
          <w:cols w:equalWidth="0" w:num="1">
            <w:col w:w="9340"/>
          </w:cols>
          <w:pgMar w:left="1280" w:top="126" w:right="1279" w:bottom="0" w:gutter="0" w:footer="0" w:header="0"/>
          <w:type w:val="continuous"/>
        </w:sectPr>
      </w:pPr>
    </w:p>
    <w:p>
      <w:pPr>
        <w:spacing w:after="0" w:line="101" w:lineRule="exact"/>
        <w:rPr>
          <w:sz w:val="20"/>
          <w:szCs w:val="20"/>
          <w:color w:val="auto"/>
        </w:rPr>
      </w:pPr>
    </w:p>
    <w:p>
      <w:pPr>
        <w:ind w:left="2840" w:hanging="2536"/>
        <w:spacing w:after="0" w:line="244" w:lineRule="auto"/>
        <w:tabs>
          <w:tab w:leader="none" w:pos="460" w:val="left"/>
        </w:tabs>
        <w:numPr>
          <w:ilvl w:val="0"/>
          <w:numId w:val="92"/>
        </w:numPr>
        <w:rPr>
          <w:rFonts w:ascii="Arial" w:cs="Arial" w:eastAsia="Arial" w:hAnsi="Arial"/>
          <w:sz w:val="21"/>
          <w:szCs w:val="21"/>
          <w:i w:val="1"/>
          <w:iCs w:val="1"/>
          <w:color w:val="auto"/>
        </w:rPr>
      </w:pPr>
      <w:r>
        <w:rPr>
          <w:rFonts w:ascii="Arial" w:cs="Arial" w:eastAsia="Arial" w:hAnsi="Arial"/>
          <w:sz w:val="21"/>
          <w:szCs w:val="21"/>
          <w:i w:val="1"/>
          <w:iCs w:val="1"/>
          <w:color w:val="auto"/>
        </w:rPr>
        <w:t>Withholding Taxes:</w:t>
      </w:r>
      <w:r>
        <w:rPr>
          <w:rFonts w:ascii="Arial" w:cs="Arial" w:eastAsia="Arial" w:hAnsi="Arial"/>
          <w:sz w:val="21"/>
          <w:szCs w:val="21"/>
          <w:color w:val="auto"/>
        </w:rPr>
        <w:t>When you become subject to withholding taxes upon distribution of the shares of Common Stock, Sempra Energy or its subsidiary is required to withhold taxes. Unless you instruct otherwise and pay or make arrangements satisfactory to Sempra Energy to pay these taxes, upon the distribution of your shares, Sempra Energy will withhold a sufficient number of the units (valued at the distribution date fair market value) to cover the minimum required withholding taxes and transfer to you only the remaining balance of your shares.</w:t>
      </w:r>
    </w:p>
    <w:p>
      <w:pPr>
        <w:sectPr>
          <w:pgSz w:w="11900" w:h="16838" w:orient="portrait"/>
          <w:cols w:equalWidth="0" w:num="1">
            <w:col w:w="9340"/>
          </w:cols>
          <w:pgMar w:left="1280" w:top="126" w:right="1279" w:bottom="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Recoupment (“Clawback”)</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Policy: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The Company shall require the forfeiture, recovery or reimbursement of awards or compensation under this Plan as (i) required by applicable law, or (ii) required under any policy implemented or maintained by the Company pursuant to any applicable rules or requirements of a national securities exchange or national securities association on which any securities of the Company are listed. The Company reserves the right to recoup compensation paid if it determines that the results on which the compensation was paid were not actually achieved.</w:t>
      </w:r>
    </w:p>
    <w:p>
      <w:pPr>
        <w:spacing w:after="0" w:line="61" w:lineRule="exact"/>
        <w:rPr>
          <w:sz w:val="20"/>
          <w:szCs w:val="20"/>
          <w:color w:val="auto"/>
        </w:rPr>
      </w:pPr>
    </w:p>
    <w:p>
      <w:pPr>
        <w:sectPr>
          <w:pgSz w:w="11900" w:h="16838" w:orient="portrait"/>
          <w:cols w:equalWidth="0" w:num="2">
            <w:col w:w="2440" w:space="400"/>
            <w:col w:w="6500"/>
          </w:cols>
          <w:pgMar w:left="1280" w:top="126" w:right="1279" w:bottom="0" w:gutter="0" w:footer="0" w:header="0"/>
          <w:type w:val="continuous"/>
        </w:sectPr>
      </w:pPr>
    </w:p>
    <w:p>
      <w:pPr>
        <w:ind w:left="2840" w:right="20"/>
        <w:spacing w:after="0" w:line="283" w:lineRule="auto"/>
        <w:rPr>
          <w:sz w:val="20"/>
          <w:szCs w:val="20"/>
          <w:color w:val="auto"/>
        </w:rPr>
      </w:pPr>
      <w:r>
        <w:rPr>
          <w:rFonts w:ascii="Arial" w:cs="Arial" w:eastAsia="Arial" w:hAnsi="Arial"/>
          <w:sz w:val="19"/>
          <w:szCs w:val="19"/>
          <w:color w:val="auto"/>
        </w:rPr>
        <w:t>The Compensation Committee may, in its sole discretion, require the recovery or reimbursement of long-term incentive compensation awards from any employee whose fraudulent or intentional misconduct materially affects the operations or financial results of the Company or its subsidiaries.</w:t>
      </w:r>
    </w:p>
    <w:p>
      <w:pPr>
        <w:sectPr>
          <w:pgSz w:w="11900" w:h="16838" w:orient="portrait"/>
          <w:cols w:equalWidth="0" w:num="1">
            <w:col w:w="9340"/>
          </w:cols>
          <w:pgMar w:left="1280" w:top="126" w:right="127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Rights: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line="66" w:lineRule="exact"/>
        <w:rPr>
          <w:sz w:val="20"/>
          <w:szCs w:val="20"/>
          <w:color w:val="auto"/>
        </w:rPr>
      </w:pPr>
    </w:p>
    <w:p>
      <w:pPr>
        <w:sectPr>
          <w:pgSz w:w="11900" w:h="16838" w:orient="portrait"/>
          <w:cols w:equalWidth="0" w:num="2">
            <w:col w:w="2120" w:space="720"/>
            <w:col w:w="6500"/>
          </w:cols>
          <w:pgMar w:left="1280" w:top="126" w:right="127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Change in Control:</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8"/>
          <w:szCs w:val="18"/>
          <w:color w:val="auto"/>
        </w:rPr>
        <w:t>Subject to certain limitations set forth in the 2008 Long Term Incentive Plan, in the event of a Change in Control (as defined in the plan) of Sempra Energy during the portion of the performance period beginning on January 1, 2012 and ending on December 31, 2013, unless your restricted stock units have been forfeited prior to the Change in Control, 100% of your target number of restricted stock units will vest in the event of a Change in Control. In the event of a Change in Control of Sempra Energy during the portion of the performance period beginning on January 1, 2014 and ending on the first New York Stock Exchange trading day of 2016, unless your restricted stock units have been forfeited prior to the Change in Control, your restricted stock units</w:t>
      </w:r>
    </w:p>
    <w:p>
      <w:pPr>
        <w:sectPr>
          <w:pgSz w:w="11900" w:h="16838" w:orient="portrait"/>
          <w:cols w:equalWidth="0" w:num="2">
            <w:col w:w="2120" w:space="720"/>
            <w:col w:w="6500"/>
          </w:cols>
          <w:pgMar w:left="1280" w:top="126" w:right="1279" w:bottom="0" w:gutter="0" w:footer="0" w:header="0"/>
          <w:type w:val="continuous"/>
        </w:sectPr>
      </w:pPr>
    </w:p>
    <w:bookmarkStart w:id="81" w:name="page82"/>
    <w:bookmarkEnd w:id="81"/>
    <w:p>
      <w:pPr>
        <w:ind w:left="2840" w:right="40"/>
        <w:spacing w:after="0" w:line="249" w:lineRule="auto"/>
        <w:rPr>
          <w:sz w:val="20"/>
          <w:szCs w:val="20"/>
          <w:color w:val="auto"/>
        </w:rPr>
      </w:pPr>
      <w:r>
        <w:rPr>
          <w:rFonts w:ascii="Arial" w:cs="Arial" w:eastAsia="Arial" w:hAnsi="Arial"/>
          <w:sz w:val="21"/>
          <w:szCs w:val="21"/>
          <w:color w:val="auto"/>
        </w:rPr>
        <w:t>will vest or be forfeited on the basis of the total shareholder return performance criteria set forth above under “Vesting/Forfeiture” as if the performance period had ended on the date immediately preceeding the date of the Change in Control.</w:t>
      </w:r>
    </w:p>
    <w:p>
      <w:pPr>
        <w:spacing w:after="0" w:line="78" w:lineRule="exact"/>
        <w:rPr>
          <w:sz w:val="20"/>
          <w:szCs w:val="20"/>
          <w:color w:val="auto"/>
        </w:rPr>
      </w:pPr>
    </w:p>
    <w:p>
      <w:pPr>
        <w:ind w:left="2840" w:right="80"/>
        <w:spacing w:after="0" w:line="247" w:lineRule="auto"/>
        <w:rPr>
          <w:sz w:val="20"/>
          <w:szCs w:val="20"/>
          <w:color w:val="auto"/>
        </w:rPr>
      </w:pPr>
      <w:r>
        <w:rPr>
          <w:rFonts w:ascii="Arial" w:cs="Arial" w:eastAsia="Arial" w:hAnsi="Arial"/>
          <w:sz w:val="21"/>
          <w:szCs w:val="21"/>
          <w:color w:val="auto"/>
        </w:rPr>
        <w:t>You will receive the number of shares of Common Stock equal to the number of your restricted stock units that have vested. Also, you will receive the number of shares of Common Stock equal to your dividend equivalents. You will receive the shares of Common Stock immediately prior to the date of the Change in Control.</w:t>
      </w:r>
    </w:p>
    <w:p>
      <w:pPr>
        <w:spacing w:after="0" w:line="67" w:lineRule="exact"/>
        <w:rPr>
          <w:sz w:val="20"/>
          <w:szCs w:val="20"/>
          <w:color w:val="auto"/>
        </w:rPr>
      </w:pPr>
    </w:p>
    <w:p>
      <w:pPr>
        <w:ind w:left="2840" w:right="500"/>
        <w:spacing w:after="0" w:line="317" w:lineRule="auto"/>
        <w:rPr>
          <w:sz w:val="20"/>
          <w:szCs w:val="20"/>
          <w:color w:val="auto"/>
        </w:rPr>
      </w:pPr>
      <w:r>
        <w:rPr>
          <w:rFonts w:ascii="Arial" w:cs="Arial" w:eastAsia="Arial" w:hAnsi="Arial"/>
          <w:sz w:val="19"/>
          <w:szCs w:val="19"/>
          <w:color w:val="auto"/>
        </w:rPr>
        <w:t>Immediately following the Change in Control, your vested and unvested restricted stock units (and dividend equivalents) will terminate.</w:t>
      </w:r>
    </w:p>
    <w:p>
      <w:pPr>
        <w:sectPr>
          <w:pgSz w:w="11900" w:h="16838" w:orient="portrait"/>
          <w:cols w:equalWidth="0" w:num="1">
            <w:col w:w="9340"/>
          </w:cols>
          <w:pgMar w:left="1280" w:top="126" w:right="127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Further Actions:</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21"/>
          <w:szCs w:val="21"/>
          <w:color w:val="auto"/>
        </w:rPr>
        <w:t>You agree to take all actions and execute all documents appropriate to carry out the provisions of this Agreement.</w:t>
      </w:r>
    </w:p>
    <w:p>
      <w:pPr>
        <w:spacing w:after="0" w:line="49" w:lineRule="exact"/>
        <w:rPr>
          <w:sz w:val="20"/>
          <w:szCs w:val="20"/>
          <w:color w:val="auto"/>
        </w:rPr>
      </w:pPr>
    </w:p>
    <w:p>
      <w:pPr>
        <w:sectPr>
          <w:pgSz w:w="11900" w:h="16838" w:orient="portrait"/>
          <w:cols w:equalWidth="0" w:num="2">
            <w:col w:w="2120" w:space="720"/>
            <w:col w:w="6500"/>
          </w:cols>
          <w:pgMar w:left="1280" w:top="126" w:right="1279" w:bottom="1440" w:gutter="0" w:footer="0" w:header="0"/>
          <w:type w:val="continuous"/>
        </w:sectPr>
      </w:pPr>
    </w:p>
    <w:p>
      <w:pPr>
        <w:ind w:left="2840" w:right="200"/>
        <w:spacing w:after="0" w:line="264" w:lineRule="auto"/>
        <w:rPr>
          <w:sz w:val="20"/>
          <w:szCs w:val="20"/>
          <w:color w:val="auto"/>
        </w:rPr>
      </w:pPr>
      <w:r>
        <w:rPr>
          <w:rFonts w:ascii="Arial" w:cs="Arial" w:eastAsia="Arial" w:hAnsi="Arial"/>
          <w:sz w:val="21"/>
          <w:szCs w:val="21"/>
          <w:color w:val="auto"/>
        </w:rPr>
        <w:t>You shall not be deemed to have accepted this award unless you execute the Arbitration Agreement provided with your award letter.</w:t>
      </w:r>
    </w:p>
    <w:p>
      <w:pPr>
        <w:spacing w:after="0" w:line="63" w:lineRule="exact"/>
        <w:rPr>
          <w:sz w:val="20"/>
          <w:szCs w:val="20"/>
          <w:color w:val="auto"/>
        </w:rPr>
      </w:pPr>
    </w:p>
    <w:p>
      <w:pPr>
        <w:ind w:left="2840"/>
        <w:spacing w:after="0" w:line="247" w:lineRule="auto"/>
        <w:rPr>
          <w:sz w:val="20"/>
          <w:szCs w:val="20"/>
          <w:color w:val="auto"/>
        </w:rPr>
      </w:pPr>
      <w:r>
        <w:rPr>
          <w:rFonts w:ascii="Arial" w:cs="Arial" w:eastAsia="Arial" w:hAnsi="Arial"/>
          <w:sz w:val="21"/>
          <w:szCs w:val="21"/>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sectPr>
          <w:pgSz w:w="11900" w:h="16838" w:orient="portrait"/>
          <w:cols w:equalWidth="0" w:num="1">
            <w:col w:w="9340"/>
          </w:cols>
          <w:pgMar w:left="1280" w:top="126" w:right="127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Applicable Law:</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00"/>
        <w:spacing w:after="0" w:line="264" w:lineRule="auto"/>
        <w:rPr>
          <w:sz w:val="20"/>
          <w:szCs w:val="20"/>
          <w:color w:val="auto"/>
        </w:rPr>
      </w:pPr>
      <w:r>
        <w:rPr>
          <w:rFonts w:ascii="Arial" w:cs="Arial" w:eastAsia="Arial" w:hAnsi="Arial"/>
          <w:sz w:val="21"/>
          <w:szCs w:val="21"/>
          <w:color w:val="auto"/>
        </w:rPr>
        <w:t>This Agreement will be interpreted and enforced under the laws of the State of California.</w:t>
      </w:r>
    </w:p>
    <w:p>
      <w:pPr>
        <w:spacing w:after="0" w:line="84" w:lineRule="exact"/>
        <w:rPr>
          <w:sz w:val="20"/>
          <w:szCs w:val="20"/>
          <w:color w:val="auto"/>
        </w:rPr>
      </w:pPr>
    </w:p>
    <w:p>
      <w:pPr>
        <w:sectPr>
          <w:pgSz w:w="11900" w:h="16838" w:orient="portrait"/>
          <w:cols w:equalWidth="0" w:num="2">
            <w:col w:w="2120" w:space="720"/>
            <w:col w:w="6500"/>
          </w:cols>
          <w:pgMar w:left="1280" w:top="126" w:right="1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Other Agreements:</w:t>
      </w:r>
    </w:p>
    <w:p>
      <w:pPr>
        <w:spacing w:after="0" w:line="20" w:lineRule="exact"/>
        <w:rPr>
          <w:sz w:val="20"/>
          <w:szCs w:val="20"/>
          <w:color w:val="auto"/>
        </w:rPr>
      </w:pPr>
      <w:r>
        <w:rPr>
          <w:sz w:val="20"/>
          <w:szCs w:val="20"/>
          <w:color w:val="auto"/>
        </w:rPr>
        <w:br w:type="column"/>
      </w:r>
    </w:p>
    <w:p>
      <w:pPr>
        <w:ind w:right="40"/>
        <w:spacing w:after="0" w:line="283" w:lineRule="auto"/>
        <w:rPr>
          <w:sz w:val="20"/>
          <w:szCs w:val="20"/>
          <w:color w:val="auto"/>
        </w:rPr>
      </w:pPr>
      <w:r>
        <w:rPr>
          <w:rFonts w:ascii="Arial" w:cs="Arial" w:eastAsia="Arial" w:hAnsi="Arial"/>
          <w:sz w:val="19"/>
          <w:szCs w:val="19"/>
          <w:color w:val="auto"/>
        </w:rPr>
        <w:t>In the event of any conflict between the terms of this Agreement and any written employment, severance or other employment-related agreement between you and Sempra Energy, the terms of this Agreement, or the terms of such other agreement, whichever are more favorable to you, shall prevail.</w:t>
      </w:r>
    </w:p>
    <w:p>
      <w:pPr>
        <w:spacing w:after="0" w:line="185" w:lineRule="exact"/>
        <w:rPr>
          <w:sz w:val="20"/>
          <w:szCs w:val="20"/>
          <w:color w:val="auto"/>
        </w:rPr>
      </w:pPr>
    </w:p>
    <w:p>
      <w:pPr>
        <w:sectPr>
          <w:pgSz w:w="11900" w:h="16838" w:orient="portrait"/>
          <w:cols w:equalWidth="0" w:num="2">
            <w:col w:w="2120" w:space="720"/>
            <w:col w:w="6500"/>
          </w:cols>
          <w:pgMar w:left="1280" w:top="126" w:right="1279" w:bottom="1440" w:gutter="0" w:footer="0" w:header="0"/>
          <w:type w:val="continuous"/>
        </w:sectPr>
      </w:pPr>
    </w:p>
    <w:p>
      <w:pPr>
        <w:jc w:val="center"/>
        <w:ind w:right="-19"/>
        <w:spacing w:after="0"/>
        <w:rPr>
          <w:sz w:val="20"/>
          <w:szCs w:val="20"/>
          <w:color w:val="auto"/>
        </w:rPr>
      </w:pPr>
      <w:r>
        <w:rPr>
          <w:rFonts w:ascii="Arial" w:cs="Arial" w:eastAsia="Arial" w:hAnsi="Arial"/>
          <w:sz w:val="21"/>
          <w:szCs w:val="21"/>
          <w:b w:val="1"/>
          <w:bCs w:val="1"/>
          <w:i w:val="1"/>
          <w:iCs w:val="1"/>
          <w:color w:val="auto"/>
        </w:rPr>
        <w:t>By your acceptance of this award, you agree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to all of the terms and conditions described above and in the 2008 Long Term Incentive Plan</w:t>
      </w:r>
    </w:p>
    <w:p>
      <w:pPr>
        <w:sectPr>
          <w:pgSz w:w="11900" w:h="16838" w:orient="portrait"/>
          <w:cols w:equalWidth="0" w:num="1">
            <w:col w:w="9340"/>
          </w:cols>
          <w:pgMar w:left="1280" w:top="126" w:right="127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21"/>
          <w:szCs w:val="21"/>
          <w:b w:val="1"/>
          <w:bCs w:val="1"/>
          <w:u w:val="single" w:color="auto"/>
          <w:color w:val="auto"/>
        </w:rPr>
        <w:t>Exhibit 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Examples Illustrating the Determination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 the Vested Percentage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Target Number of Restricted Stock Units</w:t>
      </w:r>
    </w:p>
    <w:p>
      <w:pPr>
        <w:spacing w:after="0" w:line="200" w:lineRule="exact"/>
        <w:rPr>
          <w:sz w:val="20"/>
          <w:szCs w:val="20"/>
          <w:color w:val="auto"/>
        </w:rPr>
      </w:pPr>
    </w:p>
    <w:p>
      <w:pPr>
        <w:spacing w:after="0" w:line="270" w:lineRule="exact"/>
        <w:rPr>
          <w:sz w:val="20"/>
          <w:szCs w:val="20"/>
          <w:color w:val="auto"/>
        </w:rPr>
      </w:pPr>
    </w:p>
    <w:p>
      <w:pPr>
        <w:ind w:right="480" w:firstLine="648"/>
        <w:spacing w:after="0" w:line="279" w:lineRule="auto"/>
        <w:rPr>
          <w:sz w:val="20"/>
          <w:szCs w:val="20"/>
          <w:color w:val="auto"/>
        </w:rPr>
      </w:pPr>
      <w:r>
        <w:rPr>
          <w:rFonts w:ascii="Arial" w:cs="Arial" w:eastAsia="Arial" w:hAnsi="Arial"/>
          <w:sz w:val="19"/>
          <w:szCs w:val="19"/>
          <w:color w:val="auto"/>
        </w:rPr>
        <w:t>The following examples illustrate how the percentage of the target number of restricted stock units is to be determined. The examples assume that Sempra Energy achieves certain total cumulative shareholder returns for the performance period. The vested percentage of your target number of restricted stock units will be determined based on Sempra Energy’s actual cumulative total shareholder return for the performance period as measured at the end of the performance period. No assurance is given that Sempra Energy will achieve the cumulative total shareholder returns shown in the examples.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1</w:t>
      </w:r>
    </w:p>
    <w:p>
      <w:pPr>
        <w:spacing w:after="0" w:line="218" w:lineRule="exact"/>
        <w:rPr>
          <w:sz w:val="20"/>
          <w:szCs w:val="20"/>
          <w:color w:val="auto"/>
        </w:rPr>
      </w:pPr>
    </w:p>
    <w:p>
      <w:pPr>
        <w:ind w:right="120" w:firstLine="648"/>
        <w:spacing w:after="0" w:line="345" w:lineRule="auto"/>
        <w:rPr>
          <w:sz w:val="20"/>
          <w:szCs w:val="20"/>
          <w:color w:val="auto"/>
        </w:rPr>
      </w:pPr>
      <w:r>
        <w:rPr>
          <w:rFonts w:ascii="Arial" w:cs="Arial" w:eastAsia="Arial" w:hAnsi="Arial"/>
          <w:sz w:val="18"/>
          <w:szCs w:val="18"/>
          <w:color w:val="auto"/>
        </w:rPr>
        <w:t xml:space="preserve">Sempra Energy’s total cumulative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80</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w:t>
      </w:r>
    </w:p>
    <w:p>
      <w:pPr>
        <w:spacing w:after="0" w:line="1" w:lineRule="exact"/>
        <w:rPr>
          <w:sz w:val="20"/>
          <w:szCs w:val="20"/>
          <w:color w:val="auto"/>
        </w:rPr>
      </w:pPr>
    </w:p>
    <w:p>
      <w:pPr>
        <w:ind w:right="60" w:firstLine="648"/>
        <w:spacing w:after="0" w:line="210" w:lineRule="auto"/>
        <w:rPr>
          <w:sz w:val="20"/>
          <w:szCs w:val="20"/>
          <w:color w:val="auto"/>
        </w:rPr>
      </w:pPr>
      <w:r>
        <w:rPr>
          <w:rFonts w:ascii="Arial" w:cs="Arial" w:eastAsia="Arial" w:hAnsi="Arial"/>
          <w:sz w:val="21"/>
          <w:szCs w:val="21"/>
          <w:color w:val="auto"/>
        </w:rPr>
        <w:t xml:space="preserve">Because Sempra Energy’s cumulative total cumulative shareholder return is </w:t>
      </w:r>
      <w:r>
        <w:rPr>
          <w:rFonts w:ascii="Arial" w:cs="Arial" w:eastAsia="Arial" w:hAnsi="Arial"/>
          <w:sz w:val="21"/>
          <w:szCs w:val="21"/>
          <w:u w:val="single" w:color="auto"/>
          <w:color w:val="auto"/>
        </w:rPr>
        <w:t>above the 75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150% of the target number of restricted stock units vest. This is the maximum number of restricted stock units under the award.</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2</w:t>
      </w:r>
    </w:p>
    <w:p>
      <w:pPr>
        <w:spacing w:after="0" w:line="218" w:lineRule="exact"/>
        <w:rPr>
          <w:sz w:val="20"/>
          <w:szCs w:val="20"/>
          <w:color w:val="auto"/>
        </w:rPr>
      </w:pPr>
    </w:p>
    <w:p>
      <w:pPr>
        <w:ind w:right="120" w:firstLine="648"/>
        <w:spacing w:after="0" w:line="335"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67</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percentage of the target number of restricted stock units that vest is determined by a linear interpolation between the</w:t>
      </w:r>
    </w:p>
    <w:p>
      <w:pPr>
        <w:spacing w:after="0" w:line="34" w:lineRule="exact"/>
        <w:rPr>
          <w:sz w:val="20"/>
          <w:szCs w:val="20"/>
          <w:color w:val="auto"/>
        </w:rPr>
      </w:pPr>
    </w:p>
    <w:p>
      <w:pPr>
        <w:ind w:right="300"/>
        <w:spacing w:after="0" w:line="180" w:lineRule="auto"/>
        <w:rPr>
          <w:sz w:val="20"/>
          <w:szCs w:val="20"/>
          <w:color w:val="auto"/>
        </w:rPr>
      </w:pPr>
      <w:r>
        <w:rPr>
          <w:rFonts w:ascii="Arial" w:cs="Arial" w:eastAsia="Arial" w:hAnsi="Arial"/>
          <w:sz w:val="20"/>
          <w:szCs w:val="20"/>
          <w:color w:val="auto"/>
        </w:rPr>
        <w:t xml:space="preserve">percentage based on the achievement of the </w:t>
      </w:r>
      <w:r>
        <w:rPr>
          <w:rFonts w:ascii="Arial" w:cs="Arial" w:eastAsia="Arial" w:hAnsi="Arial"/>
          <w:sz w:val="20"/>
          <w:szCs w:val="20"/>
          <w:u w:val="single" w:color="auto"/>
          <w:color w:val="auto"/>
        </w:rPr>
        <w:t>65</w:t>
      </w:r>
      <w:r>
        <w:rPr>
          <w:rFonts w:ascii="Arial" w:cs="Arial" w:eastAsia="Arial" w:hAnsi="Arial"/>
          <w:sz w:val="32"/>
          <w:szCs w:val="32"/>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(130%) and the percentage based on the achievement of the </w:t>
      </w:r>
      <w:r>
        <w:rPr>
          <w:rFonts w:ascii="Arial" w:cs="Arial" w:eastAsia="Arial" w:hAnsi="Arial"/>
          <w:sz w:val="20"/>
          <w:szCs w:val="20"/>
          <w:u w:val="single" w:color="auto"/>
          <w:color w:val="auto"/>
        </w:rPr>
        <w:t>70</w:t>
      </w:r>
      <w:r>
        <w:rPr>
          <w:rFonts w:ascii="Arial" w:cs="Arial" w:eastAsia="Arial" w:hAnsi="Arial"/>
          <w:sz w:val="32"/>
          <w:szCs w:val="32"/>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(140%).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percentage is determined as follows:</w:t>
      </w:r>
    </w:p>
    <w:p>
      <w:pPr>
        <w:spacing w:after="0" w:line="218" w:lineRule="exact"/>
        <w:rPr>
          <w:sz w:val="20"/>
          <w:szCs w:val="20"/>
          <w:color w:val="auto"/>
        </w:rPr>
      </w:pPr>
    </w:p>
    <w:p>
      <w:pPr>
        <w:ind w:left="1960" w:hanging="655"/>
        <w:spacing w:after="0"/>
        <w:tabs>
          <w:tab w:leader="none" w:pos="1960" w:val="left"/>
        </w:tabs>
        <w:numPr>
          <w:ilvl w:val="0"/>
          <w:numId w:val="93"/>
        </w:numPr>
        <w:rPr>
          <w:rFonts w:ascii="Arial" w:cs="Arial" w:eastAsia="Arial" w:hAnsi="Arial"/>
          <w:sz w:val="41"/>
          <w:szCs w:val="41"/>
          <w:color w:val="auto"/>
          <w:vertAlign w:val="superscript"/>
        </w:rPr>
      </w:pPr>
      <w:r>
        <w:rPr>
          <w:rFonts w:ascii="Arial" w:cs="Arial" w:eastAsia="Arial" w:hAnsi="Arial"/>
          <w:sz w:val="21"/>
          <w:szCs w:val="21"/>
          <w:color w:val="auto"/>
        </w:rPr>
        <w:t xml:space="preserve">130% (the percentage based on the achievement of the </w:t>
      </w:r>
      <w:r>
        <w:rPr>
          <w:rFonts w:ascii="Arial" w:cs="Arial" w:eastAsia="Arial" w:hAnsi="Arial"/>
          <w:sz w:val="21"/>
          <w:szCs w:val="21"/>
          <w:u w:val="single" w:color="auto"/>
          <w:color w:val="auto"/>
        </w:rPr>
        <w:t>65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plus</w:t>
      </w:r>
    </w:p>
    <w:p>
      <w:pPr>
        <w:spacing w:after="0" w:line="69" w:lineRule="exact"/>
        <w:rPr>
          <w:rFonts w:ascii="Arial" w:cs="Arial" w:eastAsia="Arial" w:hAnsi="Arial"/>
          <w:sz w:val="41"/>
          <w:szCs w:val="41"/>
          <w:color w:val="auto"/>
          <w:vertAlign w:val="superscript"/>
        </w:rPr>
      </w:pPr>
    </w:p>
    <w:p>
      <w:pPr>
        <w:ind w:left="660" w:right="1040" w:firstLine="645"/>
        <w:spacing w:after="0" w:line="209" w:lineRule="auto"/>
        <w:tabs>
          <w:tab w:leader="none" w:pos="1957" w:val="left"/>
        </w:tabs>
        <w:numPr>
          <w:ilvl w:val="0"/>
          <w:numId w:val="93"/>
        </w:numPr>
        <w:rPr>
          <w:rFonts w:ascii="Arial" w:cs="Arial" w:eastAsia="Arial" w:hAnsi="Arial"/>
          <w:sz w:val="41"/>
          <w:szCs w:val="41"/>
          <w:color w:val="auto"/>
          <w:vertAlign w:val="superscript"/>
        </w:rPr>
      </w:pPr>
      <w:r>
        <w:rPr>
          <w:rFonts w:ascii="Arial" w:cs="Arial" w:eastAsia="Arial" w:hAnsi="Arial"/>
          <w:sz w:val="21"/>
          <w:szCs w:val="21"/>
          <w:color w:val="auto"/>
        </w:rPr>
        <w:t xml:space="preserve">10% (the percentage based on the achievement of the </w:t>
      </w:r>
      <w:r>
        <w:rPr>
          <w:rFonts w:ascii="Arial" w:cs="Arial" w:eastAsia="Arial" w:hAnsi="Arial"/>
          <w:sz w:val="21"/>
          <w:szCs w:val="21"/>
          <w:u w:val="single" w:color="auto"/>
          <w:color w:val="auto"/>
        </w:rPr>
        <w:t>75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less the percentage based on the achievement of the </w:t>
      </w:r>
      <w:r>
        <w:rPr>
          <w:rFonts w:ascii="Arial" w:cs="Arial" w:eastAsia="Arial" w:hAnsi="Arial"/>
          <w:sz w:val="21"/>
          <w:szCs w:val="21"/>
          <w:u w:val="single" w:color="auto"/>
          <w:color w:val="auto"/>
        </w:rPr>
        <w:t>65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multiplied by an interpolation factor.</w:t>
      </w:r>
    </w:p>
    <w:p>
      <w:pPr>
        <w:spacing w:after="0" w:line="66" w:lineRule="exact"/>
        <w:rPr>
          <w:sz w:val="20"/>
          <w:szCs w:val="20"/>
          <w:color w:val="auto"/>
        </w:rPr>
      </w:pPr>
    </w:p>
    <w:p>
      <w:pPr>
        <w:ind w:right="460" w:firstLine="648"/>
        <w:spacing w:after="0" w:line="210" w:lineRule="auto"/>
        <w:rPr>
          <w:sz w:val="20"/>
          <w:szCs w:val="20"/>
          <w:color w:val="auto"/>
        </w:rPr>
      </w:pPr>
      <w:r>
        <w:rPr>
          <w:rFonts w:ascii="Arial" w:cs="Arial" w:eastAsia="Arial" w:hAnsi="Arial"/>
          <w:sz w:val="21"/>
          <w:szCs w:val="21"/>
          <w:color w:val="auto"/>
        </w:rPr>
        <w:t>The interpolation factor equals (67</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divided by (70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or two fifths (2/5).</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percentage based on the achievement of the </w:t>
      </w:r>
      <w:r>
        <w:rPr>
          <w:rFonts w:ascii="Arial" w:cs="Arial" w:eastAsia="Arial" w:hAnsi="Arial"/>
          <w:sz w:val="19"/>
          <w:szCs w:val="19"/>
          <w:u w:val="single" w:color="auto"/>
          <w:color w:val="auto"/>
        </w:rPr>
        <w:t>67</w:t>
      </w:r>
      <w:r>
        <w:rPr>
          <w:rFonts w:ascii="Arial" w:cs="Arial" w:eastAsia="Arial" w:hAnsi="Arial"/>
          <w:sz w:val="31"/>
          <w:szCs w:val="31"/>
          <w:u w:val="single" w:color="auto"/>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percentile</w:t>
      </w:r>
      <w:r>
        <w:rPr>
          <w:rFonts w:ascii="Arial" w:cs="Arial" w:eastAsia="Arial" w:hAnsi="Arial"/>
          <w:sz w:val="19"/>
          <w:szCs w:val="19"/>
          <w:color w:val="auto"/>
        </w:rPr>
        <w:t xml:space="preserve"> equals: (a) 130%, plus (b) 10%, multiplied by 2/5, or 134%.</w:t>
      </w:r>
    </w:p>
    <w:p>
      <w:pPr>
        <w:ind w:left="120"/>
        <w:spacing w:after="0"/>
        <w:rPr>
          <w:sz w:val="20"/>
          <w:szCs w:val="20"/>
          <w:color w:val="auto"/>
        </w:rPr>
      </w:pPr>
      <w:r>
        <w:rPr>
          <w:rFonts w:ascii="Arial" w:cs="Arial" w:eastAsia="Arial" w:hAnsi="Arial"/>
          <w:sz w:val="21"/>
          <w:szCs w:val="21"/>
          <w:color w:val="auto"/>
        </w:rPr>
        <w:t>Based on Sempra Energy’s cumulative total shareholder return, 134% of the target number of restricted stock units vest.</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3</w:t>
      </w:r>
    </w:p>
    <w:p>
      <w:pPr>
        <w:spacing w:after="0" w:line="204" w:lineRule="exact"/>
        <w:rPr>
          <w:sz w:val="20"/>
          <w:szCs w:val="20"/>
          <w:color w:val="auto"/>
        </w:rPr>
      </w:pPr>
    </w:p>
    <w:p>
      <w:pPr>
        <w:ind w:right="100" w:firstLine="648"/>
        <w:spacing w:after="0" w:line="348"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45th percentile</w:t>
      </w:r>
      <w:r>
        <w:rPr>
          <w:rFonts w:ascii="Arial" w:cs="Arial" w:eastAsia="Arial" w:hAnsi="Arial"/>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Sempra Energy’s cumulative total shareholder return for the performance period among the companies (ranked by total</w:t>
      </w:r>
    </w:p>
    <w:p>
      <w:pPr>
        <w:spacing w:after="0" w:line="34" w:lineRule="exact"/>
        <w:rPr>
          <w:sz w:val="20"/>
          <w:szCs w:val="20"/>
          <w:color w:val="auto"/>
        </w:rPr>
      </w:pPr>
    </w:p>
    <w:p>
      <w:pPr>
        <w:ind w:right="880"/>
        <w:spacing w:after="0" w:line="210" w:lineRule="auto"/>
        <w:rPr>
          <w:sz w:val="20"/>
          <w:szCs w:val="20"/>
          <w:color w:val="auto"/>
        </w:rPr>
      </w:pPr>
      <w:r>
        <w:rPr>
          <w:rFonts w:ascii="Arial" w:cs="Arial" w:eastAsia="Arial" w:hAnsi="Arial"/>
          <w:sz w:val="21"/>
          <w:szCs w:val="21"/>
          <w:color w:val="auto"/>
        </w:rPr>
        <w:t xml:space="preserve">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is </w:t>
      </w:r>
      <w:r>
        <w:rPr>
          <w:rFonts w:ascii="Arial" w:cs="Arial" w:eastAsia="Arial" w:hAnsi="Arial"/>
          <w:sz w:val="21"/>
          <w:szCs w:val="21"/>
          <w:u w:val="single" w:color="auto"/>
          <w:color w:val="auto"/>
        </w:rPr>
        <w:t>at or above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203" w:lineRule="exact"/>
        <w:rPr>
          <w:sz w:val="20"/>
          <w:szCs w:val="20"/>
          <w:color w:val="auto"/>
        </w:rPr>
      </w:pPr>
    </w:p>
    <w:p>
      <w:pPr>
        <w:ind w:right="200" w:firstLine="648"/>
        <w:spacing w:after="0" w:line="218" w:lineRule="auto"/>
        <w:rPr>
          <w:sz w:val="20"/>
          <w:szCs w:val="20"/>
          <w:color w:val="auto"/>
        </w:rPr>
      </w:pPr>
      <w:r>
        <w:rPr>
          <w:rFonts w:ascii="Arial" w:cs="Arial" w:eastAsia="Arial" w:hAnsi="Arial"/>
          <w:sz w:val="21"/>
          <w:szCs w:val="21"/>
          <w:color w:val="auto"/>
        </w:rPr>
        <w:t xml:space="preserve">Because Sempra Energy’s cumulative total shareholder return is at the </w:t>
      </w:r>
      <w:r>
        <w:rPr>
          <w:rFonts w:ascii="Arial" w:cs="Arial" w:eastAsia="Arial" w:hAnsi="Arial"/>
          <w:sz w:val="21"/>
          <w:szCs w:val="21"/>
          <w:u w:val="single" w:color="auto"/>
          <w:color w:val="auto"/>
        </w:rPr>
        <w:t>45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70% of the target number of restricted stock units would vest (before taking into account Sempra Energy’s performance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w:t>
      </w:r>
    </w:p>
    <w:p>
      <w:pPr>
        <w:spacing w:after="0" w:line="206" w:lineRule="exact"/>
        <w:rPr>
          <w:sz w:val="20"/>
          <w:szCs w:val="20"/>
          <w:color w:val="auto"/>
        </w:rPr>
      </w:pPr>
    </w:p>
    <w:p>
      <w:pPr>
        <w:ind w:right="80" w:firstLine="648"/>
        <w:spacing w:after="0" w:line="210" w:lineRule="auto"/>
        <w:rPr>
          <w:sz w:val="20"/>
          <w:szCs w:val="20"/>
          <w:color w:val="auto"/>
        </w:rPr>
      </w:pPr>
      <w:r>
        <w:rPr>
          <w:rFonts w:ascii="Arial" w:cs="Arial" w:eastAsia="Arial" w:hAnsi="Arial"/>
          <w:sz w:val="21"/>
          <w:szCs w:val="21"/>
          <w:color w:val="auto"/>
        </w:rPr>
        <w:t xml:space="preserve">However, because Sempra Energy’s cumulative total shareholder return is </w:t>
      </w:r>
      <w:r>
        <w:rPr>
          <w:rFonts w:ascii="Arial" w:cs="Arial" w:eastAsia="Arial" w:hAnsi="Arial"/>
          <w:sz w:val="21"/>
          <w:szCs w:val="21"/>
          <w:u w:val="single" w:color="auto"/>
          <w:color w:val="auto"/>
        </w:rPr>
        <w:t>at or above the 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100% of the target number of restricted stock units vest.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4</w:t>
      </w:r>
    </w:p>
    <w:p>
      <w:pPr>
        <w:spacing w:after="0" w:line="204" w:lineRule="exact"/>
        <w:rPr>
          <w:sz w:val="20"/>
          <w:szCs w:val="20"/>
          <w:color w:val="auto"/>
        </w:rPr>
      </w:pPr>
    </w:p>
    <w:p>
      <w:pPr>
        <w:ind w:right="40" w:firstLine="648"/>
        <w:spacing w:after="0" w:line="348"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30th percentile</w:t>
      </w:r>
      <w:r>
        <w:rPr>
          <w:rFonts w:ascii="Arial" w:cs="Arial" w:eastAsia="Arial" w:hAnsi="Arial"/>
          <w:sz w:val="18"/>
          <w:szCs w:val="18"/>
          <w:color w:val="auto"/>
        </w:rPr>
        <w:t>.</w:t>
      </w:r>
    </w:p>
    <w:p>
      <w:pPr>
        <w:spacing w:after="0" w:line="89" w:lineRule="exact"/>
        <w:rPr>
          <w:sz w:val="20"/>
          <w:szCs w:val="20"/>
          <w:color w:val="auto"/>
        </w:rPr>
      </w:pPr>
    </w:p>
    <w:p>
      <w:pPr>
        <w:ind w:right="300" w:firstLine="648"/>
        <w:spacing w:after="0" w:line="253" w:lineRule="auto"/>
        <w:rPr>
          <w:sz w:val="20"/>
          <w:szCs w:val="20"/>
          <w:color w:val="auto"/>
        </w:rPr>
      </w:pPr>
      <w:r>
        <w:rPr>
          <w:rFonts w:ascii="Arial" w:cs="Arial" w:eastAsia="Arial" w:hAnsi="Arial"/>
          <w:sz w:val="21"/>
          <w:szCs w:val="21"/>
          <w:color w:val="auto"/>
        </w:rPr>
        <w:t xml:space="preserve">Also, Sempra Energy’s total shareholder return for the performance period among the companies (ranked by cumulative total 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Committee, is </w:t>
      </w:r>
      <w:r>
        <w:rPr>
          <w:rFonts w:ascii="Arial" w:cs="Arial" w:eastAsia="Arial" w:hAnsi="Arial"/>
          <w:sz w:val="21"/>
          <w:szCs w:val="21"/>
          <w:u w:val="single" w:color="auto"/>
          <w:color w:val="auto"/>
        </w:rPr>
        <w:t>below the 50th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ectPr>
          <w:pgSz w:w="11900" w:h="16838" w:orient="portrait"/>
          <w:cols w:equalWidth="0" w:num="1">
            <w:col w:w="11420"/>
          </w:cols>
          <w:pgMar w:left="240" w:top="120" w:right="239" w:bottom="0" w:gutter="0" w:footer="0" w:header="0"/>
        </w:sectPr>
      </w:pPr>
    </w:p>
    <w:bookmarkStart w:id="83" w:name="page84"/>
    <w:bookmarkEnd w:id="83"/>
    <w:p>
      <w:pPr>
        <w:ind w:firstLine="648"/>
        <w:spacing w:after="0" w:line="290" w:lineRule="auto"/>
        <w:rPr>
          <w:sz w:val="20"/>
          <w:szCs w:val="20"/>
          <w:color w:val="auto"/>
        </w:rPr>
      </w:pPr>
      <w:r>
        <w:rPr>
          <w:rFonts w:ascii="Arial" w:cs="Arial" w:eastAsia="Arial" w:hAnsi="Arial"/>
          <w:sz w:val="21"/>
          <w:szCs w:val="21"/>
          <w:color w:val="auto"/>
        </w:rPr>
        <w:t xml:space="preserve">Because Sempra Energy’s total shareholder return for the performance period among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is </w:t>
      </w:r>
      <w:r>
        <w:rPr>
          <w:rFonts w:ascii="Arial" w:cs="Arial" w:eastAsia="Arial" w:hAnsi="Arial"/>
          <w:sz w:val="21"/>
          <w:szCs w:val="21"/>
          <w:u w:val="single" w:color="auto"/>
          <w:color w:val="auto"/>
        </w:rPr>
        <w:t>below the 35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none of the target number of restricted stock units vest.</w:t>
      </w:r>
    </w:p>
    <w:p>
      <w:pPr>
        <w:sectPr>
          <w:pgSz w:w="11900" w:h="16838" w:orient="portrait"/>
          <w:cols w:equalWidth="0" w:num="1">
            <w:col w:w="11260"/>
          </w:cols>
          <w:pgMar w:left="240" w:top="126" w:right="399" w:bottom="1440" w:gutter="0" w:footer="0" w:header="0"/>
        </w:sectPr>
      </w:pPr>
    </w:p>
    <w:bookmarkStart w:id="84" w:name="page85"/>
    <w:bookmarkEnd w:id="84"/>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Arial" w:cs="Arial" w:eastAsia="Arial" w:hAnsi="Arial"/>
                <w:sz w:val="18"/>
                <w:szCs w:val="18"/>
                <w:color w:val="auto"/>
              </w:rPr>
              <w:t>Fixed charges and</w:t>
            </w:r>
          </w:p>
        </w:tc>
        <w:tc>
          <w:tcPr>
            <w:tcW w:w="340" w:type="dxa"/>
            <w:vAlign w:val="bottom"/>
          </w:tcPr>
          <w:p>
            <w:pPr>
              <w:spacing w:after="0"/>
              <w:rPr>
                <w:sz w:val="17"/>
                <w:szCs w:val="17"/>
                <w:color w:val="auto"/>
              </w:rPr>
            </w:pPr>
          </w:p>
        </w:tc>
        <w:tc>
          <w:tcPr>
            <w:tcW w:w="9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2008(1)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2009(1)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2010(1)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2011(1)</w:t>
            </w:r>
          </w:p>
        </w:tc>
        <w:tc>
          <w:tcPr>
            <w:tcW w:w="1540" w:type="dxa"/>
            <w:vAlign w:val="bottom"/>
            <w:gridSpan w:val="2"/>
          </w:tcPr>
          <w:p>
            <w:pPr>
              <w:jc w:val="right"/>
              <w:ind w:right="310"/>
              <w:spacing w:after="0" w:line="20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379</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353</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492</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549</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annual rentals</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2160" w:type="dxa"/>
            <w:vAlign w:val="bottom"/>
          </w:tcPr>
          <w:p>
            <w:pPr>
              <w:ind w:left="260"/>
              <w:spacing w:after="0" w:line="190" w:lineRule="exact"/>
              <w:rPr>
                <w:sz w:val="20"/>
                <w:szCs w:val="20"/>
                <w:color w:val="auto"/>
              </w:rPr>
            </w:pPr>
            <w:r>
              <w:rPr>
                <w:rFonts w:ascii="Arial" w:cs="Arial" w:eastAsia="Arial" w:hAnsi="Arial"/>
                <w:sz w:val="18"/>
                <w:szCs w:val="18"/>
                <w:color w:val="auto"/>
              </w:rPr>
              <w:t>of subsidiaries (2)</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40"/>
              <w:spacing w:after="0" w:line="195" w:lineRule="exact"/>
              <w:rPr>
                <w:sz w:val="20"/>
                <w:szCs w:val="20"/>
                <w:color w:val="auto"/>
              </w:rPr>
            </w:pPr>
            <w:r>
              <w:rPr>
                <w:rFonts w:ascii="Arial" w:cs="Arial" w:eastAsia="Arial" w:hAnsi="Arial"/>
                <w:sz w:val="18"/>
                <w:szCs w:val="18"/>
                <w:color w:val="auto"/>
              </w:rPr>
              <w:t>Total fixed</w:t>
            </w: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charges</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561</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for purpose of</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60" w:type="dxa"/>
            <w:vAlign w:val="bottom"/>
          </w:tcPr>
          <w:p>
            <w:pPr>
              <w:ind w:left="260"/>
              <w:spacing w:after="0" w:line="190" w:lineRule="exact"/>
              <w:rPr>
                <w:sz w:val="20"/>
                <w:szCs w:val="20"/>
                <w:color w:val="auto"/>
              </w:rPr>
            </w:pPr>
            <w:r>
              <w:rPr>
                <w:rFonts w:ascii="Arial" w:cs="Arial" w:eastAsia="Arial" w:hAnsi="Arial"/>
                <w:sz w:val="18"/>
                <w:szCs w:val="18"/>
                <w:color w:val="auto"/>
              </w:rPr>
              <w:t>ratio</w:t>
            </w: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540" w:type="dxa"/>
            <w:vAlign w:val="bottom"/>
            <w:gridSpan w:val="2"/>
          </w:tcPr>
          <w:p>
            <w:pPr>
              <w:jc w:val="right"/>
              <w:ind w:right="3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160" w:type="dxa"/>
            <w:vAlign w:val="bottom"/>
          </w:tcPr>
          <w:p>
            <w:pPr>
              <w:spacing w:after="0" w:line="189" w:lineRule="exact"/>
              <w:rPr>
                <w:sz w:val="20"/>
                <w:szCs w:val="20"/>
                <w:color w:val="auto"/>
              </w:rPr>
            </w:pPr>
            <w:r>
              <w:rPr>
                <w:rFonts w:ascii="Arial" w:cs="Arial" w:eastAsia="Arial" w:hAnsi="Arial"/>
                <w:sz w:val="18"/>
                <w:szCs w:val="18"/>
                <w:color w:val="auto"/>
              </w:rPr>
              <w:t>Total fixed charges</w:t>
            </w: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and preferred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2160" w:type="dxa"/>
            <w:vAlign w:val="bottom"/>
          </w:tcPr>
          <w:p>
            <w:pPr>
              <w:ind w:left="260"/>
              <w:spacing w:after="0" w:line="163" w:lineRule="exact"/>
              <w:rPr>
                <w:sz w:val="20"/>
                <w:szCs w:val="20"/>
                <w:color w:val="auto"/>
              </w:rPr>
            </w:pPr>
            <w:r>
              <w:rPr>
                <w:rFonts w:ascii="Arial" w:cs="Arial" w:eastAsia="Arial" w:hAnsi="Arial"/>
                <w:sz w:val="18"/>
                <w:szCs w:val="18"/>
                <w:color w:val="auto"/>
              </w:rPr>
              <w:t>purpose of ratio</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399</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369</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470</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506</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561</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Pretax income from</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operations before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adjustment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income or loss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from equity</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(from above)</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561</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Distributed income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of equity</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Interest capitalized</w:t>
            </w: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w:t>
            </w:r>
          </w:p>
        </w:tc>
        <w:tc>
          <w:tcPr>
            <w:tcW w:w="1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2160" w:type="dxa"/>
            <w:vAlign w:val="bottom"/>
          </w:tcPr>
          <w:p>
            <w:pPr>
              <w:ind w:left="260"/>
              <w:spacing w:after="0" w:line="190" w:lineRule="exact"/>
              <w:rPr>
                <w:sz w:val="20"/>
                <w:szCs w:val="20"/>
                <w:color w:val="auto"/>
              </w:rPr>
            </w:pPr>
            <w:r>
              <w:rPr>
                <w:rFonts w:ascii="Arial" w:cs="Arial" w:eastAsia="Arial" w:hAnsi="Arial"/>
                <w:sz w:val="18"/>
                <w:szCs w:val="18"/>
                <w:color w:val="auto"/>
              </w:rPr>
              <w:t>of subsidiaries (2)</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Arial" w:cs="Arial" w:eastAsia="Arial" w:hAnsi="Arial"/>
                <w:sz w:val="18"/>
                <w:szCs w:val="18"/>
                <w:color w:val="auto"/>
              </w:rPr>
              <w:t>Total earnings for</w:t>
            </w: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182" w:lineRule="exact"/>
              <w:rPr>
                <w:sz w:val="20"/>
                <w:szCs w:val="20"/>
                <w:color w:val="auto"/>
              </w:rPr>
            </w:pPr>
            <w:r>
              <w:rPr>
                <w:rFonts w:ascii="Arial" w:cs="Arial" w:eastAsia="Arial" w:hAnsi="Arial"/>
                <w:sz w:val="18"/>
                <w:szCs w:val="18"/>
                <w:color w:val="auto"/>
              </w:rPr>
              <w:t>purpose of ratio</w:t>
            </w:r>
          </w:p>
        </w:tc>
        <w:tc>
          <w:tcPr>
            <w:tcW w:w="340" w:type="dxa"/>
            <w:vAlign w:val="bottom"/>
          </w:tcPr>
          <w:p>
            <w:pPr>
              <w:spacing w:after="0"/>
              <w:rPr>
                <w:sz w:val="17"/>
                <w:szCs w:val="17"/>
                <w:color w:val="auto"/>
              </w:rPr>
            </w:pP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1,846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1,401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1,854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1,760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2,367</w:t>
            </w:r>
          </w:p>
        </w:tc>
        <w:tc>
          <w:tcPr>
            <w:tcW w:w="15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4.22</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63"/>
        </w:trPr>
        <w:tc>
          <w:tcPr>
            <w:tcW w:w="216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4.22</w:t>
            </w:r>
          </w:p>
        </w:tc>
        <w:tc>
          <w:tcPr>
            <w:tcW w:w="1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63"/>
        </w:trPr>
        <w:tc>
          <w:tcPr>
            <w:tcW w:w="216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right="200" w:hanging="551"/>
        <w:spacing w:after="0" w:line="234"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adjusted for the retrospective effect of a change in accounting principle. This change had no impact at December 31, 2007 or for the year then ended.</w:t>
      </w:r>
    </w:p>
    <w:p>
      <w:pPr>
        <w:spacing w:after="0" w:line="1" w:lineRule="exact"/>
        <w:rPr>
          <w:rFonts w:ascii="Arial" w:cs="Arial" w:eastAsia="Arial" w:hAnsi="Arial"/>
          <w:sz w:val="18"/>
          <w:szCs w:val="18"/>
          <w:color w:val="auto"/>
        </w:rPr>
      </w:pPr>
    </w:p>
    <w:p>
      <w:pPr>
        <w:ind w:left="620" w:right="420" w:hanging="551"/>
        <w:spacing w:after="0" w:line="246"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Fixed Charges and</w:t>
      </w:r>
    </w:p>
    <w:p>
      <w:pPr>
        <w:ind w:left="260"/>
        <w:spacing w:after="0" w:line="234" w:lineRule="auto"/>
        <w:rPr>
          <w:sz w:val="20"/>
          <w:szCs w:val="20"/>
          <w:color w:val="auto"/>
        </w:rPr>
      </w:pPr>
      <w:r>
        <w:rPr>
          <w:rFonts w:ascii="Arial" w:cs="Arial" w:eastAsia="Arial" w:hAnsi="Arial"/>
          <w:sz w:val="18"/>
          <w:szCs w:val="18"/>
          <w:color w:val="auto"/>
        </w:rPr>
        <w:t>Preferred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jc w:val="right"/>
        <w:ind w:right="280"/>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Total fixed charges Preferred stock</w:t>
      </w:r>
    </w:p>
    <w:p>
      <w:pPr>
        <w:spacing w:after="0" w:line="1" w:lineRule="exact"/>
        <w:rPr>
          <w:sz w:val="20"/>
          <w:szCs w:val="20"/>
          <w:color w:val="auto"/>
        </w:rPr>
      </w:pPr>
    </w:p>
    <w:p>
      <w:pPr>
        <w:jc w:val="right"/>
        <w:ind w:right="400"/>
        <w:spacing w:after="0" w:line="234" w:lineRule="auto"/>
        <w:rPr>
          <w:sz w:val="20"/>
          <w:szCs w:val="20"/>
          <w:color w:val="auto"/>
        </w:rPr>
      </w:pPr>
      <w:r>
        <w:rPr>
          <w:rFonts w:ascii="Arial" w:cs="Arial" w:eastAsia="Arial" w:hAnsi="Arial"/>
          <w:sz w:val="18"/>
          <w:szCs w:val="18"/>
          <w:color w:val="auto"/>
        </w:rPr>
        <w:t>dividends (1) Combined fixed charges and</w:t>
      </w:r>
    </w:p>
    <w:p>
      <w:pPr>
        <w:spacing w:after="0" w:line="2" w:lineRule="exact"/>
        <w:rPr>
          <w:sz w:val="20"/>
          <w:szCs w:val="20"/>
          <w:color w:val="auto"/>
        </w:rPr>
      </w:pPr>
    </w:p>
    <w:p>
      <w:pPr>
        <w:ind w:left="260" w:right="180"/>
        <w:spacing w:after="0" w:line="254" w:lineRule="auto"/>
        <w:rPr>
          <w:sz w:val="20"/>
          <w:szCs w:val="20"/>
          <w:color w:val="auto"/>
        </w:rPr>
      </w:pPr>
      <w:r>
        <w:rPr>
          <w:rFonts w:ascii="Arial" w:cs="Arial" w:eastAsia="Arial" w:hAnsi="Arial"/>
          <w:sz w:val="17"/>
          <w:szCs w:val="17"/>
          <w:color w:val="auto"/>
        </w:rPr>
        <w:t>preferred stock dividends for purpose of ratio</w:t>
      </w:r>
    </w:p>
    <w:p>
      <w:pPr>
        <w:spacing w:after="0" w:line="235" w:lineRule="auto"/>
        <w:rPr>
          <w:sz w:val="20"/>
          <w:szCs w:val="20"/>
          <w:color w:val="auto"/>
        </w:rPr>
      </w:pPr>
      <w:r>
        <w:rPr>
          <w:rFonts w:ascii="Arial" w:cs="Arial" w:eastAsia="Arial" w:hAnsi="Arial"/>
          <w:sz w:val="18"/>
          <w:szCs w:val="18"/>
          <w:color w:val="auto"/>
        </w:rPr>
        <w:t>Earnings:</w:t>
      </w:r>
    </w:p>
    <w:p>
      <w:pPr>
        <w:spacing w:after="0" w:line="1" w:lineRule="exact"/>
        <w:rPr>
          <w:sz w:val="20"/>
          <w:szCs w:val="20"/>
          <w:color w:val="auto"/>
        </w:rPr>
      </w:pPr>
    </w:p>
    <w:p>
      <w:pPr>
        <w:ind w:left="260" w:right="120" w:hanging="258"/>
        <w:spacing w:after="0" w:line="234" w:lineRule="auto"/>
        <w:rPr>
          <w:sz w:val="20"/>
          <w:szCs w:val="20"/>
          <w:color w:val="auto"/>
        </w:rPr>
      </w:pPr>
      <w:r>
        <w:rPr>
          <w:rFonts w:ascii="Arial" w:cs="Arial" w:eastAsia="Arial" w:hAnsi="Arial"/>
          <w:sz w:val="18"/>
          <w:szCs w:val="18"/>
          <w:color w:val="auto"/>
        </w:rPr>
        <w:t>Pretax income from continuing operations</w:t>
      </w:r>
    </w:p>
    <w:p>
      <w:pPr>
        <w:spacing w:after="0" w:line="2" w:lineRule="exact"/>
        <w:rPr>
          <w:sz w:val="20"/>
          <w:szCs w:val="20"/>
          <w:color w:val="auto"/>
        </w:rPr>
      </w:pPr>
    </w:p>
    <w:p>
      <w:pPr>
        <w:ind w:left="260" w:right="180" w:hanging="258"/>
        <w:spacing w:after="0" w:line="248"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jc w:val="right"/>
        <w:ind w:right="600"/>
        <w:spacing w:after="0"/>
        <w:rPr>
          <w:sz w:val="20"/>
          <w:szCs w:val="20"/>
          <w:color w:val="auto"/>
        </w:rPr>
      </w:pPr>
      <w:r>
        <w:rPr>
          <w:rFonts w:ascii="Arial" w:cs="Arial" w:eastAsia="Arial" w:hAnsi="Arial"/>
          <w:sz w:val="17"/>
          <w:szCs w:val="17"/>
          <w:color w:val="auto"/>
        </w:rPr>
        <w:t>Less: Interest</w:t>
      </w:r>
    </w:p>
    <w:p>
      <w:pPr>
        <w:spacing w:after="0" w:line="7"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capitalized</w:t>
      </w:r>
    </w:p>
    <w:p>
      <w:pPr>
        <w:spacing w:after="0" w:line="36" w:lineRule="exact"/>
        <w:rPr>
          <w:sz w:val="20"/>
          <w:szCs w:val="20"/>
          <w:color w:val="auto"/>
        </w:rPr>
      </w:pPr>
    </w:p>
    <w:p>
      <w:pPr>
        <w:ind w:left="260" w:right="180" w:hanging="258"/>
        <w:spacing w:after="0" w:line="248" w:lineRule="auto"/>
        <w:rPr>
          <w:sz w:val="20"/>
          <w:szCs w:val="20"/>
          <w:color w:val="auto"/>
        </w:rPr>
      </w:pPr>
      <w:r>
        <w:rPr>
          <w:rFonts w:ascii="Arial" w:cs="Arial" w:eastAsia="Arial" w:hAnsi="Arial"/>
          <w:sz w:val="17"/>
          <w:szCs w:val="17"/>
          <w:color w:val="auto"/>
        </w:rPr>
        <w:t>Total earnings for purpose of ratio</w:t>
      </w:r>
    </w:p>
    <w:p>
      <w:pPr>
        <w:spacing w:after="0" w:line="1" w:lineRule="exact"/>
        <w:rPr>
          <w:sz w:val="20"/>
          <w:szCs w:val="20"/>
          <w:color w:val="auto"/>
        </w:rPr>
      </w:pPr>
    </w:p>
    <w:p>
      <w:pPr>
        <w:ind w:left="260" w:right="120" w:hanging="258"/>
        <w:spacing w:after="0" w:line="238"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03" w:lineRule="exact"/>
        <w:rPr>
          <w:sz w:val="20"/>
          <w:szCs w:val="20"/>
          <w:color w:val="auto"/>
        </w:rPr>
      </w:pPr>
    </w:p>
    <w:p>
      <w:pPr>
        <w:ind w:left="260" w:right="12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2520"/>
        <w:spacing w:after="0"/>
        <w:rPr>
          <w:sz w:val="20"/>
          <w:szCs w:val="20"/>
          <w:color w:val="auto"/>
        </w:rPr>
      </w:pPr>
      <w:r>
        <w:rPr>
          <w:rFonts w:ascii="Arial" w:cs="Arial" w:eastAsia="Arial" w:hAnsi="Arial"/>
          <w:sz w:val="17"/>
          <w:szCs w:val="17"/>
          <w:b w:val="1"/>
          <w:bCs w:val="1"/>
          <w:color w:val="auto"/>
        </w:rPr>
        <w:t>COMPUTATION OF RATIO OF EARNINGS TO COMBINED FIXED CHARGES</w:t>
      </w:r>
    </w:p>
    <w:p>
      <w:pPr>
        <w:spacing w:after="0" w:line="3"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AND PREFERRED STOCK DIVIDENDS</w:t>
      </w:r>
    </w:p>
    <w:p>
      <w:pPr>
        <w:jc w:val="center"/>
        <w:ind w:right="252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March 31,</w:t>
            </w:r>
          </w:p>
        </w:tc>
      </w:tr>
      <w:tr>
        <w:trPr>
          <w:trHeight w:val="203"/>
        </w:trPr>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2007</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2008</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2012</w:t>
            </w:r>
          </w:p>
        </w:tc>
      </w:tr>
      <w:tr>
        <w:trPr>
          <w:trHeight w:val="803"/>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193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r>
      <w:tr>
        <w:trPr>
          <w:trHeight w:val="378"/>
        </w:trPr>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194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r>
      <w:tr>
        <w:trPr>
          <w:trHeight w:val="378"/>
        </w:trPr>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762"/>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115</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115</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126</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161</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201</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54</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01"/>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451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550</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531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692</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172</w:t>
            </w:r>
          </w:p>
        </w:tc>
      </w:tr>
      <w:tr>
        <w:trPr>
          <w:trHeight w:val="405"/>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154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194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r>
      <w:tr>
        <w:trPr>
          <w:trHeight w:val="378"/>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1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03"/>
        </w:trPr>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511</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546</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665</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684</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885</w:t>
            </w: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224</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53"/>
        </w:trPr>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61"/>
        </w:trPr>
        <w:tc>
          <w:tcPr>
            <w:tcW w:w="118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5.06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5.59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4.44</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4.56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4.31</w:t>
            </w: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1680" w:space="720"/>
            <w:col w:w="8880"/>
          </w:cols>
          <w:pgMar w:left="380" w:top="1089" w:right="239" w:bottom="1440" w:gutter="0" w:footer="0" w:header="0"/>
        </w:sectPr>
      </w:pPr>
    </w:p>
    <w:p>
      <w:pPr>
        <w:ind w:left="520" w:right="200" w:hanging="499"/>
        <w:spacing w:after="0" w:line="246" w:lineRule="auto"/>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ind w:left="260" w:right="40" w:hanging="258"/>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Total fixed charges Preferred stock dividends</w:t>
      </w:r>
    </w:p>
    <w:p>
      <w:pPr>
        <w:ind w:left="260"/>
        <w:spacing w:after="0" w:line="236" w:lineRule="auto"/>
        <w:rPr>
          <w:sz w:val="20"/>
          <w:szCs w:val="20"/>
          <w:color w:val="auto"/>
        </w:rPr>
      </w:pPr>
      <w:r>
        <w:rPr>
          <w:rFonts w:ascii="Arial" w:cs="Arial" w:eastAsia="Arial" w:hAnsi="Arial"/>
          <w:sz w:val="18"/>
          <w:szCs w:val="18"/>
          <w:color w:val="auto"/>
        </w:rPr>
        <w:t>(1)</w:t>
      </w:r>
    </w:p>
    <w:p>
      <w:pPr>
        <w:ind w:left="260" w:right="40" w:hanging="258"/>
        <w:spacing w:after="0" w:line="238" w:lineRule="auto"/>
        <w:rPr>
          <w:sz w:val="20"/>
          <w:szCs w:val="20"/>
          <w:color w:val="auto"/>
        </w:rPr>
      </w:pPr>
      <w:r>
        <w:rPr>
          <w:rFonts w:ascii="Arial" w:cs="Arial" w:eastAsia="Arial" w:hAnsi="Arial"/>
          <w:sz w:val="18"/>
          <w:szCs w:val="18"/>
          <w:color w:val="auto"/>
        </w:rPr>
        <w:t>Combined fixed charges and preferred stock dividends for purpose of ratio</w:t>
      </w:r>
    </w:p>
    <w:p>
      <w:pPr>
        <w:spacing w:after="0" w:line="238" w:lineRule="auto"/>
        <w:rPr>
          <w:sz w:val="20"/>
          <w:szCs w:val="20"/>
          <w:color w:val="auto"/>
        </w:rPr>
      </w:pPr>
      <w:r>
        <w:rPr>
          <w:rFonts w:ascii="Arial" w:cs="Arial" w:eastAsia="Arial" w:hAnsi="Arial"/>
          <w:sz w:val="18"/>
          <w:szCs w:val="18"/>
          <w:color w:val="auto"/>
        </w:rPr>
        <w:t>Earnings:</w:t>
      </w:r>
    </w:p>
    <w:p>
      <w:pPr>
        <w:ind w:left="260" w:right="60" w:hanging="258"/>
        <w:spacing w:after="0" w:line="248" w:lineRule="auto"/>
        <w:rPr>
          <w:sz w:val="20"/>
          <w:szCs w:val="20"/>
          <w:color w:val="auto"/>
        </w:rPr>
      </w:pPr>
      <w:r>
        <w:rPr>
          <w:rFonts w:ascii="Arial" w:cs="Arial" w:eastAsia="Arial" w:hAnsi="Arial"/>
          <w:sz w:val="17"/>
          <w:szCs w:val="17"/>
          <w:color w:val="auto"/>
        </w:rPr>
        <w:t>Pretax income from continuing operations</w:t>
      </w:r>
    </w:p>
    <w:p>
      <w:pPr>
        <w:spacing w:after="0" w:line="1" w:lineRule="exact"/>
        <w:rPr>
          <w:sz w:val="20"/>
          <w:szCs w:val="20"/>
          <w:color w:val="auto"/>
        </w:rPr>
      </w:pPr>
    </w:p>
    <w:p>
      <w:pPr>
        <w:ind w:left="260" w:right="100" w:hanging="258"/>
        <w:spacing w:after="0" w:line="257" w:lineRule="auto"/>
        <w:rPr>
          <w:sz w:val="20"/>
          <w:szCs w:val="20"/>
          <w:color w:val="auto"/>
        </w:rPr>
      </w:pPr>
      <w:r>
        <w:rPr>
          <w:rFonts w:ascii="Arial" w:cs="Arial" w:eastAsia="Arial" w:hAnsi="Arial"/>
          <w:sz w:val="17"/>
          <w:szCs w:val="17"/>
          <w:color w:val="auto"/>
        </w:rPr>
        <w:t>Add: Total fixed charges (from above)</w:t>
      </w:r>
    </w:p>
    <w:p>
      <w:pPr>
        <w:spacing w:after="0"/>
        <w:rPr>
          <w:sz w:val="20"/>
          <w:szCs w:val="20"/>
          <w:color w:val="auto"/>
        </w:rPr>
      </w:pPr>
      <w:r>
        <w:rPr>
          <w:rFonts w:ascii="Arial" w:cs="Arial" w:eastAsia="Arial" w:hAnsi="Arial"/>
          <w:sz w:val="18"/>
          <w:szCs w:val="18"/>
          <w:color w:val="auto"/>
        </w:rPr>
        <w:t>Less: Interest capitalized</w:t>
      </w:r>
    </w:p>
    <w:p>
      <w:pPr>
        <w:spacing w:after="0" w:line="36" w:lineRule="exact"/>
        <w:rPr>
          <w:sz w:val="20"/>
          <w:szCs w:val="20"/>
          <w:color w:val="auto"/>
        </w:rPr>
      </w:pPr>
    </w:p>
    <w:p>
      <w:pPr>
        <w:ind w:left="260" w:right="520" w:hanging="258"/>
        <w:spacing w:after="0" w:line="248" w:lineRule="auto"/>
        <w:rPr>
          <w:sz w:val="20"/>
          <w:szCs w:val="20"/>
          <w:color w:val="auto"/>
        </w:rPr>
      </w:pPr>
      <w:r>
        <w:rPr>
          <w:rFonts w:ascii="Arial" w:cs="Arial" w:eastAsia="Arial" w:hAnsi="Arial"/>
          <w:sz w:val="17"/>
          <w:szCs w:val="17"/>
          <w:color w:val="auto"/>
        </w:rPr>
        <w:t>Total earnings for purpose of ratio</w:t>
      </w:r>
    </w:p>
    <w:p>
      <w:pPr>
        <w:spacing w:after="0" w:line="1" w:lineRule="exact"/>
        <w:rPr>
          <w:sz w:val="20"/>
          <w:szCs w:val="20"/>
          <w:color w:val="auto"/>
        </w:rPr>
      </w:pPr>
    </w:p>
    <w:p>
      <w:pPr>
        <w:ind w:left="260" w:hanging="258"/>
        <w:spacing w:after="0" w:line="257" w:lineRule="auto"/>
        <w:rPr>
          <w:sz w:val="20"/>
          <w:szCs w:val="20"/>
          <w:color w:val="auto"/>
        </w:rPr>
      </w:pPr>
      <w:r>
        <w:rPr>
          <w:rFonts w:ascii="Arial" w:cs="Arial" w:eastAsia="Arial" w:hAnsi="Arial"/>
          <w:sz w:val="17"/>
          <w:szCs w:val="17"/>
          <w:color w:val="auto"/>
        </w:rPr>
        <w:t>Ratio of earnings to combined fixed charges and preferred stock dividends</w:t>
      </w:r>
    </w:p>
    <w:p>
      <w:pPr>
        <w:spacing w:after="0" w:line="189" w:lineRule="exact"/>
        <w:rPr>
          <w:sz w:val="20"/>
          <w:szCs w:val="20"/>
          <w:color w:val="auto"/>
        </w:rPr>
      </w:pPr>
    </w:p>
    <w:p>
      <w:pPr>
        <w:ind w:left="260" w:right="4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Arial" w:cs="Arial" w:eastAsia="Arial" w:hAnsi="Arial"/>
          <w:sz w:val="18"/>
          <w:szCs w:val="18"/>
          <w:b w:val="1"/>
          <w:bCs w:val="1"/>
          <w:color w:val="auto"/>
        </w:rPr>
        <w:t>EXHIBIT 12.3</w:t>
      </w:r>
    </w:p>
    <w:p>
      <w:pPr>
        <w:spacing w:after="0" w:line="13"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SOUTHERN CALIFORNIA GAS COMPANY</w:t>
      </w:r>
    </w:p>
    <w:p>
      <w:pPr>
        <w:jc w:val="center"/>
        <w:ind w:right="232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232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March 31,</w:t>
            </w:r>
          </w:p>
        </w:tc>
      </w:tr>
      <w:tr>
        <w:trPr>
          <w:trHeight w:val="203"/>
        </w:trPr>
        <w:tc>
          <w:tcPr>
            <w:tcW w:w="12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2007</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2008</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2012</w:t>
            </w:r>
          </w:p>
        </w:tc>
      </w:tr>
      <w:tr>
        <w:trPr>
          <w:trHeight w:val="411"/>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378"/>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378"/>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560"/>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2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77</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69</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77</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76</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80</w:t>
            </w: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19</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391</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391"/>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03"/>
        </w:trPr>
        <w:tc>
          <w:tcPr>
            <w:tcW w:w="12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r>
      <w:tr>
        <w:trPr>
          <w:trHeight w:val="195"/>
        </w:trPr>
        <w:tc>
          <w:tcPr>
            <w:tcW w:w="12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12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465</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452</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492</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536</w:t>
            </w:r>
          </w:p>
        </w:tc>
        <w:tc>
          <w:tcPr>
            <w:tcW w:w="6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508</w:t>
            </w: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125</w:t>
            </w:r>
          </w:p>
        </w:tc>
      </w:tr>
      <w:tr>
        <w:trPr>
          <w:trHeight w:val="20"/>
        </w:trPr>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750"/>
        </w:trPr>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6.04</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61"/>
        </w:trPr>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6.20</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2020" w:space="160"/>
            <w:col w:w="9100"/>
          </w:cols>
          <w:pgMar w:left="380" w:top="1089" w:right="239" w:bottom="1440" w:gutter="0" w:footer="0" w:header="0"/>
        </w:sectPr>
      </w:pPr>
    </w:p>
    <w:p>
      <w:pPr>
        <w:ind w:left="600" w:right="320" w:hanging="538"/>
        <w:spacing w:after="0" w:line="246"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type w:val="continuous"/>
        </w:sectPr>
      </w:pPr>
    </w:p>
    <w:bookmarkStart w:id="87" w:name="page88"/>
    <w:bookmarkEnd w:id="87"/>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9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3, 2012</w:t>
      </w:r>
    </w:p>
    <w:p>
      <w:pPr>
        <w:spacing w:after="0" w:line="267"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8" w:name="page89"/>
    <w:bookmarkEnd w:id="88"/>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Joseph A. Householder, certify that:</w:t>
      </w:r>
    </w:p>
    <w:p>
      <w:pPr>
        <w:spacing w:after="0" w:line="260"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9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3, 2012</w:t>
      </w:r>
    </w:p>
    <w:p>
      <w:pPr>
        <w:spacing w:after="0" w:line="267"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-123190</wp:posOffset>
            </wp:positionV>
            <wp:extent cx="26498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89" w:name="page90"/>
    <w:bookmarkEnd w:id="89"/>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9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3, 2012</w:t>
      </w:r>
    </w:p>
    <w:p>
      <w:pPr>
        <w:spacing w:after="0" w:line="26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0" w:name="page91"/>
    <w:bookmarkEnd w:id="90"/>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3,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1" w:name="page92"/>
    <w:bookmarkEnd w:id="91"/>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W. Allman, certify that:</w:t>
      </w:r>
    </w:p>
    <w:p>
      <w:pPr>
        <w:spacing w:after="0" w:line="260"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3, 2012</w:t>
      </w:r>
    </w:p>
    <w:p>
      <w:pPr>
        <w:spacing w:after="0" w:line="267"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/S/ Michael W. Allman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2" w:name="page93"/>
    <w:bookmarkEnd w:id="92"/>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3, 2012</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3, 2012</w:t>
      </w:r>
    </w:p>
    <w:p>
      <w:pPr>
        <w:spacing w:after="0" w:line="36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3, 2012</w:t>
      </w:r>
    </w:p>
    <w:p>
      <w:pPr>
        <w:spacing w:after="0" w:line="362"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55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3, 2012</w:t>
      </w:r>
    </w:p>
    <w:p>
      <w:pPr>
        <w:spacing w:after="0" w:line="36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3, 2012</w:t>
      </w:r>
    </w:p>
    <w:p>
      <w:pPr>
        <w:spacing w:after="0" w:line="36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3, 2012</w:t>
      </w:r>
    </w:p>
    <w:p>
      <w:pPr>
        <w:spacing w:after="0" w:line="362"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/S/ Michael W. Allman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2012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3, 2012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upperLetter"/>
      <w:start w:val="24"/>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1)"/>
      <w:numFmt w:val="decimal"/>
      <w:start w:val="1"/>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1)"/>
      <w:numFmt w:val="decimal"/>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amp;"/>
      <w:numFmt w:val="bullet"/>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1)"/>
      <w:numFmt w:val="decimal"/>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1)"/>
      <w:numFmt w:val="decimal"/>
      <w:start w:val="1"/>
    </w:lvl>
  </w:abstractNum>
  <w:abstractNum w:abstractNumId="34">
    <w:nsid w:val="6B94764"/>
    <w:multiLevelType w:val="hybridMultilevel"/>
    <w:lvl w:ilvl="0">
      <w:lvlJc w:val="left"/>
      <w:lvlText w:val="%1."/>
      <w:numFmt w:val="decimal"/>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1)"/>
      <w:numFmt w:val="decimal"/>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
      <w:numFmt w:val="bullet"/>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o"/>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1)"/>
      <w:numFmt w:val="lowerLetter"/>
      <w:start w:val="1"/>
    </w:lvl>
  </w:abstractNum>
  <w:abstractNum w:abstractNumId="93">
    <w:nsid w:val="5F3534A4"/>
    <w:multiLevelType w:val="hybridMultilevel"/>
    <w:lvl w:ilvl="0">
      <w:lvlJc w:val="left"/>
      <w:lvlText w:val="(%1)"/>
      <w:numFmt w:val="decimal"/>
      <w:start w:val="1"/>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1."/>
      <w:numFmt w:val="decimal"/>
      <w:start w:val="1"/>
    </w:lvl>
    <w:lvl w:ilvl="1">
      <w:lvlJc w:val="left"/>
      <w:lvlText w:val="%2)"/>
      <w:numFmt w:val="lowerLetter"/>
      <w:start w:val="1"/>
    </w:lvl>
  </w:abstractNum>
  <w:abstractNum w:abstractNumId="97">
    <w:nsid w:val="3FA62ACA"/>
    <w:multiLevelType w:val="hybridMultilevel"/>
    <w:lvl w:ilvl="0">
      <w:lvlJc w:val="left"/>
      <w:lvlText w:val="%1."/>
      <w:numFmt w:val="decimal"/>
      <w:start w:val="1"/>
    </w:lvl>
    <w:lvl w:ilvl="1">
      <w:lvlJc w:val="left"/>
      <w:lvlText w:val="%2)"/>
      <w:numFmt w:val="lowerLetter"/>
      <w:start w:val="1"/>
    </w:lvl>
  </w:abstractNum>
  <w:abstractNum w:abstractNumId="98">
    <w:nsid w:val="14FCE74E"/>
    <w:multiLevelType w:val="hybridMultilevel"/>
    <w:lvl w:ilvl="0">
      <w:lvlJc w:val="left"/>
      <w:lvlText w:val="%1."/>
      <w:numFmt w:val="decimal"/>
      <w:start w:val="1"/>
    </w:lvl>
    <w:lvl w:ilvl="1">
      <w:lvlJc w:val="left"/>
      <w:lvlText w:val="%2)"/>
      <w:numFmt w:val="lowerLetter"/>
      <w:start w:val="1"/>
    </w:lvl>
  </w:abstractNum>
  <w:abstractNum w:abstractNumId="99">
    <w:nsid w:val="6A3DD3E8"/>
    <w:multiLevelType w:val="hybridMultilevel"/>
    <w:lvl w:ilvl="0">
      <w:lvlJc w:val="left"/>
      <w:lvlText w:val="%1."/>
      <w:numFmt w:val="decimal"/>
      <w:start w:val="1"/>
    </w:lvl>
    <w:lvl w:ilvl="1">
      <w:lvlJc w:val="left"/>
      <w:lvlText w:val="%2)"/>
      <w:numFmt w:val="lowerLetter"/>
      <w:start w:val="1"/>
    </w:lvl>
  </w:abstractNum>
  <w:abstractNum w:abstractNumId="100">
    <w:nsid w:val="71C91298"/>
    <w:multiLevelType w:val="hybridMultilevel"/>
    <w:lvl w:ilvl="0">
      <w:lvlJc w:val="left"/>
      <w:lvlText w:val="%1."/>
      <w:numFmt w:val="decimal"/>
      <w:start w:val="1"/>
    </w:lvl>
    <w:lvl w:ilvl="1">
      <w:lvlJc w:val="left"/>
      <w:lvlText w:val="%2)"/>
      <w:numFmt w:val="lowerLetter"/>
      <w:start w:val="1"/>
    </w:lvl>
  </w:abstractNum>
  <w:abstractNum w:abstractNumId="101">
    <w:nsid w:val="9DAF632"/>
    <w:multiLevelType w:val="hybridMultilevel"/>
    <w:lvl w:ilvl="0">
      <w:lvlJc w:val="left"/>
      <w:lvlText w:val="%1."/>
      <w:numFmt w:val="decimal"/>
      <w:start w:val="1"/>
    </w:lvl>
    <w:lvl w:ilvl="1">
      <w:lvlJc w:val="left"/>
      <w:lvlText w:val="%2)"/>
      <w:numFmt w:val="lowerLetter"/>
      <w:start w:val="1"/>
    </w:lvl>
  </w:abstractNum>
  <w:abstractNum w:abstractNumId="102">
    <w:nsid w:val="53299938"/>
    <w:multiLevelType w:val="hybridMultilevel"/>
    <w:lvl w:ilvl="0">
      <w:lvlJc w:val="left"/>
      <w:lvlText w:val="(%1)"/>
      <w:numFmt w:val="lowerRoman"/>
      <w:start w:val="1"/>
    </w:lvl>
  </w:abstractNum>
  <w:abstractNum w:abstractNumId="103">
    <w:nsid w:val="1FBFE8E0"/>
    <w:multiLevelType w:val="hybridMultilevel"/>
    <w:lvl w:ilvl="0">
      <w:lvlJc w:val="left"/>
      <w:lvlText w:val="(%1)"/>
      <w:numFmt w:val="lowerRoman"/>
      <w:start w:val="1"/>
    </w:lvl>
  </w:abstractNum>
  <w:abstractNum w:abstractNumId="104">
    <w:nsid w:val="5092CA79"/>
    <w:multiLevelType w:val="hybridMultilevel"/>
    <w:lvl w:ilvl="0">
      <w:lvlJc w:val="left"/>
      <w:lvlText w:val="(%1)"/>
      <w:numFmt w:val="lowerRoman"/>
      <w:start w:val="1"/>
    </w:lvl>
  </w:abstractNum>
  <w:abstractNum w:abstractNumId="105">
    <w:nsid w:val="1D545C4D"/>
    <w:multiLevelType w:val="hybridMultilevel"/>
    <w:lvl w:ilvl="0">
      <w:lvlJc w:val="left"/>
      <w:lvlText w:val="(%1)"/>
      <w:numFmt w:val="lowerRoman"/>
      <w:start w:val="1"/>
    </w:lvl>
  </w:abstractNum>
  <w:abstractNum w:abstractNumId="106">
    <w:nsid w:val="59ADEA3D"/>
    <w:multiLevelType w:val="hybridMultilevel"/>
    <w:lvl w:ilvl="0">
      <w:lvlJc w:val="left"/>
      <w:lvlText w:val="(%1)"/>
      <w:numFmt w:val="lowerRoman"/>
      <w:start w:val="1"/>
    </w:lvl>
  </w:abstractNum>
  <w:abstractNum w:abstractNumId="107">
    <w:nsid w:val="288F1A3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2019-12-09T07:18:05Z</dcterms:created>
  <dcterms:modified xsi:type="dcterms:W3CDTF">2019-12-09T07:18:05Z</dcterms:modified>
</cp:coreProperties>
</file>