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1015365</wp:posOffset>
            </wp:positionH>
            <wp:positionV relativeFrom="page">
              <wp:posOffset>328930</wp:posOffset>
            </wp:positionV>
            <wp:extent cx="553974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539740" cy="17145"/>
                    </a:xfrm>
                    <a:prstGeom prst="rect">
                      <a:avLst/>
                    </a:prstGeom>
                    <a:noFill/>
                  </pic:spPr>
                </pic:pic>
              </a:graphicData>
            </a:graphic>
          </wp:anchor>
        </w:drawing>
        <w:drawing>
          <wp:anchor simplePos="0" relativeHeight="251657728" behindDoc="1" locked="0" layoutInCell="0" allowOverlap="1">
            <wp:simplePos x="0" y="0"/>
            <wp:positionH relativeFrom="page">
              <wp:posOffset>1015365</wp:posOffset>
            </wp:positionH>
            <wp:positionV relativeFrom="page">
              <wp:posOffset>363220</wp:posOffset>
            </wp:positionV>
            <wp:extent cx="553974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39740" cy="17145"/>
                    </a:xfrm>
                    <a:prstGeom prst="rect">
                      <a:avLst/>
                    </a:prstGeom>
                    <a:noFill/>
                  </pic:spPr>
                </pic:pic>
              </a:graphicData>
            </a:graphic>
          </wp:anchor>
        </w:drawing>
        <w:t>UNITED STATES</w:t>
      </w:r>
    </w:p>
    <w:p>
      <w:pPr>
        <w:spacing w:after="0" w:line="15" w:lineRule="exact"/>
        <w:rPr>
          <w:sz w:val="24"/>
          <w:szCs w:val="24"/>
          <w:color w:val="auto"/>
        </w:rPr>
      </w:pPr>
    </w:p>
    <w:p>
      <w:pPr>
        <w:jc w:val="center"/>
        <w:ind w:right="-1120"/>
        <w:spacing w:after="0"/>
        <w:rPr>
          <w:sz w:val="20"/>
          <w:szCs w:val="20"/>
          <w:color w:val="auto"/>
        </w:rPr>
      </w:pPr>
      <w:r>
        <w:rPr>
          <w:rFonts w:ascii="Arial" w:cs="Arial" w:eastAsia="Arial" w:hAnsi="Arial"/>
          <w:sz w:val="20"/>
          <w:szCs w:val="20"/>
          <w:color w:val="auto"/>
        </w:rPr>
        <w:t>SECURITIES AND EXCHANGE COMMISSION</w:t>
      </w:r>
    </w:p>
    <w:p>
      <w:pPr>
        <w:jc w:val="center"/>
        <w:ind w:right="-1120"/>
        <w:spacing w:after="0"/>
        <w:rPr>
          <w:sz w:val="20"/>
          <w:szCs w:val="20"/>
          <w:color w:val="auto"/>
        </w:rPr>
      </w:pPr>
      <w:r>
        <w:rPr>
          <w:rFonts w:ascii="Arial" w:cs="Arial" w:eastAsia="Arial" w:hAnsi="Arial"/>
          <w:sz w:val="20"/>
          <w:szCs w:val="20"/>
          <w:color w:val="auto"/>
        </w:rPr>
        <w:t>Washington, D.C. 20549</w:t>
      </w:r>
    </w:p>
    <w:p>
      <w:pPr>
        <w:spacing w:after="0" w:line="240" w:lineRule="exact"/>
        <w:rPr>
          <w:sz w:val="24"/>
          <w:szCs w:val="24"/>
          <w:color w:val="auto"/>
        </w:rPr>
      </w:pPr>
    </w:p>
    <w:p>
      <w:pPr>
        <w:ind w:left="5160"/>
        <w:spacing w:after="0"/>
        <w:rPr>
          <w:sz w:val="20"/>
          <w:szCs w:val="20"/>
          <w:color w:val="auto"/>
        </w:rPr>
      </w:pPr>
      <w:r>
        <w:rPr>
          <w:rFonts w:ascii="Arial" w:cs="Arial" w:eastAsia="Arial" w:hAnsi="Arial"/>
          <w:sz w:val="20"/>
          <w:szCs w:val="20"/>
          <w:color w:val="auto"/>
        </w:rPr>
        <w:t>FORM 10-K</w:t>
      </w:r>
    </w:p>
    <w:p>
      <w:pPr>
        <w:spacing w:after="0" w:line="256" w:lineRule="exact"/>
        <w:rPr>
          <w:sz w:val="24"/>
          <w:szCs w:val="24"/>
          <w:color w:val="auto"/>
        </w:rPr>
      </w:pPr>
    </w:p>
    <w:p>
      <w:pPr>
        <w:ind w:left="1360"/>
        <w:spacing w:after="0"/>
        <w:rPr>
          <w:sz w:val="20"/>
          <w:szCs w:val="20"/>
          <w:color w:val="auto"/>
        </w:rPr>
      </w:pPr>
      <w:r>
        <w:rPr>
          <w:rFonts w:ascii="Arial" w:cs="Arial" w:eastAsia="Arial" w:hAnsi="Arial"/>
          <w:sz w:val="20"/>
          <w:szCs w:val="20"/>
          <w:color w:val="auto"/>
        </w:rPr>
        <w:t>(Mark One)</w:t>
      </w:r>
    </w:p>
    <w:p>
      <w:pPr>
        <w:spacing w:after="0" w:line="27" w:lineRule="exact"/>
        <w:rPr>
          <w:sz w:val="24"/>
          <w:szCs w:val="24"/>
          <w:color w:val="auto"/>
        </w:rPr>
      </w:pPr>
    </w:p>
    <w:p>
      <w:pPr>
        <w:ind w:left="1760" w:right="439" w:hanging="395"/>
        <w:spacing w:after="0" w:line="253" w:lineRule="auto"/>
        <w:tabs>
          <w:tab w:leader="none" w:pos="1760" w:val="left"/>
        </w:tabs>
        <w:numPr>
          <w:ilvl w:val="0"/>
          <w:numId w:val="1"/>
        </w:numPr>
        <w:rPr>
          <w:rFonts w:ascii="Arial" w:cs="Arial" w:eastAsia="Arial" w:hAnsi="Arial"/>
          <w:sz w:val="20"/>
          <w:szCs w:val="20"/>
          <w:color w:val="auto"/>
        </w:rPr>
      </w:pPr>
      <w:r>
        <w:rPr>
          <w:rFonts w:ascii="Arial" w:cs="Arial" w:eastAsia="Arial" w:hAnsi="Arial"/>
          <w:sz w:val="20"/>
          <w:szCs w:val="20"/>
          <w:color w:val="auto"/>
        </w:rPr>
        <w:t>ANNUAL REPORT PURSUANT TO SECTION 13 OR 15(d) OF THE SECURITIES EXCHANGE ACT OF 1934</w:t>
      </w:r>
    </w:p>
    <w:p>
      <w:pPr>
        <w:spacing w:after="0" w:line="1" w:lineRule="exact"/>
        <w:rPr>
          <w:sz w:val="24"/>
          <w:szCs w:val="24"/>
          <w:color w:val="auto"/>
        </w:rPr>
      </w:pPr>
    </w:p>
    <w:p>
      <w:pPr>
        <w:ind w:left="1760"/>
        <w:spacing w:after="0"/>
        <w:tabs>
          <w:tab w:leader="none" w:pos="6800" w:val="left"/>
        </w:tabs>
        <w:rPr>
          <w:sz w:val="20"/>
          <w:szCs w:val="20"/>
          <w:color w:val="auto"/>
        </w:rPr>
      </w:pPr>
      <w:r>
        <w:rPr>
          <w:rFonts w:ascii="Arial" w:cs="Arial" w:eastAsia="Arial" w:hAnsi="Arial"/>
          <w:sz w:val="20"/>
          <w:szCs w:val="20"/>
          <w:color w:val="auto"/>
        </w:rPr>
        <w:t>For the fiscal year ended</w:t>
      </w:r>
      <w:r>
        <w:rPr>
          <w:sz w:val="20"/>
          <w:szCs w:val="20"/>
          <w:color w:val="auto"/>
        </w:rPr>
        <w:tab/>
      </w:r>
      <w:r>
        <w:rPr>
          <w:rFonts w:ascii="Arial" w:cs="Arial" w:eastAsia="Arial" w:hAnsi="Arial"/>
          <w:sz w:val="16"/>
          <w:szCs w:val="16"/>
          <w:color w:val="auto"/>
        </w:rPr>
        <w:t>December 31, 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4327525</wp:posOffset>
            </wp:positionH>
            <wp:positionV relativeFrom="paragraph">
              <wp:posOffset>19050</wp:posOffset>
            </wp:positionV>
            <wp:extent cx="20751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75180" cy="8890"/>
                    </a:xfrm>
                    <a:prstGeom prst="rect">
                      <a:avLst/>
                    </a:prstGeom>
                    <a:noFill/>
                  </pic:spPr>
                </pic:pic>
              </a:graphicData>
            </a:graphic>
          </wp:anchor>
        </w:drawing>
      </w:r>
    </w:p>
    <w:p>
      <w:pPr>
        <w:spacing w:after="0" w:line="277" w:lineRule="exact"/>
        <w:rPr>
          <w:sz w:val="24"/>
          <w:szCs w:val="24"/>
          <w:color w:val="auto"/>
        </w:rPr>
      </w:pPr>
    </w:p>
    <w:p>
      <w:pPr>
        <w:ind w:left="1760" w:right="1239" w:hanging="395"/>
        <w:spacing w:after="0" w:line="253" w:lineRule="auto"/>
        <w:tabs>
          <w:tab w:leader="none" w:pos="1583" w:val="left"/>
        </w:tabs>
        <w:numPr>
          <w:ilvl w:val="0"/>
          <w:numId w:val="2"/>
        </w:numPr>
        <w:rPr>
          <w:rFonts w:ascii="Arial" w:cs="Arial" w:eastAsia="Arial" w:hAnsi="Arial"/>
          <w:sz w:val="20"/>
          <w:szCs w:val="20"/>
          <w:color w:val="auto"/>
        </w:rPr>
      </w:pPr>
      <w:r>
        <w:rPr>
          <w:rFonts w:ascii="Arial" w:cs="Arial" w:eastAsia="Arial" w:hAnsi="Arial"/>
          <w:sz w:val="20"/>
          <w:szCs w:val="20"/>
          <w:color w:val="auto"/>
        </w:rPr>
        <w:t>] TRANSITION REPORT PURSUANT TO SECTION 13 OR 15(d) OF THE SECURITIES EXCHANGE ACT OF 1934</w:t>
      </w:r>
    </w:p>
    <w:p>
      <w:pPr>
        <w:spacing w:after="0" w:line="1" w:lineRule="exact"/>
        <w:rPr>
          <w:sz w:val="24"/>
          <w:szCs w:val="24"/>
          <w:color w:val="auto"/>
        </w:rPr>
      </w:pPr>
    </w:p>
    <w:tbl>
      <w:tblPr>
        <w:tblLayout w:type="fixed"/>
        <w:tblInd w:w="1760" w:type="dxa"/>
        <w:tblCellMar>
          <w:top w:w="0" w:type="dxa"/>
          <w:left w:w="0" w:type="dxa"/>
          <w:bottom w:w="0" w:type="dxa"/>
          <w:right w:w="0" w:type="dxa"/>
        </w:tblCellMar>
      </w:tblPr>
      <w:tr>
        <w:trPr>
          <w:trHeight w:val="246"/>
        </w:trPr>
        <w:tc>
          <w:tcPr>
            <w:tcW w:w="2780" w:type="dxa"/>
            <w:vAlign w:val="bottom"/>
          </w:tcPr>
          <w:p>
            <w:pPr>
              <w:spacing w:after="0"/>
              <w:rPr>
                <w:sz w:val="20"/>
                <w:szCs w:val="20"/>
                <w:color w:val="auto"/>
              </w:rPr>
            </w:pPr>
            <w:r>
              <w:rPr>
                <w:rFonts w:ascii="Arial" w:cs="Arial" w:eastAsia="Arial" w:hAnsi="Arial"/>
                <w:sz w:val="20"/>
                <w:szCs w:val="20"/>
                <w:color w:val="auto"/>
              </w:rPr>
              <w:t>For the transition period from</w:t>
            </w:r>
          </w:p>
        </w:tc>
        <w:tc>
          <w:tcPr>
            <w:tcW w:w="2000" w:type="dxa"/>
            <w:vAlign w:val="bottom"/>
            <w:tcBorders>
              <w:bottom w:val="single" w:sz="8" w:color="auto"/>
            </w:tcBorders>
          </w:tcPr>
          <w:p>
            <w:pPr>
              <w:spacing w:after="0"/>
              <w:rPr>
                <w:sz w:val="21"/>
                <w:szCs w:val="21"/>
                <w:color w:val="auto"/>
              </w:rPr>
            </w:pPr>
          </w:p>
        </w:tc>
        <w:tc>
          <w:tcPr>
            <w:tcW w:w="280" w:type="dxa"/>
            <w:vAlign w:val="bottom"/>
          </w:tcPr>
          <w:p>
            <w:pPr>
              <w:jc w:val="right"/>
              <w:ind w:right="1"/>
              <w:spacing w:after="0"/>
              <w:rPr>
                <w:sz w:val="20"/>
                <w:szCs w:val="20"/>
                <w:color w:val="auto"/>
              </w:rPr>
            </w:pPr>
            <w:r>
              <w:rPr>
                <w:rFonts w:ascii="Arial" w:cs="Arial" w:eastAsia="Arial" w:hAnsi="Arial"/>
                <w:sz w:val="20"/>
                <w:szCs w:val="20"/>
                <w:color w:val="auto"/>
                <w:w w:val="95"/>
              </w:rPr>
              <w:t>to</w:t>
            </w:r>
          </w:p>
        </w:tc>
        <w:tc>
          <w:tcPr>
            <w:tcW w:w="3260" w:type="dxa"/>
            <w:vAlign w:val="bottom"/>
            <w:tcBorders>
              <w:bottom w:val="single" w:sz="8" w:color="auto"/>
            </w:tcBorders>
          </w:tcPr>
          <w:p>
            <w:pPr>
              <w:spacing w:after="0"/>
              <w:rPr>
                <w:sz w:val="21"/>
                <w:szCs w:val="21"/>
                <w:color w:val="auto"/>
              </w:rPr>
            </w:pPr>
          </w:p>
        </w:tc>
      </w:tr>
      <w:tr>
        <w:trPr>
          <w:trHeight w:val="497"/>
        </w:trPr>
        <w:tc>
          <w:tcPr>
            <w:tcW w:w="2780" w:type="dxa"/>
            <w:vAlign w:val="bottom"/>
          </w:tcPr>
          <w:p>
            <w:pPr>
              <w:spacing w:after="0"/>
              <w:rPr>
                <w:sz w:val="24"/>
                <w:szCs w:val="24"/>
                <w:color w:val="auto"/>
              </w:rPr>
            </w:pPr>
          </w:p>
        </w:tc>
        <w:tc>
          <w:tcPr>
            <w:tcW w:w="2280" w:type="dxa"/>
            <w:vAlign w:val="bottom"/>
            <w:gridSpan w:val="2"/>
          </w:tcPr>
          <w:p>
            <w:pPr>
              <w:jc w:val="right"/>
              <w:ind w:right="1"/>
              <w:spacing w:after="0"/>
              <w:rPr>
                <w:sz w:val="20"/>
                <w:szCs w:val="20"/>
                <w:color w:val="auto"/>
              </w:rPr>
            </w:pPr>
            <w:r>
              <w:rPr>
                <w:rFonts w:ascii="Arial" w:cs="Arial" w:eastAsia="Arial" w:hAnsi="Arial"/>
                <w:sz w:val="20"/>
                <w:szCs w:val="20"/>
                <w:color w:val="auto"/>
              </w:rPr>
              <w:t>Commission file number</w:t>
            </w:r>
          </w:p>
        </w:tc>
        <w:tc>
          <w:tcPr>
            <w:tcW w:w="3260" w:type="dxa"/>
            <w:vAlign w:val="bottom"/>
          </w:tcPr>
          <w:p>
            <w:pPr>
              <w:jc w:val="right"/>
              <w:ind w:right="2501"/>
              <w:spacing w:after="0"/>
              <w:rPr>
                <w:sz w:val="20"/>
                <w:szCs w:val="20"/>
                <w:color w:val="auto"/>
              </w:rPr>
            </w:pPr>
            <w:r>
              <w:rPr>
                <w:rFonts w:ascii="Arial" w:cs="Arial" w:eastAsia="Arial" w:hAnsi="Arial"/>
                <w:sz w:val="20"/>
                <w:szCs w:val="20"/>
                <w:color w:val="auto"/>
                <w:w w:val="87"/>
              </w:rPr>
              <w:t>1-14201</w:t>
            </w:r>
          </w:p>
        </w:tc>
      </w:tr>
    </w:tbl>
    <w:p>
      <w:pPr>
        <w:spacing w:after="0" w:line="236" w:lineRule="exact"/>
        <w:rPr>
          <w:sz w:val="24"/>
          <w:szCs w:val="24"/>
          <w:color w:val="auto"/>
        </w:rPr>
      </w:pPr>
    </w:p>
    <w:p>
      <w:pPr>
        <w:jc w:val="center"/>
        <w:ind w:right="-1120"/>
        <w:spacing w:after="0"/>
        <w:rPr>
          <w:sz w:val="20"/>
          <w:szCs w:val="20"/>
          <w:color w:val="auto"/>
        </w:rPr>
      </w:pPr>
      <w:r>
        <w:rPr>
          <w:rFonts w:ascii="Arial" w:cs="Arial" w:eastAsia="Arial" w:hAnsi="Arial"/>
          <w:sz w:val="20"/>
          <w:szCs w:val="20"/>
          <w:color w:val="auto"/>
        </w:rPr>
        <w:t>SEMPRA ENERGY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862965</wp:posOffset>
            </wp:positionH>
            <wp:positionV relativeFrom="paragraph">
              <wp:posOffset>19050</wp:posOffset>
            </wp:positionV>
            <wp:extent cx="55397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39740" cy="8890"/>
                    </a:xfrm>
                    <a:prstGeom prst="rect">
                      <a:avLst/>
                    </a:prstGeom>
                    <a:noFill/>
                  </pic:spPr>
                </pic:pic>
              </a:graphicData>
            </a:graphic>
          </wp:anchor>
        </w:drawing>
      </w:r>
    </w:p>
    <w:p>
      <w:pPr>
        <w:spacing w:after="0" w:line="20" w:lineRule="exact"/>
        <w:rPr>
          <w:sz w:val="24"/>
          <w:szCs w:val="24"/>
          <w:color w:val="auto"/>
        </w:rPr>
      </w:pPr>
    </w:p>
    <w:p>
      <w:pPr>
        <w:jc w:val="center"/>
        <w:ind w:right="-1120"/>
        <w:spacing w:after="0"/>
        <w:rPr>
          <w:sz w:val="20"/>
          <w:szCs w:val="20"/>
          <w:color w:val="auto"/>
        </w:rPr>
      </w:pPr>
      <w:r>
        <w:rPr>
          <w:rFonts w:ascii="Arial" w:cs="Arial" w:eastAsia="Arial" w:hAnsi="Arial"/>
          <w:sz w:val="20"/>
          <w:szCs w:val="20"/>
          <w:color w:val="auto"/>
        </w:rPr>
        <w:t>(Exact name of registrant as specified in its charter)</w:t>
      </w:r>
    </w:p>
    <w:p>
      <w:pPr>
        <w:spacing w:after="0" w:line="256" w:lineRule="exact"/>
        <w:rPr>
          <w:sz w:val="24"/>
          <w:szCs w:val="24"/>
          <w:color w:val="auto"/>
        </w:rPr>
      </w:pPr>
    </w:p>
    <w:tbl>
      <w:tblPr>
        <w:tblLayout w:type="fixed"/>
        <w:tblInd w:w="1360" w:type="dxa"/>
        <w:tblCellMar>
          <w:top w:w="0" w:type="dxa"/>
          <w:left w:w="0" w:type="dxa"/>
          <w:bottom w:w="0" w:type="dxa"/>
          <w:right w:w="0" w:type="dxa"/>
        </w:tblCellMar>
      </w:tblPr>
      <w:tr>
        <w:trPr>
          <w:trHeight w:val="255"/>
        </w:trPr>
        <w:tc>
          <w:tcPr>
            <w:tcW w:w="5000" w:type="dxa"/>
            <w:vAlign w:val="bottom"/>
          </w:tcPr>
          <w:p>
            <w:pPr>
              <w:jc w:val="center"/>
              <w:ind w:left="181"/>
              <w:spacing w:after="0"/>
              <w:rPr>
                <w:sz w:val="20"/>
                <w:szCs w:val="20"/>
                <w:color w:val="auto"/>
              </w:rPr>
            </w:pPr>
            <w:r>
              <w:rPr>
                <w:rFonts w:ascii="Arial" w:cs="Arial" w:eastAsia="Arial" w:hAnsi="Arial"/>
                <w:sz w:val="20"/>
                <w:szCs w:val="20"/>
                <w:color w:val="auto"/>
                <w:w w:val="94"/>
              </w:rPr>
              <w:t>California</w:t>
            </w:r>
          </w:p>
        </w:tc>
        <w:tc>
          <w:tcPr>
            <w:tcW w:w="3720" w:type="dxa"/>
            <w:vAlign w:val="bottom"/>
            <w:gridSpan w:val="2"/>
          </w:tcPr>
          <w:p>
            <w:pPr>
              <w:jc w:val="right"/>
              <w:ind w:right="1101"/>
              <w:spacing w:after="0"/>
              <w:rPr>
                <w:sz w:val="20"/>
                <w:szCs w:val="20"/>
                <w:color w:val="auto"/>
              </w:rPr>
            </w:pPr>
            <w:r>
              <w:rPr>
                <w:rFonts w:ascii="Arial" w:cs="Arial" w:eastAsia="Arial" w:hAnsi="Arial"/>
                <w:sz w:val="20"/>
                <w:szCs w:val="20"/>
                <w:color w:val="auto"/>
              </w:rPr>
              <w:t>33-0732627</w:t>
            </w:r>
          </w:p>
        </w:tc>
      </w:tr>
      <w:tr>
        <w:trPr>
          <w:trHeight w:val="225"/>
        </w:trPr>
        <w:tc>
          <w:tcPr>
            <w:tcW w:w="5000" w:type="dxa"/>
            <w:vAlign w:val="bottom"/>
            <w:tcBorders>
              <w:top w:val="single" w:sz="8" w:color="auto"/>
            </w:tcBorders>
          </w:tcPr>
          <w:p>
            <w:pPr>
              <w:jc w:val="center"/>
              <w:ind w:left="201"/>
              <w:spacing w:after="0" w:line="225" w:lineRule="exact"/>
              <w:rPr>
                <w:sz w:val="20"/>
                <w:szCs w:val="20"/>
                <w:color w:val="auto"/>
              </w:rPr>
            </w:pPr>
            <w:r>
              <w:rPr>
                <w:rFonts w:ascii="Arial" w:cs="Arial" w:eastAsia="Arial" w:hAnsi="Arial"/>
                <w:sz w:val="20"/>
                <w:szCs w:val="20"/>
                <w:color w:val="auto"/>
                <w:w w:val="91"/>
              </w:rPr>
              <w:t>(State or other jurisdiction of incorporation or</w:t>
            </w:r>
          </w:p>
        </w:tc>
        <w:tc>
          <w:tcPr>
            <w:tcW w:w="460" w:type="dxa"/>
            <w:vAlign w:val="bottom"/>
          </w:tcPr>
          <w:p>
            <w:pPr>
              <w:spacing w:after="0"/>
              <w:rPr>
                <w:sz w:val="19"/>
                <w:szCs w:val="19"/>
                <w:color w:val="auto"/>
              </w:rPr>
            </w:pPr>
          </w:p>
        </w:tc>
        <w:tc>
          <w:tcPr>
            <w:tcW w:w="3260" w:type="dxa"/>
            <w:vAlign w:val="bottom"/>
            <w:tcBorders>
              <w:top w:val="single" w:sz="8" w:color="auto"/>
            </w:tcBorders>
          </w:tcPr>
          <w:p>
            <w:pPr>
              <w:jc w:val="center"/>
              <w:ind w:right="1"/>
              <w:spacing w:after="0" w:line="225" w:lineRule="exact"/>
              <w:rPr>
                <w:sz w:val="20"/>
                <w:szCs w:val="20"/>
                <w:color w:val="auto"/>
              </w:rPr>
            </w:pPr>
            <w:r>
              <w:rPr>
                <w:rFonts w:ascii="Arial" w:cs="Arial" w:eastAsia="Arial" w:hAnsi="Arial"/>
                <w:sz w:val="20"/>
                <w:szCs w:val="20"/>
                <w:color w:val="auto"/>
                <w:w w:val="93"/>
              </w:rPr>
              <w:t>(I.R.S. Employer Identification No.)</w:t>
            </w:r>
          </w:p>
        </w:tc>
      </w:tr>
      <w:tr>
        <w:trPr>
          <w:trHeight w:val="250"/>
        </w:trPr>
        <w:tc>
          <w:tcPr>
            <w:tcW w:w="5000" w:type="dxa"/>
            <w:vAlign w:val="bottom"/>
          </w:tcPr>
          <w:p>
            <w:pPr>
              <w:jc w:val="center"/>
              <w:ind w:left="201"/>
              <w:spacing w:after="0"/>
              <w:rPr>
                <w:sz w:val="20"/>
                <w:szCs w:val="20"/>
                <w:color w:val="auto"/>
              </w:rPr>
            </w:pPr>
            <w:r>
              <w:rPr>
                <w:rFonts w:ascii="Arial" w:cs="Arial" w:eastAsia="Arial" w:hAnsi="Arial"/>
                <w:sz w:val="20"/>
                <w:szCs w:val="20"/>
                <w:color w:val="auto"/>
                <w:w w:val="91"/>
              </w:rPr>
              <w:t>organization)</w:t>
            </w:r>
          </w:p>
        </w:tc>
        <w:tc>
          <w:tcPr>
            <w:tcW w:w="460" w:type="dxa"/>
            <w:vAlign w:val="bottom"/>
          </w:tcPr>
          <w:p>
            <w:pPr>
              <w:spacing w:after="0"/>
              <w:rPr>
                <w:sz w:val="21"/>
                <w:szCs w:val="21"/>
                <w:color w:val="auto"/>
              </w:rPr>
            </w:pPr>
          </w:p>
        </w:tc>
        <w:tc>
          <w:tcPr>
            <w:tcW w:w="3260" w:type="dxa"/>
            <w:vAlign w:val="bottom"/>
          </w:tcPr>
          <w:p>
            <w:pPr>
              <w:spacing w:after="0"/>
              <w:rPr>
                <w:sz w:val="21"/>
                <w:szCs w:val="21"/>
                <w:color w:val="auto"/>
              </w:rPr>
            </w:pPr>
          </w:p>
        </w:tc>
      </w:tr>
    </w:tbl>
    <w:p>
      <w:pPr>
        <w:spacing w:after="0" w:line="236" w:lineRule="exact"/>
        <w:rPr>
          <w:sz w:val="24"/>
          <w:szCs w:val="24"/>
          <w:color w:val="auto"/>
        </w:rPr>
      </w:pPr>
    </w:p>
    <w:p>
      <w:pPr>
        <w:ind w:left="3900"/>
        <w:spacing w:after="0"/>
        <w:rPr>
          <w:sz w:val="20"/>
          <w:szCs w:val="20"/>
          <w:color w:val="auto"/>
        </w:rPr>
      </w:pPr>
      <w:r>
        <w:rPr>
          <w:rFonts w:ascii="Arial" w:cs="Arial" w:eastAsia="Arial" w:hAnsi="Arial"/>
          <w:sz w:val="20"/>
          <w:szCs w:val="20"/>
          <w:color w:val="auto"/>
        </w:rPr>
        <w:t>101 Ash Street, San Diego, California 92101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862965</wp:posOffset>
            </wp:positionH>
            <wp:positionV relativeFrom="paragraph">
              <wp:posOffset>19050</wp:posOffset>
            </wp:positionV>
            <wp:extent cx="55397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39740" cy="8890"/>
                    </a:xfrm>
                    <a:prstGeom prst="rect">
                      <a:avLst/>
                    </a:prstGeom>
                    <a:noFill/>
                  </pic:spPr>
                </pic:pic>
              </a:graphicData>
            </a:graphic>
          </wp:anchor>
        </w:drawing>
      </w:r>
    </w:p>
    <w:p>
      <w:pPr>
        <w:spacing w:after="0" w:line="20" w:lineRule="exact"/>
        <w:rPr>
          <w:sz w:val="24"/>
          <w:szCs w:val="24"/>
          <w:color w:val="auto"/>
        </w:rPr>
      </w:pPr>
    </w:p>
    <w:p>
      <w:pPr>
        <w:ind w:left="4100"/>
        <w:spacing w:after="0"/>
        <w:rPr>
          <w:sz w:val="20"/>
          <w:szCs w:val="20"/>
          <w:color w:val="auto"/>
        </w:rPr>
      </w:pPr>
      <w:r>
        <w:rPr>
          <w:rFonts w:ascii="Arial" w:cs="Arial" w:eastAsia="Arial" w:hAnsi="Arial"/>
          <w:sz w:val="20"/>
          <w:szCs w:val="20"/>
          <w:color w:val="auto"/>
        </w:rPr>
        <w:t>(Address of principal executive offices)</w:t>
      </w:r>
    </w:p>
    <w:p>
      <w:pPr>
        <w:spacing w:after="0" w:line="16" w:lineRule="exact"/>
        <w:rPr>
          <w:sz w:val="24"/>
          <w:szCs w:val="24"/>
          <w:color w:val="auto"/>
        </w:rPr>
      </w:pPr>
    </w:p>
    <w:p>
      <w:pPr>
        <w:jc w:val="center"/>
        <w:ind w:right="-1120"/>
        <w:spacing w:after="0"/>
        <w:rPr>
          <w:sz w:val="20"/>
          <w:szCs w:val="20"/>
          <w:color w:val="auto"/>
        </w:rPr>
      </w:pPr>
      <w:r>
        <w:rPr>
          <w:rFonts w:ascii="Arial" w:cs="Arial" w:eastAsia="Arial" w:hAnsi="Arial"/>
          <w:sz w:val="20"/>
          <w:szCs w:val="20"/>
          <w:color w:val="auto"/>
        </w:rPr>
        <w:t>(Zip Code)</w:t>
      </w:r>
    </w:p>
    <w:p>
      <w:pPr>
        <w:spacing w:after="0" w:line="240" w:lineRule="exact"/>
        <w:rPr>
          <w:sz w:val="24"/>
          <w:szCs w:val="24"/>
          <w:color w:val="auto"/>
        </w:rPr>
      </w:pPr>
    </w:p>
    <w:p>
      <w:pPr>
        <w:jc w:val="center"/>
        <w:ind w:right="-1120"/>
        <w:spacing w:after="0"/>
        <w:rPr>
          <w:sz w:val="20"/>
          <w:szCs w:val="20"/>
          <w:color w:val="auto"/>
        </w:rPr>
      </w:pPr>
      <w:r>
        <w:rPr>
          <w:rFonts w:ascii="Arial" w:cs="Arial" w:eastAsia="Arial" w:hAnsi="Arial"/>
          <w:sz w:val="20"/>
          <w:szCs w:val="20"/>
          <w:color w:val="auto"/>
        </w:rPr>
        <w:t>(619) 696-2034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862965</wp:posOffset>
            </wp:positionH>
            <wp:positionV relativeFrom="paragraph">
              <wp:posOffset>19050</wp:posOffset>
            </wp:positionV>
            <wp:extent cx="55397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39740" cy="8890"/>
                    </a:xfrm>
                    <a:prstGeom prst="rect">
                      <a:avLst/>
                    </a:prstGeom>
                    <a:noFill/>
                  </pic:spPr>
                </pic:pic>
              </a:graphicData>
            </a:graphic>
          </wp:anchor>
        </w:drawing>
      </w:r>
    </w:p>
    <w:p>
      <w:pPr>
        <w:spacing w:after="0" w:line="20" w:lineRule="exact"/>
        <w:rPr>
          <w:sz w:val="24"/>
          <w:szCs w:val="24"/>
          <w:color w:val="auto"/>
        </w:rPr>
      </w:pPr>
    </w:p>
    <w:p>
      <w:pPr>
        <w:jc w:val="center"/>
        <w:ind w:right="-1120"/>
        <w:spacing w:after="0"/>
        <w:rPr>
          <w:sz w:val="20"/>
          <w:szCs w:val="20"/>
          <w:color w:val="auto"/>
        </w:rPr>
      </w:pPr>
      <w:r>
        <w:rPr>
          <w:rFonts w:ascii="Arial" w:cs="Arial" w:eastAsia="Arial" w:hAnsi="Arial"/>
          <w:sz w:val="20"/>
          <w:szCs w:val="20"/>
          <w:color w:val="auto"/>
        </w:rPr>
        <w:t>(Registrant's telephone number, including area code)</w:t>
      </w:r>
    </w:p>
    <w:p>
      <w:pPr>
        <w:spacing w:after="0" w:line="256" w:lineRule="exact"/>
        <w:rPr>
          <w:sz w:val="24"/>
          <w:szCs w:val="24"/>
          <w:color w:val="auto"/>
        </w:rPr>
      </w:pPr>
    </w:p>
    <w:p>
      <w:pPr>
        <w:ind w:left="1360"/>
        <w:spacing w:after="0"/>
        <w:rPr>
          <w:sz w:val="20"/>
          <w:szCs w:val="20"/>
          <w:color w:val="auto"/>
        </w:rPr>
      </w:pPr>
      <w:r>
        <w:rPr>
          <w:rFonts w:ascii="Arial" w:cs="Arial" w:eastAsia="Arial" w:hAnsi="Arial"/>
          <w:sz w:val="20"/>
          <w:szCs w:val="20"/>
          <w:color w:val="auto"/>
        </w:rPr>
        <w:t>SECURITIES REGISTERED PURSUANT TO SECTION 12(b) OF THE ACT:</w:t>
      </w:r>
    </w:p>
    <w:p>
      <w:pPr>
        <w:spacing w:after="0" w:line="283" w:lineRule="exact"/>
        <w:rPr>
          <w:sz w:val="24"/>
          <w:szCs w:val="24"/>
          <w:color w:val="auto"/>
        </w:rPr>
      </w:pPr>
    </w:p>
    <w:p>
      <w:pPr>
        <w:ind w:left="7060"/>
        <w:spacing w:after="0"/>
        <w:rPr>
          <w:sz w:val="20"/>
          <w:szCs w:val="20"/>
          <w:color w:val="auto"/>
        </w:rPr>
      </w:pPr>
      <w:r>
        <w:rPr>
          <w:rFonts w:ascii="Arial" w:cs="Arial" w:eastAsia="Arial" w:hAnsi="Arial"/>
          <w:sz w:val="20"/>
          <w:szCs w:val="20"/>
          <w:color w:val="auto"/>
        </w:rPr>
        <w:t>Name of each exchange on which</w:t>
      </w:r>
    </w:p>
    <w:p>
      <w:pPr>
        <w:spacing w:after="0" w:line="16" w:lineRule="exact"/>
        <w:rPr>
          <w:sz w:val="24"/>
          <w:szCs w:val="24"/>
          <w:color w:val="auto"/>
        </w:rPr>
      </w:pPr>
    </w:p>
    <w:tbl>
      <w:tblPr>
        <w:tblLayout w:type="fixed"/>
        <w:tblInd w:w="1360" w:type="dxa"/>
        <w:tblCellMar>
          <w:top w:w="0" w:type="dxa"/>
          <w:left w:w="0" w:type="dxa"/>
          <w:bottom w:w="0" w:type="dxa"/>
          <w:right w:w="0" w:type="dxa"/>
        </w:tblCellMar>
      </w:tblPr>
      <w:tr>
        <w:trPr>
          <w:trHeight w:val="244"/>
        </w:trPr>
        <w:tc>
          <w:tcPr>
            <w:tcW w:w="6500" w:type="dxa"/>
            <w:vAlign w:val="bottom"/>
            <w:tcBorders>
              <w:bottom w:val="single" w:sz="8" w:color="auto"/>
            </w:tcBorders>
          </w:tcPr>
          <w:p>
            <w:pPr>
              <w:jc w:val="center"/>
              <w:ind w:right="1101"/>
              <w:spacing w:after="0"/>
              <w:rPr>
                <w:sz w:val="20"/>
                <w:szCs w:val="20"/>
                <w:color w:val="auto"/>
              </w:rPr>
            </w:pPr>
            <w:r>
              <w:rPr>
                <w:rFonts w:ascii="Arial" w:cs="Arial" w:eastAsia="Arial" w:hAnsi="Arial"/>
                <w:sz w:val="20"/>
                <w:szCs w:val="20"/>
                <w:color w:val="auto"/>
                <w:w w:val="88"/>
              </w:rPr>
              <w:t>Title of each class</w:t>
            </w:r>
          </w:p>
        </w:tc>
        <w:tc>
          <w:tcPr>
            <w:tcW w:w="2220" w:type="dxa"/>
            <w:vAlign w:val="bottom"/>
            <w:tcBorders>
              <w:bottom w:val="single" w:sz="8" w:color="auto"/>
            </w:tcBorders>
            <w:gridSpan w:val="2"/>
          </w:tcPr>
          <w:p>
            <w:pPr>
              <w:ind w:left="160"/>
              <w:spacing w:after="0"/>
              <w:rPr>
                <w:sz w:val="20"/>
                <w:szCs w:val="20"/>
                <w:color w:val="auto"/>
              </w:rPr>
            </w:pPr>
            <w:r>
              <w:rPr>
                <w:rFonts w:ascii="Arial" w:cs="Arial" w:eastAsia="Arial" w:hAnsi="Arial"/>
                <w:sz w:val="20"/>
                <w:szCs w:val="20"/>
                <w:color w:val="auto"/>
              </w:rPr>
              <w:t>registered</w:t>
            </w:r>
          </w:p>
        </w:tc>
      </w:tr>
      <w:tr>
        <w:trPr>
          <w:trHeight w:val="244"/>
        </w:trPr>
        <w:tc>
          <w:tcPr>
            <w:tcW w:w="6500" w:type="dxa"/>
            <w:vAlign w:val="bottom"/>
          </w:tcPr>
          <w:p>
            <w:pPr>
              <w:jc w:val="center"/>
              <w:ind w:right="1121"/>
              <w:spacing w:after="0"/>
              <w:rPr>
                <w:sz w:val="20"/>
                <w:szCs w:val="20"/>
                <w:color w:val="auto"/>
              </w:rPr>
            </w:pPr>
            <w:r>
              <w:rPr>
                <w:rFonts w:ascii="Arial" w:cs="Arial" w:eastAsia="Arial" w:hAnsi="Arial"/>
                <w:sz w:val="20"/>
                <w:szCs w:val="20"/>
                <w:color w:val="auto"/>
                <w:w w:val="90"/>
              </w:rPr>
              <w:t>Common stock, without par value</w:t>
            </w:r>
          </w:p>
        </w:tc>
        <w:tc>
          <w:tcPr>
            <w:tcW w:w="2220" w:type="dxa"/>
            <w:vAlign w:val="bottom"/>
            <w:gridSpan w:val="2"/>
          </w:tcPr>
          <w:p>
            <w:pPr>
              <w:ind w:left="140"/>
              <w:spacing w:after="0"/>
              <w:rPr>
                <w:sz w:val="20"/>
                <w:szCs w:val="20"/>
                <w:color w:val="auto"/>
              </w:rPr>
            </w:pPr>
            <w:r>
              <w:rPr>
                <w:rFonts w:ascii="Arial" w:cs="Arial" w:eastAsia="Arial" w:hAnsi="Arial"/>
                <w:sz w:val="20"/>
                <w:szCs w:val="20"/>
                <w:color w:val="auto"/>
              </w:rPr>
              <w:t>New York</w:t>
            </w:r>
          </w:p>
        </w:tc>
      </w:tr>
      <w:tr>
        <w:trPr>
          <w:trHeight w:val="771"/>
        </w:trPr>
        <w:tc>
          <w:tcPr>
            <w:tcW w:w="6500" w:type="dxa"/>
            <w:vAlign w:val="bottom"/>
          </w:tcPr>
          <w:p>
            <w:pPr>
              <w:spacing w:after="0"/>
              <w:rPr>
                <w:sz w:val="20"/>
                <w:szCs w:val="20"/>
                <w:color w:val="auto"/>
              </w:rPr>
            </w:pPr>
            <w:r>
              <w:rPr>
                <w:rFonts w:ascii="Arial" w:cs="Arial" w:eastAsia="Arial" w:hAnsi="Arial"/>
                <w:sz w:val="20"/>
                <w:szCs w:val="20"/>
                <w:color w:val="auto"/>
                <w:w w:val="95"/>
              </w:rPr>
              <w:t>SECURITIES REGISTERED PURSUANT TO SECTION 12(g) OF THE ACT:</w:t>
            </w:r>
          </w:p>
        </w:tc>
        <w:tc>
          <w:tcPr>
            <w:tcW w:w="840" w:type="dxa"/>
            <w:vAlign w:val="bottom"/>
          </w:tcPr>
          <w:p>
            <w:pPr>
              <w:spacing w:after="0"/>
              <w:rPr>
                <w:sz w:val="24"/>
                <w:szCs w:val="24"/>
                <w:color w:val="auto"/>
              </w:rPr>
            </w:pPr>
          </w:p>
        </w:tc>
        <w:tc>
          <w:tcPr>
            <w:tcW w:w="1380" w:type="dxa"/>
            <w:vAlign w:val="bottom"/>
            <w:tcBorders>
              <w:bottom w:val="single" w:sz="8" w:color="auto"/>
            </w:tcBorders>
          </w:tcPr>
          <w:p>
            <w:pPr>
              <w:ind w:left="440"/>
              <w:spacing w:after="0"/>
              <w:rPr>
                <w:sz w:val="20"/>
                <w:szCs w:val="20"/>
                <w:color w:val="auto"/>
              </w:rPr>
            </w:pPr>
            <w:r>
              <w:rPr>
                <w:rFonts w:ascii="Arial" w:cs="Arial" w:eastAsia="Arial" w:hAnsi="Arial"/>
                <w:sz w:val="20"/>
                <w:szCs w:val="20"/>
                <w:color w:val="auto"/>
              </w:rPr>
              <w:t>None</w:t>
            </w:r>
          </w:p>
        </w:tc>
      </w:tr>
    </w:tbl>
    <w:p>
      <w:pPr>
        <w:spacing w:after="0" w:line="200" w:lineRule="exact"/>
        <w:rPr>
          <w:sz w:val="24"/>
          <w:szCs w:val="24"/>
          <w:color w:val="auto"/>
        </w:rPr>
      </w:pPr>
    </w:p>
    <w:p>
      <w:pPr>
        <w:spacing w:after="0" w:line="296" w:lineRule="exact"/>
        <w:rPr>
          <w:sz w:val="24"/>
          <w:szCs w:val="24"/>
          <w:color w:val="auto"/>
        </w:rPr>
      </w:pPr>
    </w:p>
    <w:p>
      <w:pPr>
        <w:ind w:left="1400" w:right="759"/>
        <w:spacing w:after="0" w:line="253" w:lineRule="auto"/>
        <w:rPr>
          <w:sz w:val="20"/>
          <w:szCs w:val="20"/>
          <w:color w:val="auto"/>
        </w:rPr>
      </w:pPr>
      <w:r>
        <w:rPr>
          <w:rFonts w:ascii="Arial" w:cs="Arial" w:eastAsia="Arial" w:hAnsi="Arial"/>
          <w:sz w:val="20"/>
          <w:szCs w:val="20"/>
          <w:color w:val="auto"/>
        </w:rPr>
        <w:t>Indicate by check mark if the registrant is a well-known seasoned issuer, as defined in Rule 405 of the Securities Act.</w:t>
      </w:r>
    </w:p>
    <w:p>
      <w:pPr>
        <w:spacing w:after="0" w:line="1" w:lineRule="exact"/>
        <w:rPr>
          <w:sz w:val="24"/>
          <w:szCs w:val="24"/>
          <w:color w:val="auto"/>
        </w:rPr>
      </w:pPr>
    </w:p>
    <w:p>
      <w:pPr>
        <w:ind w:left="5920"/>
        <w:spacing w:after="0"/>
        <w:tabs>
          <w:tab w:leader="none" w:pos="7120" w:val="left"/>
          <w:tab w:leader="none" w:pos="8100" w:val="left"/>
        </w:tabs>
        <w:rPr>
          <w:sz w:val="20"/>
          <w:szCs w:val="20"/>
          <w:color w:val="auto"/>
        </w:rPr>
      </w:pPr>
      <w:r>
        <w:rPr>
          <w:rFonts w:ascii="Arial" w:cs="Arial" w:eastAsia="Arial" w:hAnsi="Arial"/>
          <w:sz w:val="20"/>
          <w:szCs w:val="20"/>
          <w:color w:val="auto"/>
        </w:rPr>
        <w:t>Yes</w:t>
      </w:r>
      <w:r>
        <w:rPr>
          <w:sz w:val="20"/>
          <w:szCs w:val="20"/>
          <w:color w:val="auto"/>
        </w:rPr>
        <w:tab/>
      </w:r>
      <w:r>
        <w:rPr>
          <w:rFonts w:ascii="Arial" w:cs="Arial" w:eastAsia="Arial" w:hAnsi="Arial"/>
          <w:sz w:val="20"/>
          <w:szCs w:val="20"/>
          <w:color w:val="auto"/>
        </w:rPr>
        <w:t>X</w:t>
      </w:r>
      <w:r>
        <w:rPr>
          <w:sz w:val="20"/>
          <w:szCs w:val="20"/>
          <w:color w:val="auto"/>
        </w:rPr>
        <w:tab/>
      </w:r>
      <w:r>
        <w:rPr>
          <w:rFonts w:ascii="Arial" w:cs="Arial" w:eastAsia="Arial" w:hAnsi="Arial"/>
          <w:sz w:val="18"/>
          <w:szCs w:val="18"/>
          <w:color w:val="auto"/>
        </w:rPr>
        <w:t>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4232910</wp:posOffset>
            </wp:positionH>
            <wp:positionV relativeFrom="paragraph">
              <wp:posOffset>19050</wp:posOffset>
            </wp:positionV>
            <wp:extent cx="2152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52650" cy="8890"/>
                    </a:xfrm>
                    <a:prstGeom prst="rect">
                      <a:avLst/>
                    </a:prstGeom>
                    <a:noFill/>
                  </pic:spPr>
                </pic:pic>
              </a:graphicData>
            </a:graphic>
          </wp:anchor>
        </w:drawing>
      </w:r>
    </w:p>
    <w:p>
      <w:pPr>
        <w:spacing w:after="0" w:line="250" w:lineRule="exact"/>
        <w:rPr>
          <w:sz w:val="24"/>
          <w:szCs w:val="24"/>
          <w:color w:val="auto"/>
        </w:rPr>
      </w:pPr>
    </w:p>
    <w:p>
      <w:pPr>
        <w:ind w:left="1400" w:right="719"/>
        <w:spacing w:after="0" w:line="253" w:lineRule="auto"/>
        <w:rPr>
          <w:sz w:val="20"/>
          <w:szCs w:val="20"/>
          <w:color w:val="auto"/>
        </w:rPr>
      </w:pPr>
      <w:r>
        <w:rPr>
          <w:rFonts w:ascii="Arial" w:cs="Arial" w:eastAsia="Arial" w:hAnsi="Arial"/>
          <w:sz w:val="20"/>
          <w:szCs w:val="20"/>
          <w:color w:val="auto"/>
        </w:rPr>
        <w:t>Indicate by check mark if the registrant is not required to file reports pursuant to Section 13 or Section 15(d) of the Act.</w:t>
      </w:r>
    </w:p>
    <w:p>
      <w:pPr>
        <w:spacing w:after="0" w:line="1" w:lineRule="exact"/>
        <w:rPr>
          <w:sz w:val="24"/>
          <w:szCs w:val="24"/>
          <w:color w:val="auto"/>
        </w:rPr>
      </w:pPr>
    </w:p>
    <w:p>
      <w:pPr>
        <w:ind w:left="5920"/>
        <w:spacing w:after="0"/>
        <w:tabs>
          <w:tab w:leader="none" w:pos="8100" w:val="left"/>
          <w:tab w:leader="none" w:pos="9240" w:val="left"/>
        </w:tabs>
        <w:rPr>
          <w:sz w:val="20"/>
          <w:szCs w:val="20"/>
          <w:color w:val="auto"/>
        </w:rPr>
      </w:pPr>
      <w:r>
        <w:rPr>
          <w:rFonts w:ascii="Arial" w:cs="Arial" w:eastAsia="Arial" w:hAnsi="Arial"/>
          <w:sz w:val="20"/>
          <w:szCs w:val="20"/>
          <w:color w:val="auto"/>
        </w:rPr>
        <w:t>Yes</w:t>
      </w:r>
      <w:r>
        <w:rPr>
          <w:sz w:val="20"/>
          <w:szCs w:val="20"/>
          <w:color w:val="auto"/>
        </w:rPr>
        <w:tab/>
      </w:r>
      <w:r>
        <w:rPr>
          <w:rFonts w:ascii="Arial" w:cs="Arial" w:eastAsia="Arial" w:hAnsi="Arial"/>
          <w:sz w:val="20"/>
          <w:szCs w:val="20"/>
          <w:color w:val="auto"/>
        </w:rPr>
        <w:t>No</w:t>
      </w:r>
      <w:r>
        <w:rPr>
          <w:sz w:val="20"/>
          <w:szCs w:val="20"/>
          <w:color w:val="auto"/>
        </w:rPr>
        <w:tab/>
      </w:r>
      <w:r>
        <w:rPr>
          <w:rFonts w:ascii="Arial" w:cs="Arial" w:eastAsia="Arial" w:hAnsi="Arial"/>
          <w:sz w:val="20"/>
          <w:szCs w:val="20"/>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4232910</wp:posOffset>
            </wp:positionH>
            <wp:positionV relativeFrom="paragraph">
              <wp:posOffset>19050</wp:posOffset>
            </wp:positionV>
            <wp:extent cx="2152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52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0219"/>
          </w:cols>
          <w:pgMar w:left="240" w:top="852" w:right="1440" w:bottom="1440" w:gutter="0" w:footer="0" w:header="0"/>
        </w:sectPr>
      </w:pPr>
    </w:p>
    <w:bookmarkStart w:id="1" w:name="page2"/>
    <w:bookmarkEnd w:id="1"/>
    <w:p>
      <w:pPr>
        <w:ind w:left="1380" w:right="199"/>
        <w:spacing w:after="0" w:line="246" w:lineRule="auto"/>
        <w:rPr>
          <w:sz w:val="20"/>
          <w:szCs w:val="20"/>
          <w:color w:val="auto"/>
        </w:rPr>
      </w:pPr>
      <w:r>
        <w:rPr>
          <w:rFonts w:ascii="Arial" w:cs="Arial" w:eastAsia="Arial" w:hAnsi="Arial"/>
          <w:sz w:val="20"/>
          <w:szCs w:val="20"/>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0"/>
          <w:szCs w:val="20"/>
          <w:color w:val="auto"/>
        </w:rPr>
      </w:pPr>
    </w:p>
    <w:p>
      <w:pPr>
        <w:ind w:left="5960"/>
        <w:spacing w:after="0"/>
        <w:tabs>
          <w:tab w:leader="none" w:pos="7000" w:val="left"/>
          <w:tab w:leader="none" w:pos="8220" w:val="left"/>
        </w:tabs>
        <w:rPr>
          <w:sz w:val="20"/>
          <w:szCs w:val="20"/>
          <w:color w:val="auto"/>
        </w:rPr>
      </w:pPr>
      <w:r>
        <w:rPr>
          <w:rFonts w:ascii="Arial" w:cs="Arial" w:eastAsia="Arial" w:hAnsi="Arial"/>
          <w:sz w:val="20"/>
          <w:szCs w:val="20"/>
          <w:color w:val="auto"/>
        </w:rPr>
        <w:t>Yes</w:t>
      </w:r>
      <w:r>
        <w:rPr>
          <w:sz w:val="20"/>
          <w:szCs w:val="20"/>
          <w:color w:val="auto"/>
        </w:rPr>
        <w:tab/>
      </w:r>
      <w:r>
        <w:rPr>
          <w:rFonts w:ascii="Arial" w:cs="Arial" w:eastAsia="Arial" w:hAnsi="Arial"/>
          <w:sz w:val="20"/>
          <w:szCs w:val="20"/>
          <w:color w:val="auto"/>
        </w:rPr>
        <w:t>X</w:t>
      </w:r>
      <w:r>
        <w:rPr>
          <w:sz w:val="20"/>
          <w:szCs w:val="20"/>
          <w:color w:val="auto"/>
        </w:rPr>
        <w:tab/>
      </w:r>
      <w:r>
        <w:rPr>
          <w:rFonts w:ascii="Arial" w:cs="Arial" w:eastAsia="Arial" w:hAnsi="Arial"/>
          <w:sz w:val="18"/>
          <w:szCs w:val="18"/>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19050</wp:posOffset>
            </wp:positionV>
            <wp:extent cx="7200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090" cy="8890"/>
                    </a:xfrm>
                    <a:prstGeom prst="rect">
                      <a:avLst/>
                    </a:prstGeom>
                    <a:noFill/>
                  </pic:spPr>
                </pic:pic>
              </a:graphicData>
            </a:graphic>
          </wp:anchor>
        </w:drawing>
        <w:drawing>
          <wp:anchor simplePos="0" relativeHeight="251657728" behindDoc="1" locked="0" layoutInCell="0" allowOverlap="1">
            <wp:simplePos x="0" y="0"/>
            <wp:positionH relativeFrom="column">
              <wp:posOffset>5561965</wp:posOffset>
            </wp:positionH>
            <wp:positionV relativeFrom="paragraph">
              <wp:posOffset>19050</wp:posOffset>
            </wp:positionV>
            <wp:extent cx="8235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23595" cy="889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left="1260" w:right="219"/>
        <w:spacing w:after="0" w:line="246" w:lineRule="auto"/>
        <w:rPr>
          <w:sz w:val="20"/>
          <w:szCs w:val="20"/>
          <w:color w:val="auto"/>
        </w:rPr>
      </w:pPr>
      <w:r>
        <w:rPr>
          <w:rFonts w:ascii="Arial" w:cs="Arial" w:eastAsia="Arial" w:hAnsi="Arial"/>
          <w:sz w:val="20"/>
          <w:szCs w:val="20"/>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w:t>
      </w:r>
    </w:p>
    <w:p>
      <w:pPr>
        <w:spacing w:after="0" w:line="2" w:lineRule="exact"/>
        <w:rPr>
          <w:sz w:val="20"/>
          <w:szCs w:val="20"/>
          <w:color w:val="auto"/>
        </w:rPr>
      </w:pPr>
    </w:p>
    <w:p>
      <w:pPr>
        <w:ind w:left="9500"/>
        <w:spacing w:after="0"/>
        <w:rPr>
          <w:sz w:val="20"/>
          <w:szCs w:val="20"/>
          <w:color w:val="auto"/>
        </w:rPr>
      </w:pPr>
      <w:r>
        <w:rPr>
          <w:rFonts w:ascii="Arial" w:cs="Arial" w:eastAsia="Arial" w:hAnsi="Arial"/>
          <w:sz w:val="20"/>
          <w:szCs w:val="20"/>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5734050</wp:posOffset>
            </wp:positionH>
            <wp:positionV relativeFrom="paragraph">
              <wp:posOffset>19050</wp:posOffset>
            </wp:positionV>
            <wp:extent cx="73723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spacing w:after="0" w:line="236" w:lineRule="exact"/>
        <w:rPr>
          <w:sz w:val="20"/>
          <w:szCs w:val="20"/>
          <w:color w:val="auto"/>
        </w:rPr>
      </w:pPr>
    </w:p>
    <w:p>
      <w:pPr>
        <w:ind w:left="1260" w:right="239"/>
        <w:spacing w:after="0" w:line="250" w:lineRule="auto"/>
        <w:rPr>
          <w:sz w:val="20"/>
          <w:szCs w:val="20"/>
          <w:color w:val="auto"/>
        </w:rPr>
      </w:pPr>
      <w:r>
        <w:rPr>
          <w:rFonts w:ascii="Arial" w:cs="Arial" w:eastAsia="Arial" w:hAnsi="Arial"/>
          <w:sz w:val="20"/>
          <w:szCs w:val="20"/>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254" w:lineRule="exact"/>
        <w:rPr>
          <w:sz w:val="20"/>
          <w:szCs w:val="20"/>
          <w:color w:val="auto"/>
        </w:rPr>
      </w:pPr>
    </w:p>
    <w:p>
      <w:pPr>
        <w:ind w:left="1260"/>
        <w:spacing w:after="0"/>
        <w:tabs>
          <w:tab w:leader="none" w:pos="3760" w:val="left"/>
          <w:tab w:leader="none" w:pos="4660" w:val="left"/>
          <w:tab w:leader="none" w:pos="6500" w:val="left"/>
          <w:tab w:leader="none" w:pos="7300" w:val="left"/>
          <w:tab w:leader="none" w:pos="9640" w:val="left"/>
        </w:tabs>
        <w:rPr>
          <w:sz w:val="20"/>
          <w:szCs w:val="20"/>
          <w:color w:val="auto"/>
        </w:rPr>
      </w:pPr>
      <w:r>
        <w:rPr>
          <w:rFonts w:ascii="Arial" w:cs="Arial" w:eastAsia="Arial" w:hAnsi="Arial"/>
          <w:sz w:val="20"/>
          <w:szCs w:val="20"/>
          <w:color w:val="auto"/>
        </w:rPr>
        <w:t>Large accelerated filer</w:t>
      </w:r>
      <w:r>
        <w:rPr>
          <w:sz w:val="20"/>
          <w:szCs w:val="20"/>
          <w:color w:val="auto"/>
        </w:rPr>
        <w:tab/>
      </w:r>
      <w:r>
        <w:rPr>
          <w:rFonts w:ascii="Arial" w:cs="Arial" w:eastAsia="Arial" w:hAnsi="Arial"/>
          <w:sz w:val="20"/>
          <w:szCs w:val="20"/>
          <w:color w:val="auto"/>
        </w:rPr>
        <w:t>[ X ]</w:t>
      </w:r>
      <w:r>
        <w:rPr>
          <w:sz w:val="20"/>
          <w:szCs w:val="20"/>
          <w:color w:val="auto"/>
        </w:rPr>
        <w:tab/>
      </w:r>
      <w:r>
        <w:rPr>
          <w:rFonts w:ascii="Arial" w:cs="Arial" w:eastAsia="Arial" w:hAnsi="Arial"/>
          <w:sz w:val="20"/>
          <w:szCs w:val="20"/>
          <w:color w:val="auto"/>
        </w:rPr>
        <w:t>Accelerated filer</w:t>
      </w:r>
      <w:r>
        <w:rPr>
          <w:sz w:val="20"/>
          <w:szCs w:val="20"/>
          <w:color w:val="auto"/>
        </w:rPr>
        <w:tab/>
      </w:r>
      <w:r>
        <w:rPr>
          <w:rFonts w:ascii="Arial" w:cs="Arial" w:eastAsia="Arial" w:hAnsi="Arial"/>
          <w:sz w:val="20"/>
          <w:szCs w:val="20"/>
          <w:color w:val="auto"/>
        </w:rPr>
        <w:t>[ ]</w:t>
      </w:r>
      <w:r>
        <w:rPr>
          <w:sz w:val="20"/>
          <w:szCs w:val="20"/>
          <w:color w:val="auto"/>
        </w:rPr>
        <w:tab/>
      </w:r>
      <w:r>
        <w:rPr>
          <w:rFonts w:ascii="Arial" w:cs="Arial" w:eastAsia="Arial" w:hAnsi="Arial"/>
          <w:sz w:val="20"/>
          <w:szCs w:val="20"/>
          <w:color w:val="auto"/>
        </w:rPr>
        <w:t>Non-accelerated filer</w:t>
      </w:r>
      <w:r>
        <w:rPr>
          <w:sz w:val="20"/>
          <w:szCs w:val="20"/>
          <w:color w:val="auto"/>
        </w:rPr>
        <w:tab/>
      </w:r>
      <w:r>
        <w:rPr>
          <w:rFonts w:ascii="Arial" w:cs="Arial" w:eastAsia="Arial" w:hAnsi="Arial"/>
          <w:sz w:val="20"/>
          <w:szCs w:val="20"/>
          <w:color w:val="auto"/>
        </w:rPr>
        <w:t>[ ]</w:t>
      </w:r>
    </w:p>
    <w:p>
      <w:pPr>
        <w:spacing w:after="0" w:line="200" w:lineRule="exact"/>
        <w:rPr>
          <w:sz w:val="20"/>
          <w:szCs w:val="20"/>
          <w:color w:val="auto"/>
        </w:rPr>
      </w:pPr>
    </w:p>
    <w:p>
      <w:pPr>
        <w:spacing w:after="0" w:line="313" w:lineRule="exact"/>
        <w:rPr>
          <w:sz w:val="20"/>
          <w:szCs w:val="20"/>
          <w:color w:val="auto"/>
        </w:rPr>
      </w:pPr>
    </w:p>
    <w:p>
      <w:pPr>
        <w:ind w:left="1260" w:right="419"/>
        <w:spacing w:after="0" w:line="253" w:lineRule="auto"/>
        <w:rPr>
          <w:sz w:val="20"/>
          <w:szCs w:val="20"/>
          <w:color w:val="auto"/>
        </w:rPr>
      </w:pPr>
      <w:r>
        <w:rPr>
          <w:rFonts w:ascii="Arial" w:cs="Arial" w:eastAsia="Arial" w:hAnsi="Arial"/>
          <w:sz w:val="20"/>
          <w:szCs w:val="20"/>
          <w:color w:val="auto"/>
        </w:rPr>
        <w:t>Indicate by check mark whether the registrant is a shell company (as defined in Rule 12b-2 of the Exchange Act).</w:t>
      </w:r>
    </w:p>
    <w:p>
      <w:pPr>
        <w:spacing w:after="0" w:line="1" w:lineRule="exact"/>
        <w:rPr>
          <w:sz w:val="20"/>
          <w:szCs w:val="20"/>
          <w:color w:val="auto"/>
        </w:rPr>
      </w:pPr>
    </w:p>
    <w:p>
      <w:pPr>
        <w:ind w:left="6080"/>
        <w:spacing w:after="0"/>
        <w:tabs>
          <w:tab w:leader="none" w:pos="8460" w:val="left"/>
          <w:tab w:leader="none" w:pos="9480" w:val="left"/>
        </w:tabs>
        <w:rPr>
          <w:sz w:val="20"/>
          <w:szCs w:val="20"/>
          <w:color w:val="auto"/>
        </w:rPr>
      </w:pPr>
      <w:r>
        <w:rPr>
          <w:rFonts w:ascii="Arial" w:cs="Arial" w:eastAsia="Arial" w:hAnsi="Arial"/>
          <w:sz w:val="20"/>
          <w:szCs w:val="20"/>
          <w:color w:val="auto"/>
        </w:rPr>
        <w:t>Yes</w:t>
      </w:r>
      <w:r>
        <w:rPr>
          <w:sz w:val="20"/>
          <w:szCs w:val="20"/>
          <w:color w:val="auto"/>
        </w:rPr>
        <w:tab/>
      </w:r>
      <w:r>
        <w:rPr>
          <w:rFonts w:ascii="Arial" w:cs="Arial" w:eastAsia="Arial" w:hAnsi="Arial"/>
          <w:sz w:val="20"/>
          <w:szCs w:val="20"/>
          <w:color w:val="auto"/>
        </w:rPr>
        <w:t>No</w:t>
      </w:r>
      <w:r>
        <w:rPr>
          <w:sz w:val="20"/>
          <w:szCs w:val="20"/>
          <w:color w:val="auto"/>
        </w:rPr>
        <w:tab/>
      </w:r>
      <w:r>
        <w:rPr>
          <w:rFonts w:ascii="Arial" w:cs="Arial" w:eastAsia="Arial" w:hAnsi="Arial"/>
          <w:sz w:val="20"/>
          <w:szCs w:val="20"/>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4267200</wp:posOffset>
            </wp:positionH>
            <wp:positionV relativeFrom="paragraph">
              <wp:posOffset>19050</wp:posOffset>
            </wp:positionV>
            <wp:extent cx="7632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63270" cy="8890"/>
                    </a:xfrm>
                    <a:prstGeom prst="rect">
                      <a:avLst/>
                    </a:prstGeom>
                    <a:noFill/>
                  </pic:spPr>
                </pic:pic>
              </a:graphicData>
            </a:graphic>
          </wp:anchor>
        </w:drawing>
        <w:drawing>
          <wp:anchor simplePos="0" relativeHeight="251657728" behindDoc="1" locked="0" layoutInCell="0" allowOverlap="1">
            <wp:simplePos x="0" y="0"/>
            <wp:positionH relativeFrom="column">
              <wp:posOffset>5734050</wp:posOffset>
            </wp:positionH>
            <wp:positionV relativeFrom="paragraph">
              <wp:posOffset>19050</wp:posOffset>
            </wp:positionV>
            <wp:extent cx="73723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spacing w:after="0" w:line="250" w:lineRule="exact"/>
        <w:rPr>
          <w:sz w:val="20"/>
          <w:szCs w:val="20"/>
          <w:color w:val="auto"/>
        </w:rPr>
      </w:pPr>
    </w:p>
    <w:p>
      <w:pPr>
        <w:ind w:left="1260"/>
        <w:spacing w:after="0"/>
        <w:rPr>
          <w:sz w:val="20"/>
          <w:szCs w:val="20"/>
          <w:color w:val="auto"/>
        </w:rPr>
      </w:pPr>
      <w:r>
        <w:rPr>
          <w:rFonts w:ascii="Arial" w:cs="Arial" w:eastAsia="Arial" w:hAnsi="Arial"/>
          <w:sz w:val="20"/>
          <w:szCs w:val="20"/>
          <w:color w:val="auto"/>
        </w:rPr>
        <w:t>Exhibit Index on page 42. Glossary on page 48.</w:t>
      </w:r>
    </w:p>
    <w:p>
      <w:pPr>
        <w:spacing w:after="0" w:line="283" w:lineRule="exact"/>
        <w:rPr>
          <w:sz w:val="20"/>
          <w:szCs w:val="20"/>
          <w:color w:val="auto"/>
        </w:rPr>
      </w:pPr>
    </w:p>
    <w:p>
      <w:pPr>
        <w:ind w:left="1260" w:right="219"/>
        <w:spacing w:after="0" w:line="260" w:lineRule="auto"/>
        <w:rPr>
          <w:sz w:val="20"/>
          <w:szCs w:val="20"/>
          <w:color w:val="auto"/>
        </w:rPr>
      </w:pPr>
      <w:r>
        <w:rPr>
          <w:rFonts w:ascii="Arial" w:cs="Arial" w:eastAsia="Arial" w:hAnsi="Arial"/>
          <w:sz w:val="20"/>
          <w:szCs w:val="20"/>
          <w:color w:val="auto"/>
        </w:rPr>
        <w:t>Aggregate market value of the voting and non-voting common equity held by non-affiliates of the registrant as of June 30, 2007 was $15.5 billion.</w:t>
      </w:r>
    </w:p>
    <w:p>
      <w:pPr>
        <w:spacing w:after="0" w:line="245" w:lineRule="exact"/>
        <w:rPr>
          <w:sz w:val="20"/>
          <w:szCs w:val="20"/>
          <w:color w:val="auto"/>
        </w:rPr>
      </w:pPr>
    </w:p>
    <w:p>
      <w:pPr>
        <w:ind w:left="1260"/>
        <w:spacing w:after="0"/>
        <w:rPr>
          <w:sz w:val="20"/>
          <w:szCs w:val="20"/>
          <w:color w:val="auto"/>
        </w:rPr>
      </w:pPr>
      <w:r>
        <w:rPr>
          <w:rFonts w:ascii="Arial" w:cs="Arial" w:eastAsia="Arial" w:hAnsi="Arial"/>
          <w:sz w:val="20"/>
          <w:szCs w:val="20"/>
          <w:color w:val="auto"/>
        </w:rPr>
        <w:t>Registrant's common stock outstanding as of January 31, 2008, was 261,306,080 shares.</w:t>
      </w:r>
    </w:p>
    <w:p>
      <w:pPr>
        <w:spacing w:after="0" w:line="283" w:lineRule="exact"/>
        <w:rPr>
          <w:sz w:val="20"/>
          <w:szCs w:val="20"/>
          <w:color w:val="auto"/>
        </w:rPr>
      </w:pPr>
    </w:p>
    <w:p>
      <w:pPr>
        <w:ind w:left="1260"/>
        <w:spacing w:after="0"/>
        <w:rPr>
          <w:sz w:val="20"/>
          <w:szCs w:val="20"/>
          <w:color w:val="auto"/>
        </w:rPr>
      </w:pPr>
      <w:r>
        <w:rPr>
          <w:rFonts w:ascii="Arial" w:cs="Arial" w:eastAsia="Arial" w:hAnsi="Arial"/>
          <w:sz w:val="20"/>
          <w:szCs w:val="20"/>
          <w:color w:val="auto"/>
        </w:rPr>
        <w:t>DOCUMENTS INCORPORATED BY REFERENCE:</w:t>
      </w:r>
    </w:p>
    <w:p>
      <w:pPr>
        <w:spacing w:after="0" w:line="27" w:lineRule="exact"/>
        <w:rPr>
          <w:sz w:val="20"/>
          <w:szCs w:val="20"/>
          <w:color w:val="auto"/>
        </w:rPr>
      </w:pPr>
    </w:p>
    <w:p>
      <w:pPr>
        <w:ind w:left="1260"/>
        <w:spacing w:after="0"/>
        <w:rPr>
          <w:sz w:val="20"/>
          <w:szCs w:val="20"/>
          <w:color w:val="auto"/>
        </w:rPr>
      </w:pPr>
      <w:r>
        <w:rPr>
          <w:rFonts w:ascii="Arial" w:cs="Arial" w:eastAsia="Arial" w:hAnsi="Arial"/>
          <w:sz w:val="19"/>
          <w:szCs w:val="19"/>
          <w:color w:val="auto"/>
        </w:rPr>
        <w:t>Portions of the 2007 Annual Report to Shareholders are incorporated by reference into Parts I, II and IV.</w:t>
      </w:r>
    </w:p>
    <w:p>
      <w:pPr>
        <w:spacing w:after="0" w:line="295" w:lineRule="exact"/>
        <w:rPr>
          <w:sz w:val="20"/>
          <w:szCs w:val="20"/>
          <w:color w:val="auto"/>
        </w:rPr>
      </w:pPr>
    </w:p>
    <w:p>
      <w:pPr>
        <w:ind w:left="1260" w:right="159"/>
        <w:spacing w:after="0" w:line="260" w:lineRule="auto"/>
        <w:rPr>
          <w:sz w:val="20"/>
          <w:szCs w:val="20"/>
          <w:color w:val="auto"/>
        </w:rPr>
      </w:pPr>
      <w:r>
        <w:rPr>
          <w:rFonts w:ascii="Arial" w:cs="Arial" w:eastAsia="Arial" w:hAnsi="Arial"/>
          <w:sz w:val="20"/>
          <w:szCs w:val="20"/>
          <w:color w:val="auto"/>
        </w:rPr>
        <w:t>Portions of the Proxy Statement prepared for the May 2008 annual meeting of shareholders are incorporated by reference into Parts II and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785495</wp:posOffset>
            </wp:positionH>
            <wp:positionV relativeFrom="paragraph">
              <wp:posOffset>157480</wp:posOffset>
            </wp:positionV>
            <wp:extent cx="568579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85790" cy="17145"/>
                    </a:xfrm>
                    <a:prstGeom prst="rect">
                      <a:avLst/>
                    </a:prstGeom>
                    <a:noFill/>
                  </pic:spPr>
                </pic:pic>
              </a:graphicData>
            </a:graphic>
          </wp:anchor>
        </w:drawing>
        <w:drawing>
          <wp:anchor simplePos="0" relativeHeight="251657728" behindDoc="1" locked="0" layoutInCell="0" allowOverlap="1">
            <wp:simplePos x="0" y="0"/>
            <wp:positionH relativeFrom="column">
              <wp:posOffset>785495</wp:posOffset>
            </wp:positionH>
            <wp:positionV relativeFrom="paragraph">
              <wp:posOffset>191770</wp:posOffset>
            </wp:positionV>
            <wp:extent cx="568579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8579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0219"/>
          </w:cols>
          <w:pgMar w:left="240" w:top="636" w:right="1440" w:bottom="1440" w:gutter="0" w:footer="0" w:header="0"/>
        </w:sectPr>
      </w:pPr>
    </w:p>
    <w:bookmarkStart w:id="2" w:name="page3"/>
    <w:bookmarkEnd w:id="2"/>
    <w:tbl>
      <w:tblPr>
        <w:tblLayout w:type="fixed"/>
        <w:tblInd w:w="1800" w:type="dxa"/>
        <w:tblCellMar>
          <w:top w:w="0" w:type="dxa"/>
          <w:left w:w="0" w:type="dxa"/>
          <w:bottom w:w="0" w:type="dxa"/>
          <w:right w:w="0" w:type="dxa"/>
        </w:tblCellMar>
      </w:tblPr>
      <w:tr>
        <w:trPr>
          <w:trHeight w:val="259"/>
        </w:trPr>
        <w:tc>
          <w:tcPr>
            <w:tcW w:w="1100" w:type="dxa"/>
            <w:vAlign w:val="bottom"/>
          </w:tcPr>
          <w:p>
            <w:pPr>
              <w:spacing w:after="0"/>
              <w:rPr>
                <w:sz w:val="22"/>
                <w:szCs w:val="22"/>
                <w:color w:val="auto"/>
              </w:rPr>
            </w:pPr>
          </w:p>
        </w:tc>
        <w:tc>
          <w:tcPr>
            <w:tcW w:w="5440" w:type="dxa"/>
            <w:vAlign w:val="bottom"/>
          </w:tcPr>
          <w:p>
            <w:pPr>
              <w:ind w:left="1100"/>
              <w:spacing w:after="0"/>
              <w:rPr>
                <w:sz w:val="20"/>
                <w:szCs w:val="20"/>
                <w:color w:val="auto"/>
              </w:rPr>
            </w:pPr>
            <w:r>
              <w:rPr>
                <w:rFonts w:ascii="Arial" w:cs="Arial" w:eastAsia="Arial" w:hAnsi="Arial"/>
                <w:sz w:val="20"/>
                <w:szCs w:val="20"/>
                <w:b w:val="1"/>
                <w:bCs w:val="1"/>
                <w:color w:val="auto"/>
              </w:rPr>
              <w:t>TABLE OF CONTENTS</w:t>
            </w:r>
          </w:p>
        </w:tc>
        <w:tc>
          <w:tcPr>
            <w:tcW w:w="1320" w:type="dxa"/>
            <w:vAlign w:val="bottom"/>
            <w:tcBorders>
              <w:bottom w:val="single" w:sz="8" w:color="auto"/>
            </w:tcBorders>
          </w:tcPr>
          <w:p>
            <w:pPr>
              <w:ind w:left="440"/>
              <w:spacing w:after="0"/>
              <w:rPr>
                <w:sz w:val="20"/>
                <w:szCs w:val="20"/>
                <w:color w:val="auto"/>
              </w:rPr>
            </w:pPr>
            <w:r>
              <w:rPr>
                <w:rFonts w:ascii="Arial" w:cs="Arial" w:eastAsia="Arial" w:hAnsi="Arial"/>
                <w:sz w:val="20"/>
                <w:szCs w:val="20"/>
                <w:b w:val="1"/>
                <w:bCs w:val="1"/>
                <w:color w:val="auto"/>
              </w:rPr>
              <w:t>Page</w:t>
            </w:r>
          </w:p>
        </w:tc>
        <w:tc>
          <w:tcPr>
            <w:tcW w:w="0" w:type="dxa"/>
            <w:vAlign w:val="bottom"/>
          </w:tcPr>
          <w:p>
            <w:pPr>
              <w:spacing w:after="0"/>
              <w:rPr>
                <w:sz w:val="1"/>
                <w:szCs w:val="1"/>
                <w:color w:val="auto"/>
              </w:rPr>
            </w:pPr>
          </w:p>
        </w:tc>
      </w:tr>
      <w:tr>
        <w:trPr>
          <w:trHeight w:val="252"/>
        </w:trPr>
        <w:tc>
          <w:tcPr>
            <w:tcW w:w="1100" w:type="dxa"/>
            <w:vAlign w:val="bottom"/>
          </w:tcPr>
          <w:p>
            <w:pPr>
              <w:spacing w:after="0"/>
              <w:rPr>
                <w:sz w:val="20"/>
                <w:szCs w:val="20"/>
                <w:color w:val="auto"/>
              </w:rPr>
            </w:pPr>
            <w:r>
              <w:rPr>
                <w:rFonts w:ascii="Arial" w:cs="Arial" w:eastAsia="Arial" w:hAnsi="Arial"/>
                <w:sz w:val="20"/>
                <w:szCs w:val="20"/>
                <w:b w:val="1"/>
                <w:bCs w:val="1"/>
                <w:color w:val="auto"/>
              </w:rPr>
              <w:t>PART I</w:t>
            </w:r>
          </w:p>
        </w:tc>
        <w:tc>
          <w:tcPr>
            <w:tcW w:w="54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1100" w:type="dxa"/>
            <w:vAlign w:val="bottom"/>
            <w:shd w:val="clear" w:color="auto" w:fill="CCFFCC"/>
          </w:tcPr>
          <w:p>
            <w:pPr>
              <w:spacing w:after="0"/>
              <w:rPr>
                <w:sz w:val="20"/>
                <w:szCs w:val="20"/>
                <w:color w:val="auto"/>
              </w:rPr>
            </w:pPr>
            <w:r>
              <w:rPr>
                <w:rFonts w:ascii="Arial" w:cs="Arial" w:eastAsia="Arial" w:hAnsi="Arial"/>
                <w:sz w:val="20"/>
                <w:szCs w:val="20"/>
                <w:color w:val="auto"/>
              </w:rPr>
              <w:t>Item 1.</w:t>
            </w:r>
          </w:p>
        </w:tc>
        <w:tc>
          <w:tcPr>
            <w:tcW w:w="5440" w:type="dxa"/>
            <w:vAlign w:val="bottom"/>
            <w:shd w:val="clear" w:color="auto" w:fill="CCFFCC"/>
          </w:tcPr>
          <w:p>
            <w:pPr>
              <w:ind w:left="40"/>
              <w:spacing w:after="0"/>
              <w:rPr>
                <w:sz w:val="20"/>
                <w:szCs w:val="20"/>
                <w:color w:val="auto"/>
              </w:rPr>
            </w:pPr>
            <w:r>
              <w:rPr>
                <w:rFonts w:ascii="Arial" w:cs="Arial" w:eastAsia="Arial" w:hAnsi="Arial"/>
                <w:sz w:val="20"/>
                <w:szCs w:val="20"/>
                <w:color w:val="auto"/>
              </w:rPr>
              <w:t>Business and Risk Factors</w:t>
            </w:r>
          </w:p>
        </w:tc>
        <w:tc>
          <w:tcPr>
            <w:tcW w:w="1320" w:type="dxa"/>
            <w:vAlign w:val="bottom"/>
            <w:shd w:val="clear" w:color="auto" w:fill="CCFFCC"/>
          </w:tcPr>
          <w:p>
            <w:pPr>
              <w:jc w:val="center"/>
              <w:spacing w:after="0"/>
              <w:rPr>
                <w:sz w:val="20"/>
                <w:szCs w:val="20"/>
                <w:color w:val="auto"/>
              </w:rPr>
            </w:pPr>
            <w:r>
              <w:rPr>
                <w:rFonts w:ascii="Arial" w:cs="Arial" w:eastAsia="Arial" w:hAnsi="Arial"/>
                <w:sz w:val="20"/>
                <w:szCs w:val="20"/>
                <w:color w:val="auto"/>
                <w:w w:val="89"/>
              </w:rPr>
              <w:t>5</w:t>
            </w:r>
          </w:p>
        </w:tc>
        <w:tc>
          <w:tcPr>
            <w:tcW w:w="0" w:type="dxa"/>
            <w:vAlign w:val="bottom"/>
          </w:tcPr>
          <w:p>
            <w:pPr>
              <w:spacing w:after="0"/>
              <w:rPr>
                <w:sz w:val="1"/>
                <w:szCs w:val="1"/>
                <w:color w:val="auto"/>
              </w:rPr>
            </w:pPr>
          </w:p>
        </w:tc>
      </w:tr>
      <w:tr>
        <w:trPr>
          <w:trHeight w:val="254"/>
        </w:trPr>
        <w:tc>
          <w:tcPr>
            <w:tcW w:w="1100" w:type="dxa"/>
            <w:vAlign w:val="bottom"/>
          </w:tcPr>
          <w:p>
            <w:pPr>
              <w:spacing w:after="0"/>
              <w:rPr>
                <w:sz w:val="20"/>
                <w:szCs w:val="20"/>
                <w:color w:val="auto"/>
              </w:rPr>
            </w:pPr>
            <w:r>
              <w:rPr>
                <w:rFonts w:ascii="Arial" w:cs="Arial" w:eastAsia="Arial" w:hAnsi="Arial"/>
                <w:sz w:val="20"/>
                <w:szCs w:val="20"/>
                <w:color w:val="auto"/>
              </w:rPr>
              <w:t>Item 2.</w:t>
            </w:r>
          </w:p>
        </w:tc>
        <w:tc>
          <w:tcPr>
            <w:tcW w:w="5440" w:type="dxa"/>
            <w:vAlign w:val="bottom"/>
          </w:tcPr>
          <w:p>
            <w:pPr>
              <w:ind w:left="40"/>
              <w:spacing w:after="0"/>
              <w:rPr>
                <w:sz w:val="20"/>
                <w:szCs w:val="20"/>
                <w:color w:val="auto"/>
              </w:rPr>
            </w:pPr>
            <w:r>
              <w:rPr>
                <w:rFonts w:ascii="Arial" w:cs="Arial" w:eastAsia="Arial" w:hAnsi="Arial"/>
                <w:sz w:val="20"/>
                <w:szCs w:val="20"/>
                <w:color w:val="auto"/>
              </w:rPr>
              <w:t>Properties</w:t>
            </w:r>
          </w:p>
        </w:tc>
        <w:tc>
          <w:tcPr>
            <w:tcW w:w="1320" w:type="dxa"/>
            <w:vAlign w:val="bottom"/>
          </w:tcPr>
          <w:p>
            <w:pPr>
              <w:jc w:val="center"/>
              <w:spacing w:after="0"/>
              <w:rPr>
                <w:sz w:val="20"/>
                <w:szCs w:val="20"/>
                <w:color w:val="auto"/>
              </w:rPr>
            </w:pPr>
            <w:r>
              <w:rPr>
                <w:rFonts w:ascii="Arial" w:cs="Arial" w:eastAsia="Arial" w:hAnsi="Arial"/>
                <w:sz w:val="20"/>
                <w:szCs w:val="20"/>
                <w:color w:val="auto"/>
                <w:w w:val="80"/>
              </w:rPr>
              <w:t>28</w:t>
            </w:r>
          </w:p>
        </w:tc>
        <w:tc>
          <w:tcPr>
            <w:tcW w:w="0" w:type="dxa"/>
            <w:vAlign w:val="bottom"/>
          </w:tcPr>
          <w:p>
            <w:pPr>
              <w:spacing w:after="0"/>
              <w:rPr>
                <w:sz w:val="1"/>
                <w:szCs w:val="1"/>
                <w:color w:val="auto"/>
              </w:rPr>
            </w:pPr>
          </w:p>
        </w:tc>
      </w:tr>
      <w:tr>
        <w:trPr>
          <w:trHeight w:val="260"/>
        </w:trPr>
        <w:tc>
          <w:tcPr>
            <w:tcW w:w="1100" w:type="dxa"/>
            <w:vAlign w:val="bottom"/>
            <w:shd w:val="clear" w:color="auto" w:fill="CCFFCC"/>
          </w:tcPr>
          <w:p>
            <w:pPr>
              <w:spacing w:after="0"/>
              <w:rPr>
                <w:sz w:val="20"/>
                <w:szCs w:val="20"/>
                <w:color w:val="auto"/>
              </w:rPr>
            </w:pPr>
            <w:r>
              <w:rPr>
                <w:rFonts w:ascii="Arial" w:cs="Arial" w:eastAsia="Arial" w:hAnsi="Arial"/>
                <w:sz w:val="20"/>
                <w:szCs w:val="20"/>
                <w:color w:val="auto"/>
              </w:rPr>
              <w:t>Item 3.</w:t>
            </w:r>
          </w:p>
        </w:tc>
        <w:tc>
          <w:tcPr>
            <w:tcW w:w="5440" w:type="dxa"/>
            <w:vAlign w:val="bottom"/>
            <w:shd w:val="clear" w:color="auto" w:fill="CCFFCC"/>
          </w:tcPr>
          <w:p>
            <w:pPr>
              <w:ind w:left="40"/>
              <w:spacing w:after="0"/>
              <w:rPr>
                <w:sz w:val="20"/>
                <w:szCs w:val="20"/>
                <w:color w:val="auto"/>
              </w:rPr>
            </w:pPr>
            <w:r>
              <w:rPr>
                <w:rFonts w:ascii="Arial" w:cs="Arial" w:eastAsia="Arial" w:hAnsi="Arial"/>
                <w:sz w:val="20"/>
                <w:szCs w:val="20"/>
                <w:color w:val="auto"/>
              </w:rPr>
              <w:t>Legal Proceedings</w:t>
            </w:r>
          </w:p>
        </w:tc>
        <w:tc>
          <w:tcPr>
            <w:tcW w:w="1320" w:type="dxa"/>
            <w:vAlign w:val="bottom"/>
            <w:shd w:val="clear" w:color="auto" w:fill="CCFFCC"/>
          </w:tcPr>
          <w:p>
            <w:pPr>
              <w:jc w:val="center"/>
              <w:spacing w:after="0"/>
              <w:rPr>
                <w:sz w:val="20"/>
                <w:szCs w:val="20"/>
                <w:color w:val="auto"/>
              </w:rPr>
            </w:pPr>
            <w:r>
              <w:rPr>
                <w:rFonts w:ascii="Arial" w:cs="Arial" w:eastAsia="Arial" w:hAnsi="Arial"/>
                <w:sz w:val="20"/>
                <w:szCs w:val="20"/>
                <w:color w:val="auto"/>
                <w:w w:val="80"/>
              </w:rPr>
              <w:t>29</w:t>
            </w:r>
          </w:p>
        </w:tc>
        <w:tc>
          <w:tcPr>
            <w:tcW w:w="0" w:type="dxa"/>
            <w:vAlign w:val="bottom"/>
          </w:tcPr>
          <w:p>
            <w:pPr>
              <w:spacing w:after="0"/>
              <w:rPr>
                <w:sz w:val="1"/>
                <w:szCs w:val="1"/>
                <w:color w:val="auto"/>
              </w:rPr>
            </w:pPr>
          </w:p>
        </w:tc>
      </w:tr>
      <w:tr>
        <w:trPr>
          <w:trHeight w:val="250"/>
        </w:trPr>
        <w:tc>
          <w:tcPr>
            <w:tcW w:w="1100" w:type="dxa"/>
            <w:vAlign w:val="bottom"/>
          </w:tcPr>
          <w:p>
            <w:pPr>
              <w:spacing w:after="0"/>
              <w:rPr>
                <w:sz w:val="20"/>
                <w:szCs w:val="20"/>
                <w:color w:val="auto"/>
              </w:rPr>
            </w:pPr>
            <w:r>
              <w:rPr>
                <w:rFonts w:ascii="Arial" w:cs="Arial" w:eastAsia="Arial" w:hAnsi="Arial"/>
                <w:sz w:val="20"/>
                <w:szCs w:val="20"/>
                <w:color w:val="auto"/>
              </w:rPr>
              <w:t>Item 4.</w:t>
            </w:r>
          </w:p>
        </w:tc>
        <w:tc>
          <w:tcPr>
            <w:tcW w:w="5440" w:type="dxa"/>
            <w:vAlign w:val="bottom"/>
          </w:tcPr>
          <w:p>
            <w:pPr>
              <w:ind w:left="40"/>
              <w:spacing w:after="0"/>
              <w:rPr>
                <w:sz w:val="20"/>
                <w:szCs w:val="20"/>
                <w:color w:val="auto"/>
              </w:rPr>
            </w:pPr>
            <w:r>
              <w:rPr>
                <w:rFonts w:ascii="Arial" w:cs="Arial" w:eastAsia="Arial" w:hAnsi="Arial"/>
                <w:sz w:val="20"/>
                <w:szCs w:val="20"/>
                <w:color w:val="auto"/>
              </w:rPr>
              <w:t>Submission of Matters to a Vote of Security Holders</w:t>
            </w:r>
          </w:p>
        </w:tc>
        <w:tc>
          <w:tcPr>
            <w:tcW w:w="1320" w:type="dxa"/>
            <w:vAlign w:val="bottom"/>
          </w:tcPr>
          <w:p>
            <w:pPr>
              <w:jc w:val="center"/>
              <w:spacing w:after="0"/>
              <w:rPr>
                <w:sz w:val="20"/>
                <w:szCs w:val="20"/>
                <w:color w:val="auto"/>
              </w:rPr>
            </w:pPr>
            <w:r>
              <w:rPr>
                <w:rFonts w:ascii="Arial" w:cs="Arial" w:eastAsia="Arial" w:hAnsi="Arial"/>
                <w:sz w:val="20"/>
                <w:szCs w:val="20"/>
                <w:color w:val="auto"/>
                <w:w w:val="80"/>
              </w:rPr>
              <w:t>29</w:t>
            </w:r>
          </w:p>
        </w:tc>
        <w:tc>
          <w:tcPr>
            <w:tcW w:w="0" w:type="dxa"/>
            <w:vAlign w:val="bottom"/>
          </w:tcPr>
          <w:p>
            <w:pPr>
              <w:spacing w:after="0"/>
              <w:rPr>
                <w:sz w:val="1"/>
                <w:szCs w:val="1"/>
                <w:color w:val="auto"/>
              </w:rPr>
            </w:pPr>
          </w:p>
        </w:tc>
      </w:tr>
      <w:tr>
        <w:trPr>
          <w:trHeight w:val="501"/>
        </w:trPr>
        <w:tc>
          <w:tcPr>
            <w:tcW w:w="1100" w:type="dxa"/>
            <w:vAlign w:val="bottom"/>
          </w:tcPr>
          <w:p>
            <w:pPr>
              <w:spacing w:after="0"/>
              <w:rPr>
                <w:sz w:val="20"/>
                <w:szCs w:val="20"/>
                <w:color w:val="auto"/>
              </w:rPr>
            </w:pPr>
            <w:r>
              <w:rPr>
                <w:rFonts w:ascii="Arial" w:cs="Arial" w:eastAsia="Arial" w:hAnsi="Arial"/>
                <w:sz w:val="20"/>
                <w:szCs w:val="20"/>
                <w:b w:val="1"/>
                <w:bCs w:val="1"/>
                <w:color w:val="auto"/>
              </w:rPr>
              <w:t>PART II</w:t>
            </w:r>
          </w:p>
        </w:tc>
        <w:tc>
          <w:tcPr>
            <w:tcW w:w="54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1100" w:type="dxa"/>
            <w:vAlign w:val="bottom"/>
            <w:shd w:val="clear" w:color="auto" w:fill="CCFFCC"/>
          </w:tcPr>
          <w:p>
            <w:pPr>
              <w:spacing w:after="0"/>
              <w:rPr>
                <w:sz w:val="20"/>
                <w:szCs w:val="20"/>
                <w:color w:val="auto"/>
              </w:rPr>
            </w:pPr>
            <w:r>
              <w:rPr>
                <w:rFonts w:ascii="Arial" w:cs="Arial" w:eastAsia="Arial" w:hAnsi="Arial"/>
                <w:sz w:val="20"/>
                <w:szCs w:val="20"/>
                <w:color w:val="auto"/>
              </w:rPr>
              <w:t>Item 5.</w:t>
            </w:r>
          </w:p>
        </w:tc>
        <w:tc>
          <w:tcPr>
            <w:tcW w:w="5440" w:type="dxa"/>
            <w:vAlign w:val="bottom"/>
            <w:shd w:val="clear" w:color="auto" w:fill="CCFFCC"/>
          </w:tcPr>
          <w:p>
            <w:pPr>
              <w:ind w:left="40"/>
              <w:spacing w:after="0"/>
              <w:rPr>
                <w:sz w:val="20"/>
                <w:szCs w:val="20"/>
                <w:color w:val="auto"/>
              </w:rPr>
            </w:pPr>
            <w:r>
              <w:rPr>
                <w:rFonts w:ascii="Arial" w:cs="Arial" w:eastAsia="Arial" w:hAnsi="Arial"/>
                <w:sz w:val="20"/>
                <w:szCs w:val="20"/>
                <w:color w:val="auto"/>
                <w:w w:val="99"/>
              </w:rPr>
              <w:t>Market for Registrant's Common Equity, Related Stockholder</w:t>
            </w:r>
          </w:p>
        </w:tc>
        <w:tc>
          <w:tcPr>
            <w:tcW w:w="1320" w:type="dxa"/>
            <w:vAlign w:val="bottom"/>
            <w:vMerge w:val="restart"/>
            <w:shd w:val="clear" w:color="auto" w:fill="CCFFCC"/>
          </w:tcPr>
          <w:p>
            <w:pPr>
              <w:jc w:val="center"/>
              <w:spacing w:after="0"/>
              <w:rPr>
                <w:sz w:val="20"/>
                <w:szCs w:val="20"/>
                <w:color w:val="auto"/>
              </w:rPr>
            </w:pPr>
            <w:r>
              <w:rPr>
                <w:rFonts w:ascii="Arial" w:cs="Arial" w:eastAsia="Arial" w:hAnsi="Arial"/>
                <w:sz w:val="20"/>
                <w:szCs w:val="20"/>
                <w:color w:val="auto"/>
                <w:w w:val="80"/>
              </w:rPr>
              <w:t>29</w:t>
            </w:r>
          </w:p>
        </w:tc>
        <w:tc>
          <w:tcPr>
            <w:tcW w:w="0" w:type="dxa"/>
            <w:vAlign w:val="bottom"/>
          </w:tcPr>
          <w:p>
            <w:pPr>
              <w:spacing w:after="0"/>
              <w:rPr>
                <w:sz w:val="1"/>
                <w:szCs w:val="1"/>
                <w:color w:val="auto"/>
              </w:rPr>
            </w:pPr>
          </w:p>
        </w:tc>
      </w:tr>
      <w:tr>
        <w:trPr>
          <w:trHeight w:val="260"/>
        </w:trPr>
        <w:tc>
          <w:tcPr>
            <w:tcW w:w="1100" w:type="dxa"/>
            <w:vAlign w:val="bottom"/>
            <w:shd w:val="clear" w:color="auto" w:fill="CCFFCC"/>
          </w:tcPr>
          <w:p>
            <w:pPr>
              <w:spacing w:after="0"/>
              <w:rPr>
                <w:sz w:val="22"/>
                <w:szCs w:val="22"/>
                <w:color w:val="auto"/>
              </w:rPr>
            </w:pPr>
          </w:p>
        </w:tc>
        <w:tc>
          <w:tcPr>
            <w:tcW w:w="5440" w:type="dxa"/>
            <w:vAlign w:val="bottom"/>
            <w:shd w:val="clear" w:color="auto" w:fill="CCFFCC"/>
          </w:tcPr>
          <w:p>
            <w:pPr>
              <w:ind w:left="40"/>
              <w:spacing w:after="0"/>
              <w:rPr>
                <w:sz w:val="20"/>
                <w:szCs w:val="20"/>
                <w:color w:val="auto"/>
              </w:rPr>
            </w:pPr>
            <w:r>
              <w:rPr>
                <w:rFonts w:ascii="Arial" w:cs="Arial" w:eastAsia="Arial" w:hAnsi="Arial"/>
                <w:sz w:val="20"/>
                <w:szCs w:val="20"/>
                <w:color w:val="auto"/>
              </w:rPr>
              <w:t>Matters and Issuer Purchases of Equity Securities</w:t>
            </w:r>
          </w:p>
        </w:tc>
        <w:tc>
          <w:tcPr>
            <w:tcW w:w="1320" w:type="dxa"/>
            <w:vAlign w:val="bottom"/>
            <w:vMerge w:val="continue"/>
            <w:shd w:val="clear" w:color="auto" w:fill="CCFFCC"/>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1100" w:type="dxa"/>
            <w:vAlign w:val="bottom"/>
          </w:tcPr>
          <w:p>
            <w:pPr>
              <w:spacing w:after="0"/>
              <w:rPr>
                <w:sz w:val="20"/>
                <w:szCs w:val="20"/>
                <w:color w:val="auto"/>
              </w:rPr>
            </w:pPr>
            <w:r>
              <w:rPr>
                <w:rFonts w:ascii="Arial" w:cs="Arial" w:eastAsia="Arial" w:hAnsi="Arial"/>
                <w:sz w:val="20"/>
                <w:szCs w:val="20"/>
                <w:color w:val="auto"/>
              </w:rPr>
              <w:t>Item 6.</w:t>
            </w:r>
          </w:p>
        </w:tc>
        <w:tc>
          <w:tcPr>
            <w:tcW w:w="5440" w:type="dxa"/>
            <w:vAlign w:val="bottom"/>
          </w:tcPr>
          <w:p>
            <w:pPr>
              <w:ind w:left="40"/>
              <w:spacing w:after="0"/>
              <w:rPr>
                <w:sz w:val="20"/>
                <w:szCs w:val="20"/>
                <w:color w:val="auto"/>
              </w:rPr>
            </w:pPr>
            <w:r>
              <w:rPr>
                <w:rFonts w:ascii="Arial" w:cs="Arial" w:eastAsia="Arial" w:hAnsi="Arial"/>
                <w:sz w:val="20"/>
                <w:szCs w:val="20"/>
                <w:color w:val="auto"/>
              </w:rPr>
              <w:t>Selected Financial Data</w:t>
            </w:r>
          </w:p>
        </w:tc>
        <w:tc>
          <w:tcPr>
            <w:tcW w:w="1320" w:type="dxa"/>
            <w:vAlign w:val="bottom"/>
          </w:tcPr>
          <w:p>
            <w:pPr>
              <w:jc w:val="center"/>
              <w:spacing w:after="0"/>
              <w:rPr>
                <w:sz w:val="20"/>
                <w:szCs w:val="20"/>
                <w:color w:val="auto"/>
              </w:rPr>
            </w:pPr>
            <w:r>
              <w:rPr>
                <w:rFonts w:ascii="Arial" w:cs="Arial" w:eastAsia="Arial" w:hAnsi="Arial"/>
                <w:sz w:val="20"/>
                <w:szCs w:val="20"/>
                <w:color w:val="auto"/>
                <w:w w:val="80"/>
              </w:rPr>
              <w:t>31</w:t>
            </w:r>
          </w:p>
        </w:tc>
        <w:tc>
          <w:tcPr>
            <w:tcW w:w="0" w:type="dxa"/>
            <w:vAlign w:val="bottom"/>
          </w:tcPr>
          <w:p>
            <w:pPr>
              <w:spacing w:after="0"/>
              <w:rPr>
                <w:sz w:val="1"/>
                <w:szCs w:val="1"/>
                <w:color w:val="auto"/>
              </w:rPr>
            </w:pPr>
          </w:p>
        </w:tc>
      </w:tr>
      <w:tr>
        <w:trPr>
          <w:trHeight w:val="229"/>
        </w:trPr>
        <w:tc>
          <w:tcPr>
            <w:tcW w:w="1100" w:type="dxa"/>
            <w:vAlign w:val="bottom"/>
            <w:shd w:val="clear" w:color="auto" w:fill="CCFFCC"/>
          </w:tcPr>
          <w:p>
            <w:pPr>
              <w:spacing w:after="0"/>
              <w:rPr>
                <w:sz w:val="20"/>
                <w:szCs w:val="20"/>
                <w:color w:val="auto"/>
              </w:rPr>
            </w:pPr>
            <w:r>
              <w:rPr>
                <w:rFonts w:ascii="Arial" w:cs="Arial" w:eastAsia="Arial" w:hAnsi="Arial"/>
                <w:sz w:val="20"/>
                <w:szCs w:val="20"/>
                <w:color w:val="auto"/>
              </w:rPr>
              <w:t>Item 7.</w:t>
            </w:r>
          </w:p>
        </w:tc>
        <w:tc>
          <w:tcPr>
            <w:tcW w:w="5440" w:type="dxa"/>
            <w:vAlign w:val="bottom"/>
            <w:shd w:val="clear" w:color="auto" w:fill="CCFFCC"/>
          </w:tcPr>
          <w:p>
            <w:pPr>
              <w:ind w:left="40"/>
              <w:spacing w:after="0"/>
              <w:rPr>
                <w:sz w:val="20"/>
                <w:szCs w:val="20"/>
                <w:color w:val="auto"/>
              </w:rPr>
            </w:pPr>
            <w:r>
              <w:rPr>
                <w:rFonts w:ascii="Arial" w:cs="Arial" w:eastAsia="Arial" w:hAnsi="Arial"/>
                <w:sz w:val="20"/>
                <w:szCs w:val="20"/>
                <w:color w:val="auto"/>
                <w:w w:val="91"/>
              </w:rPr>
              <w:t>Management's Discussion and Analysis of Financial Condition and</w:t>
            </w:r>
          </w:p>
        </w:tc>
        <w:tc>
          <w:tcPr>
            <w:tcW w:w="1320" w:type="dxa"/>
            <w:vAlign w:val="bottom"/>
            <w:vMerge w:val="restart"/>
            <w:shd w:val="clear" w:color="auto" w:fill="CCFFCC"/>
          </w:tcPr>
          <w:p>
            <w:pPr>
              <w:jc w:val="center"/>
              <w:spacing w:after="0"/>
              <w:rPr>
                <w:sz w:val="20"/>
                <w:szCs w:val="20"/>
                <w:color w:val="auto"/>
              </w:rPr>
            </w:pPr>
            <w:r>
              <w:rPr>
                <w:rFonts w:ascii="Arial" w:cs="Arial" w:eastAsia="Arial" w:hAnsi="Arial"/>
                <w:sz w:val="20"/>
                <w:szCs w:val="20"/>
                <w:color w:val="auto"/>
                <w:w w:val="80"/>
              </w:rPr>
              <w:t>32</w:t>
            </w:r>
          </w:p>
        </w:tc>
        <w:tc>
          <w:tcPr>
            <w:tcW w:w="0" w:type="dxa"/>
            <w:vAlign w:val="bottom"/>
          </w:tcPr>
          <w:p>
            <w:pPr>
              <w:spacing w:after="0"/>
              <w:rPr>
                <w:sz w:val="1"/>
                <w:szCs w:val="1"/>
                <w:color w:val="auto"/>
              </w:rPr>
            </w:pPr>
          </w:p>
        </w:tc>
      </w:tr>
      <w:tr>
        <w:trPr>
          <w:trHeight w:val="260"/>
        </w:trPr>
        <w:tc>
          <w:tcPr>
            <w:tcW w:w="1100" w:type="dxa"/>
            <w:vAlign w:val="bottom"/>
            <w:shd w:val="clear" w:color="auto" w:fill="CCFFCC"/>
          </w:tcPr>
          <w:p>
            <w:pPr>
              <w:spacing w:after="0"/>
              <w:rPr>
                <w:sz w:val="22"/>
                <w:szCs w:val="22"/>
                <w:color w:val="auto"/>
              </w:rPr>
            </w:pPr>
          </w:p>
        </w:tc>
        <w:tc>
          <w:tcPr>
            <w:tcW w:w="5440" w:type="dxa"/>
            <w:vAlign w:val="bottom"/>
            <w:shd w:val="clear" w:color="auto" w:fill="CCFFCC"/>
          </w:tcPr>
          <w:p>
            <w:pPr>
              <w:ind w:left="40"/>
              <w:spacing w:after="0"/>
              <w:rPr>
                <w:sz w:val="20"/>
                <w:szCs w:val="20"/>
                <w:color w:val="auto"/>
              </w:rPr>
            </w:pPr>
            <w:r>
              <w:rPr>
                <w:rFonts w:ascii="Arial" w:cs="Arial" w:eastAsia="Arial" w:hAnsi="Arial"/>
                <w:sz w:val="20"/>
                <w:szCs w:val="20"/>
                <w:color w:val="auto"/>
              </w:rPr>
              <w:t>Results of Operations</w:t>
            </w:r>
          </w:p>
        </w:tc>
        <w:tc>
          <w:tcPr>
            <w:tcW w:w="1320" w:type="dxa"/>
            <w:vAlign w:val="bottom"/>
            <w:vMerge w:val="continue"/>
            <w:shd w:val="clear" w:color="auto" w:fill="CCFFCC"/>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1100" w:type="dxa"/>
            <w:vAlign w:val="bottom"/>
          </w:tcPr>
          <w:p>
            <w:pPr>
              <w:spacing w:after="0"/>
              <w:rPr>
                <w:sz w:val="20"/>
                <w:szCs w:val="20"/>
                <w:color w:val="auto"/>
              </w:rPr>
            </w:pPr>
            <w:r>
              <w:rPr>
                <w:rFonts w:ascii="Arial" w:cs="Arial" w:eastAsia="Arial" w:hAnsi="Arial"/>
                <w:sz w:val="20"/>
                <w:szCs w:val="20"/>
                <w:color w:val="auto"/>
              </w:rPr>
              <w:t>Item 7A.</w:t>
            </w:r>
          </w:p>
        </w:tc>
        <w:tc>
          <w:tcPr>
            <w:tcW w:w="5440" w:type="dxa"/>
            <w:vAlign w:val="bottom"/>
          </w:tcPr>
          <w:p>
            <w:pPr>
              <w:ind w:left="40"/>
              <w:spacing w:after="0"/>
              <w:rPr>
                <w:sz w:val="20"/>
                <w:szCs w:val="20"/>
                <w:color w:val="auto"/>
              </w:rPr>
            </w:pPr>
            <w:r>
              <w:rPr>
                <w:rFonts w:ascii="Arial" w:cs="Arial" w:eastAsia="Arial" w:hAnsi="Arial"/>
                <w:sz w:val="20"/>
                <w:szCs w:val="20"/>
                <w:color w:val="auto"/>
              </w:rPr>
              <w:t>Quantitative and Qualitative Disclosures About Market Risk</w:t>
            </w:r>
          </w:p>
        </w:tc>
        <w:tc>
          <w:tcPr>
            <w:tcW w:w="1320" w:type="dxa"/>
            <w:vAlign w:val="bottom"/>
          </w:tcPr>
          <w:p>
            <w:pPr>
              <w:jc w:val="center"/>
              <w:spacing w:after="0"/>
              <w:rPr>
                <w:sz w:val="20"/>
                <w:szCs w:val="20"/>
                <w:color w:val="auto"/>
              </w:rPr>
            </w:pPr>
            <w:r>
              <w:rPr>
                <w:rFonts w:ascii="Arial" w:cs="Arial" w:eastAsia="Arial" w:hAnsi="Arial"/>
                <w:sz w:val="20"/>
                <w:szCs w:val="20"/>
                <w:color w:val="auto"/>
                <w:w w:val="80"/>
              </w:rPr>
              <w:t>32</w:t>
            </w:r>
          </w:p>
        </w:tc>
        <w:tc>
          <w:tcPr>
            <w:tcW w:w="0" w:type="dxa"/>
            <w:vAlign w:val="bottom"/>
          </w:tcPr>
          <w:p>
            <w:pPr>
              <w:spacing w:after="0"/>
              <w:rPr>
                <w:sz w:val="1"/>
                <w:szCs w:val="1"/>
                <w:color w:val="auto"/>
              </w:rPr>
            </w:pPr>
          </w:p>
        </w:tc>
      </w:tr>
      <w:tr>
        <w:trPr>
          <w:trHeight w:val="260"/>
        </w:trPr>
        <w:tc>
          <w:tcPr>
            <w:tcW w:w="1100" w:type="dxa"/>
            <w:vAlign w:val="bottom"/>
            <w:shd w:val="clear" w:color="auto" w:fill="CCFFCC"/>
          </w:tcPr>
          <w:p>
            <w:pPr>
              <w:spacing w:after="0"/>
              <w:rPr>
                <w:sz w:val="20"/>
                <w:szCs w:val="20"/>
                <w:color w:val="auto"/>
              </w:rPr>
            </w:pPr>
            <w:r>
              <w:rPr>
                <w:rFonts w:ascii="Arial" w:cs="Arial" w:eastAsia="Arial" w:hAnsi="Arial"/>
                <w:sz w:val="20"/>
                <w:szCs w:val="20"/>
                <w:color w:val="auto"/>
              </w:rPr>
              <w:t>Item 8.</w:t>
            </w:r>
          </w:p>
        </w:tc>
        <w:tc>
          <w:tcPr>
            <w:tcW w:w="5440" w:type="dxa"/>
            <w:vAlign w:val="bottom"/>
            <w:shd w:val="clear" w:color="auto" w:fill="CCFFCC"/>
          </w:tcPr>
          <w:p>
            <w:pPr>
              <w:ind w:left="40"/>
              <w:spacing w:after="0"/>
              <w:rPr>
                <w:sz w:val="20"/>
                <w:szCs w:val="20"/>
                <w:color w:val="auto"/>
              </w:rPr>
            </w:pPr>
            <w:r>
              <w:rPr>
                <w:rFonts w:ascii="Arial" w:cs="Arial" w:eastAsia="Arial" w:hAnsi="Arial"/>
                <w:sz w:val="20"/>
                <w:szCs w:val="20"/>
                <w:color w:val="auto"/>
              </w:rPr>
              <w:t>Financial Statements and Supplementary Data</w:t>
            </w:r>
          </w:p>
        </w:tc>
        <w:tc>
          <w:tcPr>
            <w:tcW w:w="1320" w:type="dxa"/>
            <w:vAlign w:val="bottom"/>
            <w:shd w:val="clear" w:color="auto" w:fill="CCFFCC"/>
          </w:tcPr>
          <w:p>
            <w:pPr>
              <w:jc w:val="center"/>
              <w:spacing w:after="0"/>
              <w:rPr>
                <w:sz w:val="20"/>
                <w:szCs w:val="20"/>
                <w:color w:val="auto"/>
              </w:rPr>
            </w:pPr>
            <w:r>
              <w:rPr>
                <w:rFonts w:ascii="Arial" w:cs="Arial" w:eastAsia="Arial" w:hAnsi="Arial"/>
                <w:sz w:val="20"/>
                <w:szCs w:val="20"/>
                <w:color w:val="auto"/>
                <w:w w:val="80"/>
              </w:rPr>
              <w:t>32</w:t>
            </w:r>
          </w:p>
        </w:tc>
        <w:tc>
          <w:tcPr>
            <w:tcW w:w="0" w:type="dxa"/>
            <w:vAlign w:val="bottom"/>
          </w:tcPr>
          <w:p>
            <w:pPr>
              <w:spacing w:after="0"/>
              <w:rPr>
                <w:sz w:val="1"/>
                <w:szCs w:val="1"/>
                <w:color w:val="auto"/>
              </w:rPr>
            </w:pPr>
          </w:p>
        </w:tc>
      </w:tr>
      <w:tr>
        <w:trPr>
          <w:trHeight w:val="226"/>
        </w:trPr>
        <w:tc>
          <w:tcPr>
            <w:tcW w:w="1100" w:type="dxa"/>
            <w:vAlign w:val="bottom"/>
          </w:tcPr>
          <w:p>
            <w:pPr>
              <w:spacing w:after="0" w:line="227" w:lineRule="exact"/>
              <w:rPr>
                <w:sz w:val="20"/>
                <w:szCs w:val="20"/>
                <w:color w:val="auto"/>
              </w:rPr>
            </w:pPr>
            <w:r>
              <w:rPr>
                <w:rFonts w:ascii="Arial" w:cs="Arial" w:eastAsia="Arial" w:hAnsi="Arial"/>
                <w:sz w:val="20"/>
                <w:szCs w:val="20"/>
                <w:color w:val="auto"/>
              </w:rPr>
              <w:t>Item 9.</w:t>
            </w:r>
          </w:p>
        </w:tc>
        <w:tc>
          <w:tcPr>
            <w:tcW w:w="5440" w:type="dxa"/>
            <w:vAlign w:val="bottom"/>
          </w:tcPr>
          <w:p>
            <w:pPr>
              <w:ind w:left="40"/>
              <w:spacing w:after="0" w:line="227" w:lineRule="exact"/>
              <w:rPr>
                <w:sz w:val="20"/>
                <w:szCs w:val="20"/>
                <w:color w:val="auto"/>
              </w:rPr>
            </w:pPr>
            <w:r>
              <w:rPr>
                <w:rFonts w:ascii="Arial" w:cs="Arial" w:eastAsia="Arial" w:hAnsi="Arial"/>
                <w:sz w:val="20"/>
                <w:szCs w:val="20"/>
                <w:color w:val="auto"/>
                <w:w w:val="94"/>
              </w:rPr>
              <w:t>Changes in and Disagreements with Accountants on Accounting</w:t>
            </w:r>
          </w:p>
        </w:tc>
        <w:tc>
          <w:tcPr>
            <w:tcW w:w="1320" w:type="dxa"/>
            <w:vAlign w:val="bottom"/>
            <w:vMerge w:val="restart"/>
          </w:tcPr>
          <w:p>
            <w:pPr>
              <w:jc w:val="center"/>
              <w:spacing w:after="0"/>
              <w:rPr>
                <w:sz w:val="20"/>
                <w:szCs w:val="20"/>
                <w:color w:val="auto"/>
              </w:rPr>
            </w:pPr>
            <w:r>
              <w:rPr>
                <w:rFonts w:ascii="Arial" w:cs="Arial" w:eastAsia="Arial" w:hAnsi="Arial"/>
                <w:sz w:val="20"/>
                <w:szCs w:val="20"/>
                <w:color w:val="auto"/>
                <w:w w:val="80"/>
              </w:rPr>
              <w:t>32</w:t>
            </w:r>
          </w:p>
        </w:tc>
        <w:tc>
          <w:tcPr>
            <w:tcW w:w="0" w:type="dxa"/>
            <w:vAlign w:val="bottom"/>
          </w:tcPr>
          <w:p>
            <w:pPr>
              <w:spacing w:after="0"/>
              <w:rPr>
                <w:sz w:val="1"/>
                <w:szCs w:val="1"/>
                <w:color w:val="auto"/>
              </w:rPr>
            </w:pPr>
          </w:p>
        </w:tc>
      </w:tr>
      <w:tr>
        <w:trPr>
          <w:trHeight w:val="255"/>
        </w:trPr>
        <w:tc>
          <w:tcPr>
            <w:tcW w:w="1100" w:type="dxa"/>
            <w:vAlign w:val="bottom"/>
          </w:tcPr>
          <w:p>
            <w:pPr>
              <w:spacing w:after="0"/>
              <w:rPr>
                <w:sz w:val="22"/>
                <w:szCs w:val="22"/>
                <w:color w:val="auto"/>
              </w:rPr>
            </w:pPr>
          </w:p>
        </w:tc>
        <w:tc>
          <w:tcPr>
            <w:tcW w:w="5440" w:type="dxa"/>
            <w:vAlign w:val="bottom"/>
          </w:tcPr>
          <w:p>
            <w:pPr>
              <w:ind w:left="40"/>
              <w:spacing w:after="0"/>
              <w:rPr>
                <w:sz w:val="20"/>
                <w:szCs w:val="20"/>
                <w:color w:val="auto"/>
              </w:rPr>
            </w:pPr>
            <w:r>
              <w:rPr>
                <w:rFonts w:ascii="Arial" w:cs="Arial" w:eastAsia="Arial" w:hAnsi="Arial"/>
                <w:sz w:val="20"/>
                <w:szCs w:val="20"/>
                <w:color w:val="auto"/>
              </w:rPr>
              <w:t>and Financial Disclosures</w:t>
            </w:r>
          </w:p>
        </w:tc>
        <w:tc>
          <w:tcPr>
            <w:tcW w:w="13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1100" w:type="dxa"/>
            <w:vAlign w:val="bottom"/>
            <w:shd w:val="clear" w:color="auto" w:fill="CCFFCC"/>
          </w:tcPr>
          <w:p>
            <w:pPr>
              <w:spacing w:after="0"/>
              <w:rPr>
                <w:sz w:val="20"/>
                <w:szCs w:val="20"/>
                <w:color w:val="auto"/>
              </w:rPr>
            </w:pPr>
            <w:r>
              <w:rPr>
                <w:rFonts w:ascii="Arial" w:cs="Arial" w:eastAsia="Arial" w:hAnsi="Arial"/>
                <w:sz w:val="20"/>
                <w:szCs w:val="20"/>
                <w:color w:val="auto"/>
              </w:rPr>
              <w:t>Item 9A.</w:t>
            </w:r>
          </w:p>
        </w:tc>
        <w:tc>
          <w:tcPr>
            <w:tcW w:w="5440" w:type="dxa"/>
            <w:vAlign w:val="bottom"/>
            <w:shd w:val="clear" w:color="auto" w:fill="CCFFCC"/>
          </w:tcPr>
          <w:p>
            <w:pPr>
              <w:ind w:left="40"/>
              <w:spacing w:after="0"/>
              <w:rPr>
                <w:sz w:val="20"/>
                <w:szCs w:val="20"/>
                <w:color w:val="auto"/>
              </w:rPr>
            </w:pPr>
            <w:r>
              <w:rPr>
                <w:rFonts w:ascii="Arial" w:cs="Arial" w:eastAsia="Arial" w:hAnsi="Arial"/>
                <w:sz w:val="20"/>
                <w:szCs w:val="20"/>
                <w:color w:val="auto"/>
              </w:rPr>
              <w:t>Controls and Procedures</w:t>
            </w:r>
          </w:p>
        </w:tc>
        <w:tc>
          <w:tcPr>
            <w:tcW w:w="1320" w:type="dxa"/>
            <w:vAlign w:val="bottom"/>
            <w:shd w:val="clear" w:color="auto" w:fill="CCFFCC"/>
          </w:tcPr>
          <w:p>
            <w:pPr>
              <w:jc w:val="center"/>
              <w:spacing w:after="0"/>
              <w:rPr>
                <w:sz w:val="20"/>
                <w:szCs w:val="20"/>
                <w:color w:val="auto"/>
              </w:rPr>
            </w:pPr>
            <w:r>
              <w:rPr>
                <w:rFonts w:ascii="Arial" w:cs="Arial" w:eastAsia="Arial" w:hAnsi="Arial"/>
                <w:sz w:val="20"/>
                <w:szCs w:val="20"/>
                <w:color w:val="auto"/>
                <w:w w:val="80"/>
              </w:rPr>
              <w:t>32</w:t>
            </w:r>
          </w:p>
        </w:tc>
        <w:tc>
          <w:tcPr>
            <w:tcW w:w="0" w:type="dxa"/>
            <w:vAlign w:val="bottom"/>
          </w:tcPr>
          <w:p>
            <w:pPr>
              <w:spacing w:after="0"/>
              <w:rPr>
                <w:sz w:val="1"/>
                <w:szCs w:val="1"/>
                <w:color w:val="auto"/>
              </w:rPr>
            </w:pPr>
          </w:p>
        </w:tc>
      </w:tr>
      <w:tr>
        <w:trPr>
          <w:trHeight w:val="495"/>
        </w:trPr>
        <w:tc>
          <w:tcPr>
            <w:tcW w:w="1100" w:type="dxa"/>
            <w:vAlign w:val="bottom"/>
          </w:tcPr>
          <w:p>
            <w:pPr>
              <w:spacing w:after="0"/>
              <w:rPr>
                <w:sz w:val="20"/>
                <w:szCs w:val="20"/>
                <w:color w:val="auto"/>
              </w:rPr>
            </w:pPr>
            <w:r>
              <w:rPr>
                <w:rFonts w:ascii="Arial" w:cs="Arial" w:eastAsia="Arial" w:hAnsi="Arial"/>
                <w:sz w:val="20"/>
                <w:szCs w:val="20"/>
                <w:b w:val="1"/>
                <w:bCs w:val="1"/>
                <w:color w:val="auto"/>
              </w:rPr>
              <w:t>PART III</w:t>
            </w:r>
          </w:p>
        </w:tc>
        <w:tc>
          <w:tcPr>
            <w:tcW w:w="54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1100" w:type="dxa"/>
            <w:vAlign w:val="bottom"/>
            <w:shd w:val="clear" w:color="auto" w:fill="CCFFCC"/>
          </w:tcPr>
          <w:p>
            <w:pPr>
              <w:spacing w:after="0"/>
              <w:rPr>
                <w:sz w:val="20"/>
                <w:szCs w:val="20"/>
                <w:color w:val="auto"/>
              </w:rPr>
            </w:pPr>
            <w:r>
              <w:rPr>
                <w:rFonts w:ascii="Arial" w:cs="Arial" w:eastAsia="Arial" w:hAnsi="Arial"/>
                <w:sz w:val="20"/>
                <w:szCs w:val="20"/>
                <w:color w:val="auto"/>
              </w:rPr>
              <w:t>Item 10.</w:t>
            </w:r>
          </w:p>
        </w:tc>
        <w:tc>
          <w:tcPr>
            <w:tcW w:w="5440" w:type="dxa"/>
            <w:vAlign w:val="bottom"/>
            <w:shd w:val="clear" w:color="auto" w:fill="CCFFCC"/>
          </w:tcPr>
          <w:p>
            <w:pPr>
              <w:ind w:left="40"/>
              <w:spacing w:after="0"/>
              <w:rPr>
                <w:sz w:val="20"/>
                <w:szCs w:val="20"/>
                <w:color w:val="auto"/>
              </w:rPr>
            </w:pPr>
            <w:r>
              <w:rPr>
                <w:rFonts w:ascii="Arial" w:cs="Arial" w:eastAsia="Arial" w:hAnsi="Arial"/>
                <w:sz w:val="20"/>
                <w:szCs w:val="20"/>
                <w:color w:val="auto"/>
              </w:rPr>
              <w:t>Directors, Executive Officers and Corporate Governance</w:t>
            </w:r>
          </w:p>
        </w:tc>
        <w:tc>
          <w:tcPr>
            <w:tcW w:w="1320" w:type="dxa"/>
            <w:vAlign w:val="bottom"/>
            <w:shd w:val="clear" w:color="auto" w:fill="CCFFCC"/>
          </w:tcPr>
          <w:p>
            <w:pPr>
              <w:jc w:val="center"/>
              <w:spacing w:after="0"/>
              <w:rPr>
                <w:sz w:val="20"/>
                <w:szCs w:val="20"/>
                <w:color w:val="auto"/>
              </w:rPr>
            </w:pPr>
            <w:r>
              <w:rPr>
                <w:rFonts w:ascii="Arial" w:cs="Arial" w:eastAsia="Arial" w:hAnsi="Arial"/>
                <w:sz w:val="20"/>
                <w:szCs w:val="20"/>
                <w:color w:val="auto"/>
                <w:w w:val="80"/>
              </w:rPr>
              <w:t>33</w:t>
            </w:r>
          </w:p>
        </w:tc>
        <w:tc>
          <w:tcPr>
            <w:tcW w:w="0" w:type="dxa"/>
            <w:vAlign w:val="bottom"/>
          </w:tcPr>
          <w:p>
            <w:pPr>
              <w:spacing w:after="0"/>
              <w:rPr>
                <w:sz w:val="1"/>
                <w:szCs w:val="1"/>
                <w:color w:val="auto"/>
              </w:rPr>
            </w:pPr>
          </w:p>
        </w:tc>
      </w:tr>
      <w:tr>
        <w:trPr>
          <w:trHeight w:val="254"/>
        </w:trPr>
        <w:tc>
          <w:tcPr>
            <w:tcW w:w="1100" w:type="dxa"/>
            <w:vAlign w:val="bottom"/>
          </w:tcPr>
          <w:p>
            <w:pPr>
              <w:spacing w:after="0"/>
              <w:rPr>
                <w:sz w:val="20"/>
                <w:szCs w:val="20"/>
                <w:color w:val="auto"/>
              </w:rPr>
            </w:pPr>
            <w:r>
              <w:rPr>
                <w:rFonts w:ascii="Arial" w:cs="Arial" w:eastAsia="Arial" w:hAnsi="Arial"/>
                <w:sz w:val="20"/>
                <w:szCs w:val="20"/>
                <w:color w:val="auto"/>
              </w:rPr>
              <w:t>Item 11.</w:t>
            </w:r>
          </w:p>
        </w:tc>
        <w:tc>
          <w:tcPr>
            <w:tcW w:w="5440" w:type="dxa"/>
            <w:vAlign w:val="bottom"/>
          </w:tcPr>
          <w:p>
            <w:pPr>
              <w:ind w:left="40"/>
              <w:spacing w:after="0"/>
              <w:rPr>
                <w:sz w:val="20"/>
                <w:szCs w:val="20"/>
                <w:color w:val="auto"/>
              </w:rPr>
            </w:pPr>
            <w:r>
              <w:rPr>
                <w:rFonts w:ascii="Arial" w:cs="Arial" w:eastAsia="Arial" w:hAnsi="Arial"/>
                <w:sz w:val="20"/>
                <w:szCs w:val="20"/>
                <w:color w:val="auto"/>
              </w:rPr>
              <w:t>Executive Compensation</w:t>
            </w:r>
          </w:p>
        </w:tc>
        <w:tc>
          <w:tcPr>
            <w:tcW w:w="1320" w:type="dxa"/>
            <w:vAlign w:val="bottom"/>
          </w:tcPr>
          <w:p>
            <w:pPr>
              <w:jc w:val="center"/>
              <w:spacing w:after="0"/>
              <w:rPr>
                <w:sz w:val="20"/>
                <w:szCs w:val="20"/>
                <w:color w:val="auto"/>
              </w:rPr>
            </w:pPr>
            <w:r>
              <w:rPr>
                <w:rFonts w:ascii="Arial" w:cs="Arial" w:eastAsia="Arial" w:hAnsi="Arial"/>
                <w:sz w:val="20"/>
                <w:szCs w:val="20"/>
                <w:color w:val="auto"/>
                <w:w w:val="80"/>
              </w:rPr>
              <w:t>33</w:t>
            </w:r>
          </w:p>
        </w:tc>
        <w:tc>
          <w:tcPr>
            <w:tcW w:w="0" w:type="dxa"/>
            <w:vAlign w:val="bottom"/>
          </w:tcPr>
          <w:p>
            <w:pPr>
              <w:spacing w:after="0"/>
              <w:rPr>
                <w:sz w:val="1"/>
                <w:szCs w:val="1"/>
                <w:color w:val="auto"/>
              </w:rPr>
            </w:pPr>
          </w:p>
        </w:tc>
      </w:tr>
      <w:tr>
        <w:trPr>
          <w:trHeight w:val="229"/>
        </w:trPr>
        <w:tc>
          <w:tcPr>
            <w:tcW w:w="1100" w:type="dxa"/>
            <w:vAlign w:val="bottom"/>
            <w:shd w:val="clear" w:color="auto" w:fill="CCFFCC"/>
          </w:tcPr>
          <w:p>
            <w:pPr>
              <w:spacing w:after="0"/>
              <w:rPr>
                <w:sz w:val="20"/>
                <w:szCs w:val="20"/>
                <w:color w:val="auto"/>
              </w:rPr>
            </w:pPr>
            <w:r>
              <w:rPr>
                <w:rFonts w:ascii="Arial" w:cs="Arial" w:eastAsia="Arial" w:hAnsi="Arial"/>
                <w:sz w:val="20"/>
                <w:szCs w:val="20"/>
                <w:color w:val="auto"/>
              </w:rPr>
              <w:t>Item 12.</w:t>
            </w:r>
          </w:p>
        </w:tc>
        <w:tc>
          <w:tcPr>
            <w:tcW w:w="5440" w:type="dxa"/>
            <w:vAlign w:val="bottom"/>
            <w:shd w:val="clear" w:color="auto" w:fill="CCFFCC"/>
          </w:tcPr>
          <w:p>
            <w:pPr>
              <w:ind w:left="40"/>
              <w:spacing w:after="0"/>
              <w:rPr>
                <w:sz w:val="20"/>
                <w:szCs w:val="20"/>
                <w:color w:val="auto"/>
              </w:rPr>
            </w:pPr>
            <w:r>
              <w:rPr>
                <w:rFonts w:ascii="Arial" w:cs="Arial" w:eastAsia="Arial" w:hAnsi="Arial"/>
                <w:sz w:val="20"/>
                <w:szCs w:val="20"/>
                <w:color w:val="auto"/>
                <w:w w:val="90"/>
              </w:rPr>
              <w:t>Security Ownership of Certain Beneficial Owners and Management</w:t>
            </w:r>
          </w:p>
        </w:tc>
        <w:tc>
          <w:tcPr>
            <w:tcW w:w="1320" w:type="dxa"/>
            <w:vAlign w:val="bottom"/>
            <w:vMerge w:val="restart"/>
            <w:shd w:val="clear" w:color="auto" w:fill="CCFFCC"/>
          </w:tcPr>
          <w:p>
            <w:pPr>
              <w:jc w:val="center"/>
              <w:spacing w:after="0"/>
              <w:rPr>
                <w:sz w:val="20"/>
                <w:szCs w:val="20"/>
                <w:color w:val="auto"/>
              </w:rPr>
            </w:pPr>
            <w:r>
              <w:rPr>
                <w:rFonts w:ascii="Arial" w:cs="Arial" w:eastAsia="Arial" w:hAnsi="Arial"/>
                <w:sz w:val="20"/>
                <w:szCs w:val="20"/>
                <w:color w:val="auto"/>
                <w:w w:val="80"/>
              </w:rPr>
              <w:t>34</w:t>
            </w:r>
          </w:p>
        </w:tc>
        <w:tc>
          <w:tcPr>
            <w:tcW w:w="0" w:type="dxa"/>
            <w:vAlign w:val="bottom"/>
          </w:tcPr>
          <w:p>
            <w:pPr>
              <w:spacing w:after="0"/>
              <w:rPr>
                <w:sz w:val="1"/>
                <w:szCs w:val="1"/>
                <w:color w:val="auto"/>
              </w:rPr>
            </w:pPr>
          </w:p>
        </w:tc>
      </w:tr>
      <w:tr>
        <w:trPr>
          <w:trHeight w:val="260"/>
        </w:trPr>
        <w:tc>
          <w:tcPr>
            <w:tcW w:w="1100" w:type="dxa"/>
            <w:vAlign w:val="bottom"/>
            <w:shd w:val="clear" w:color="auto" w:fill="CCFFCC"/>
          </w:tcPr>
          <w:p>
            <w:pPr>
              <w:spacing w:after="0"/>
              <w:rPr>
                <w:sz w:val="22"/>
                <w:szCs w:val="22"/>
                <w:color w:val="auto"/>
              </w:rPr>
            </w:pPr>
          </w:p>
        </w:tc>
        <w:tc>
          <w:tcPr>
            <w:tcW w:w="5440" w:type="dxa"/>
            <w:vAlign w:val="bottom"/>
            <w:shd w:val="clear" w:color="auto" w:fill="CCFFCC"/>
          </w:tcPr>
          <w:p>
            <w:pPr>
              <w:ind w:left="40"/>
              <w:spacing w:after="0"/>
              <w:rPr>
                <w:sz w:val="20"/>
                <w:szCs w:val="20"/>
                <w:color w:val="auto"/>
              </w:rPr>
            </w:pPr>
            <w:r>
              <w:rPr>
                <w:rFonts w:ascii="Arial" w:cs="Arial" w:eastAsia="Arial" w:hAnsi="Arial"/>
                <w:sz w:val="20"/>
                <w:szCs w:val="20"/>
                <w:color w:val="auto"/>
              </w:rPr>
              <w:t>and Related Stockholder Matters</w:t>
            </w:r>
          </w:p>
        </w:tc>
        <w:tc>
          <w:tcPr>
            <w:tcW w:w="1320" w:type="dxa"/>
            <w:vAlign w:val="bottom"/>
            <w:vMerge w:val="continue"/>
            <w:shd w:val="clear" w:color="auto" w:fill="CCFFCC"/>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1100" w:type="dxa"/>
            <w:vAlign w:val="bottom"/>
          </w:tcPr>
          <w:p>
            <w:pPr>
              <w:spacing w:after="0" w:line="227" w:lineRule="exact"/>
              <w:rPr>
                <w:sz w:val="20"/>
                <w:szCs w:val="20"/>
                <w:color w:val="auto"/>
              </w:rPr>
            </w:pPr>
            <w:r>
              <w:rPr>
                <w:rFonts w:ascii="Arial" w:cs="Arial" w:eastAsia="Arial" w:hAnsi="Arial"/>
                <w:sz w:val="20"/>
                <w:szCs w:val="20"/>
                <w:color w:val="auto"/>
              </w:rPr>
              <w:t>Item 13.</w:t>
            </w:r>
          </w:p>
        </w:tc>
        <w:tc>
          <w:tcPr>
            <w:tcW w:w="5440" w:type="dxa"/>
            <w:vAlign w:val="bottom"/>
          </w:tcPr>
          <w:p>
            <w:pPr>
              <w:ind w:left="40"/>
              <w:spacing w:after="0" w:line="227" w:lineRule="exact"/>
              <w:rPr>
                <w:sz w:val="20"/>
                <w:szCs w:val="20"/>
                <w:color w:val="auto"/>
              </w:rPr>
            </w:pPr>
            <w:r>
              <w:rPr>
                <w:rFonts w:ascii="Arial" w:cs="Arial" w:eastAsia="Arial" w:hAnsi="Arial"/>
                <w:sz w:val="20"/>
                <w:szCs w:val="20"/>
                <w:color w:val="auto"/>
                <w:w w:val="98"/>
              </w:rPr>
              <w:t>Certain Relationships and Related Transactions, and Director</w:t>
            </w:r>
          </w:p>
        </w:tc>
        <w:tc>
          <w:tcPr>
            <w:tcW w:w="1320" w:type="dxa"/>
            <w:vAlign w:val="bottom"/>
            <w:vMerge w:val="restart"/>
          </w:tcPr>
          <w:p>
            <w:pPr>
              <w:jc w:val="center"/>
              <w:spacing w:after="0"/>
              <w:rPr>
                <w:sz w:val="20"/>
                <w:szCs w:val="20"/>
                <w:color w:val="auto"/>
              </w:rPr>
            </w:pPr>
            <w:r>
              <w:rPr>
                <w:rFonts w:ascii="Arial" w:cs="Arial" w:eastAsia="Arial" w:hAnsi="Arial"/>
                <w:sz w:val="20"/>
                <w:szCs w:val="20"/>
                <w:color w:val="auto"/>
                <w:w w:val="80"/>
              </w:rPr>
              <w:t>34</w:t>
            </w:r>
          </w:p>
        </w:tc>
        <w:tc>
          <w:tcPr>
            <w:tcW w:w="0" w:type="dxa"/>
            <w:vAlign w:val="bottom"/>
          </w:tcPr>
          <w:p>
            <w:pPr>
              <w:spacing w:after="0"/>
              <w:rPr>
                <w:sz w:val="1"/>
                <w:szCs w:val="1"/>
                <w:color w:val="auto"/>
              </w:rPr>
            </w:pPr>
          </w:p>
        </w:tc>
      </w:tr>
      <w:tr>
        <w:trPr>
          <w:trHeight w:val="255"/>
        </w:trPr>
        <w:tc>
          <w:tcPr>
            <w:tcW w:w="1100" w:type="dxa"/>
            <w:vAlign w:val="bottom"/>
          </w:tcPr>
          <w:p>
            <w:pPr>
              <w:spacing w:after="0"/>
              <w:rPr>
                <w:sz w:val="22"/>
                <w:szCs w:val="22"/>
                <w:color w:val="auto"/>
              </w:rPr>
            </w:pPr>
          </w:p>
        </w:tc>
        <w:tc>
          <w:tcPr>
            <w:tcW w:w="5440" w:type="dxa"/>
            <w:vAlign w:val="bottom"/>
          </w:tcPr>
          <w:p>
            <w:pPr>
              <w:ind w:left="40"/>
              <w:spacing w:after="0"/>
              <w:rPr>
                <w:sz w:val="20"/>
                <w:szCs w:val="20"/>
                <w:color w:val="auto"/>
              </w:rPr>
            </w:pPr>
            <w:r>
              <w:rPr>
                <w:rFonts w:ascii="Arial" w:cs="Arial" w:eastAsia="Arial" w:hAnsi="Arial"/>
                <w:sz w:val="20"/>
                <w:szCs w:val="20"/>
                <w:color w:val="auto"/>
              </w:rPr>
              <w:t>Independence</w:t>
            </w:r>
          </w:p>
        </w:tc>
        <w:tc>
          <w:tcPr>
            <w:tcW w:w="13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1100" w:type="dxa"/>
            <w:vAlign w:val="bottom"/>
            <w:shd w:val="clear" w:color="auto" w:fill="CCFFCC"/>
          </w:tcPr>
          <w:p>
            <w:pPr>
              <w:spacing w:after="0"/>
              <w:rPr>
                <w:sz w:val="20"/>
                <w:szCs w:val="20"/>
                <w:color w:val="auto"/>
              </w:rPr>
            </w:pPr>
            <w:r>
              <w:rPr>
                <w:rFonts w:ascii="Arial" w:cs="Arial" w:eastAsia="Arial" w:hAnsi="Arial"/>
                <w:sz w:val="20"/>
                <w:szCs w:val="20"/>
                <w:color w:val="auto"/>
              </w:rPr>
              <w:t>Item 14.</w:t>
            </w:r>
          </w:p>
        </w:tc>
        <w:tc>
          <w:tcPr>
            <w:tcW w:w="5440" w:type="dxa"/>
            <w:vAlign w:val="bottom"/>
            <w:shd w:val="clear" w:color="auto" w:fill="CCFFCC"/>
          </w:tcPr>
          <w:p>
            <w:pPr>
              <w:ind w:left="40"/>
              <w:spacing w:after="0"/>
              <w:rPr>
                <w:sz w:val="20"/>
                <w:szCs w:val="20"/>
                <w:color w:val="auto"/>
              </w:rPr>
            </w:pPr>
            <w:r>
              <w:rPr>
                <w:rFonts w:ascii="Arial" w:cs="Arial" w:eastAsia="Arial" w:hAnsi="Arial"/>
                <w:sz w:val="20"/>
                <w:szCs w:val="20"/>
                <w:color w:val="auto"/>
              </w:rPr>
              <w:t>Principal Accountant Fees and Services</w:t>
            </w:r>
          </w:p>
        </w:tc>
        <w:tc>
          <w:tcPr>
            <w:tcW w:w="1320" w:type="dxa"/>
            <w:vAlign w:val="bottom"/>
            <w:shd w:val="clear" w:color="auto" w:fill="CCFFCC"/>
          </w:tcPr>
          <w:p>
            <w:pPr>
              <w:jc w:val="center"/>
              <w:spacing w:after="0"/>
              <w:rPr>
                <w:sz w:val="20"/>
                <w:szCs w:val="20"/>
                <w:color w:val="auto"/>
              </w:rPr>
            </w:pPr>
            <w:r>
              <w:rPr>
                <w:rFonts w:ascii="Arial" w:cs="Arial" w:eastAsia="Arial" w:hAnsi="Arial"/>
                <w:sz w:val="20"/>
                <w:szCs w:val="20"/>
                <w:color w:val="auto"/>
                <w:w w:val="80"/>
              </w:rPr>
              <w:t>34</w:t>
            </w:r>
          </w:p>
        </w:tc>
        <w:tc>
          <w:tcPr>
            <w:tcW w:w="0" w:type="dxa"/>
            <w:vAlign w:val="bottom"/>
          </w:tcPr>
          <w:p>
            <w:pPr>
              <w:spacing w:after="0"/>
              <w:rPr>
                <w:sz w:val="1"/>
                <w:szCs w:val="1"/>
                <w:color w:val="auto"/>
              </w:rPr>
            </w:pPr>
          </w:p>
        </w:tc>
      </w:tr>
      <w:tr>
        <w:trPr>
          <w:trHeight w:val="495"/>
        </w:trPr>
        <w:tc>
          <w:tcPr>
            <w:tcW w:w="1100" w:type="dxa"/>
            <w:vAlign w:val="bottom"/>
          </w:tcPr>
          <w:p>
            <w:pPr>
              <w:spacing w:after="0"/>
              <w:rPr>
                <w:sz w:val="20"/>
                <w:szCs w:val="20"/>
                <w:color w:val="auto"/>
              </w:rPr>
            </w:pPr>
            <w:r>
              <w:rPr>
                <w:rFonts w:ascii="Arial" w:cs="Arial" w:eastAsia="Arial" w:hAnsi="Arial"/>
                <w:sz w:val="20"/>
                <w:szCs w:val="20"/>
                <w:b w:val="1"/>
                <w:bCs w:val="1"/>
                <w:color w:val="auto"/>
              </w:rPr>
              <w:t>PART IV</w:t>
            </w:r>
          </w:p>
        </w:tc>
        <w:tc>
          <w:tcPr>
            <w:tcW w:w="54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1100" w:type="dxa"/>
            <w:vAlign w:val="bottom"/>
            <w:shd w:val="clear" w:color="auto" w:fill="CCFFCC"/>
          </w:tcPr>
          <w:p>
            <w:pPr>
              <w:spacing w:after="0"/>
              <w:rPr>
                <w:sz w:val="20"/>
                <w:szCs w:val="20"/>
                <w:color w:val="auto"/>
              </w:rPr>
            </w:pPr>
            <w:r>
              <w:rPr>
                <w:rFonts w:ascii="Arial" w:cs="Arial" w:eastAsia="Arial" w:hAnsi="Arial"/>
                <w:sz w:val="20"/>
                <w:szCs w:val="20"/>
                <w:color w:val="auto"/>
              </w:rPr>
              <w:t>Item 15.</w:t>
            </w:r>
          </w:p>
        </w:tc>
        <w:tc>
          <w:tcPr>
            <w:tcW w:w="5440" w:type="dxa"/>
            <w:vAlign w:val="bottom"/>
            <w:shd w:val="clear" w:color="auto" w:fill="CCFFCC"/>
          </w:tcPr>
          <w:p>
            <w:pPr>
              <w:ind w:left="40"/>
              <w:spacing w:after="0"/>
              <w:rPr>
                <w:sz w:val="20"/>
                <w:szCs w:val="20"/>
                <w:color w:val="auto"/>
              </w:rPr>
            </w:pPr>
            <w:r>
              <w:rPr>
                <w:rFonts w:ascii="Arial" w:cs="Arial" w:eastAsia="Arial" w:hAnsi="Arial"/>
                <w:sz w:val="20"/>
                <w:szCs w:val="20"/>
                <w:color w:val="auto"/>
              </w:rPr>
              <w:t>Exhibits and Financial Statement Schedules</w:t>
            </w:r>
          </w:p>
        </w:tc>
        <w:tc>
          <w:tcPr>
            <w:tcW w:w="1320" w:type="dxa"/>
            <w:vAlign w:val="bottom"/>
            <w:shd w:val="clear" w:color="auto" w:fill="CCFFCC"/>
          </w:tcPr>
          <w:p>
            <w:pPr>
              <w:jc w:val="center"/>
              <w:spacing w:after="0"/>
              <w:rPr>
                <w:sz w:val="20"/>
                <w:szCs w:val="20"/>
                <w:color w:val="auto"/>
              </w:rPr>
            </w:pPr>
            <w:r>
              <w:rPr>
                <w:rFonts w:ascii="Arial" w:cs="Arial" w:eastAsia="Arial" w:hAnsi="Arial"/>
                <w:sz w:val="20"/>
                <w:szCs w:val="20"/>
                <w:color w:val="auto"/>
                <w:w w:val="80"/>
              </w:rPr>
              <w:t>35</w:t>
            </w:r>
          </w:p>
        </w:tc>
        <w:tc>
          <w:tcPr>
            <w:tcW w:w="0" w:type="dxa"/>
            <w:vAlign w:val="bottom"/>
          </w:tcPr>
          <w:p>
            <w:pPr>
              <w:spacing w:after="0"/>
              <w:rPr>
                <w:sz w:val="1"/>
                <w:szCs w:val="1"/>
                <w:color w:val="auto"/>
              </w:rPr>
            </w:pPr>
          </w:p>
        </w:tc>
      </w:tr>
      <w:tr>
        <w:trPr>
          <w:trHeight w:val="469"/>
        </w:trPr>
        <w:tc>
          <w:tcPr>
            <w:tcW w:w="6540" w:type="dxa"/>
            <w:vAlign w:val="bottom"/>
            <w:gridSpan w:val="2"/>
          </w:tcPr>
          <w:p>
            <w:pPr>
              <w:spacing w:after="0"/>
              <w:rPr>
                <w:sz w:val="20"/>
                <w:szCs w:val="20"/>
                <w:color w:val="auto"/>
              </w:rPr>
            </w:pPr>
            <w:r>
              <w:rPr>
                <w:rFonts w:ascii="Arial" w:cs="Arial" w:eastAsia="Arial" w:hAnsi="Arial"/>
                <w:sz w:val="20"/>
                <w:szCs w:val="20"/>
                <w:color w:val="auto"/>
                <w:w w:val="99"/>
              </w:rPr>
              <w:t>Consent of Independent Registered Public Accounting Firm and Report on</w:t>
            </w:r>
          </w:p>
        </w:tc>
        <w:tc>
          <w:tcPr>
            <w:tcW w:w="1320" w:type="dxa"/>
            <w:vAlign w:val="bottom"/>
          </w:tcPr>
          <w:p>
            <w:pPr>
              <w:jc w:val="center"/>
              <w:spacing w:after="0"/>
              <w:rPr>
                <w:sz w:val="20"/>
                <w:szCs w:val="20"/>
                <w:color w:val="auto"/>
              </w:rPr>
            </w:pPr>
            <w:r>
              <w:rPr>
                <w:rFonts w:ascii="Arial" w:cs="Arial" w:eastAsia="Arial" w:hAnsi="Arial"/>
                <w:sz w:val="20"/>
                <w:szCs w:val="20"/>
                <w:color w:val="auto"/>
                <w:w w:val="80"/>
              </w:rPr>
              <w:t>36</w:t>
            </w:r>
          </w:p>
        </w:tc>
        <w:tc>
          <w:tcPr>
            <w:tcW w:w="0" w:type="dxa"/>
            <w:vAlign w:val="bottom"/>
          </w:tcPr>
          <w:p>
            <w:pPr>
              <w:spacing w:after="0"/>
              <w:rPr>
                <w:sz w:val="1"/>
                <w:szCs w:val="1"/>
                <w:color w:val="auto"/>
              </w:rPr>
            </w:pPr>
          </w:p>
        </w:tc>
      </w:tr>
      <w:tr>
        <w:trPr>
          <w:trHeight w:val="250"/>
        </w:trPr>
        <w:tc>
          <w:tcPr>
            <w:tcW w:w="1100" w:type="dxa"/>
            <w:vAlign w:val="bottom"/>
          </w:tcPr>
          <w:p>
            <w:pPr>
              <w:spacing w:after="0"/>
              <w:rPr>
                <w:sz w:val="20"/>
                <w:szCs w:val="20"/>
                <w:color w:val="auto"/>
              </w:rPr>
            </w:pPr>
            <w:r>
              <w:rPr>
                <w:rFonts w:ascii="Arial" w:cs="Arial" w:eastAsia="Arial" w:hAnsi="Arial"/>
                <w:sz w:val="20"/>
                <w:szCs w:val="20"/>
                <w:color w:val="auto"/>
              </w:rPr>
              <w:t>Schedule</w:t>
            </w:r>
          </w:p>
        </w:tc>
        <w:tc>
          <w:tcPr>
            <w:tcW w:w="54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6540" w:type="dxa"/>
            <w:vAlign w:val="bottom"/>
            <w:gridSpan w:val="2"/>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540" w:type="dxa"/>
            <w:vAlign w:val="bottom"/>
            <w:gridSpan w:val="2"/>
            <w:shd w:val="clear" w:color="auto" w:fill="CCFFCC"/>
          </w:tcPr>
          <w:p>
            <w:pPr>
              <w:spacing w:after="0"/>
              <w:rPr>
                <w:sz w:val="20"/>
                <w:szCs w:val="20"/>
                <w:color w:val="auto"/>
              </w:rPr>
            </w:pPr>
            <w:r>
              <w:rPr>
                <w:rFonts w:ascii="Arial" w:cs="Arial" w:eastAsia="Arial" w:hAnsi="Arial"/>
                <w:sz w:val="20"/>
                <w:szCs w:val="20"/>
                <w:color w:val="auto"/>
              </w:rPr>
              <w:t>Schedule I - Condensed Financial Information of Parent</w:t>
            </w:r>
          </w:p>
        </w:tc>
        <w:tc>
          <w:tcPr>
            <w:tcW w:w="1320" w:type="dxa"/>
            <w:vAlign w:val="bottom"/>
            <w:shd w:val="clear" w:color="auto" w:fill="CCFFCC"/>
          </w:tcPr>
          <w:p>
            <w:pPr>
              <w:jc w:val="center"/>
              <w:spacing w:after="0"/>
              <w:rPr>
                <w:sz w:val="20"/>
                <w:szCs w:val="20"/>
                <w:color w:val="auto"/>
              </w:rPr>
            </w:pPr>
            <w:r>
              <w:rPr>
                <w:rFonts w:ascii="Arial" w:cs="Arial" w:eastAsia="Arial" w:hAnsi="Arial"/>
                <w:sz w:val="20"/>
                <w:szCs w:val="20"/>
                <w:color w:val="auto"/>
                <w:w w:val="80"/>
              </w:rPr>
              <w:t>37</w:t>
            </w:r>
          </w:p>
        </w:tc>
        <w:tc>
          <w:tcPr>
            <w:tcW w:w="0" w:type="dxa"/>
            <w:vAlign w:val="bottom"/>
          </w:tcPr>
          <w:p>
            <w:pPr>
              <w:spacing w:after="0"/>
              <w:rPr>
                <w:sz w:val="1"/>
                <w:szCs w:val="1"/>
                <w:color w:val="auto"/>
              </w:rPr>
            </w:pPr>
          </w:p>
        </w:tc>
      </w:tr>
      <w:tr>
        <w:trPr>
          <w:trHeight w:val="490"/>
        </w:trPr>
        <w:tc>
          <w:tcPr>
            <w:tcW w:w="1100" w:type="dxa"/>
            <w:vAlign w:val="bottom"/>
          </w:tcPr>
          <w:p>
            <w:pPr>
              <w:spacing w:after="0"/>
              <w:rPr>
                <w:sz w:val="20"/>
                <w:szCs w:val="20"/>
                <w:color w:val="auto"/>
              </w:rPr>
            </w:pPr>
            <w:r>
              <w:rPr>
                <w:rFonts w:ascii="Arial" w:cs="Arial" w:eastAsia="Arial" w:hAnsi="Arial"/>
                <w:sz w:val="20"/>
                <w:szCs w:val="20"/>
                <w:color w:val="auto"/>
              </w:rPr>
              <w:t>Signatures</w:t>
            </w:r>
          </w:p>
        </w:tc>
        <w:tc>
          <w:tcPr>
            <w:tcW w:w="544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20"/>
                <w:szCs w:val="20"/>
                <w:color w:val="auto"/>
                <w:w w:val="80"/>
              </w:rPr>
              <w:t>41</w:t>
            </w:r>
          </w:p>
        </w:tc>
        <w:tc>
          <w:tcPr>
            <w:tcW w:w="0" w:type="dxa"/>
            <w:vAlign w:val="bottom"/>
          </w:tcPr>
          <w:p>
            <w:pPr>
              <w:spacing w:after="0"/>
              <w:rPr>
                <w:sz w:val="1"/>
                <w:szCs w:val="1"/>
                <w:color w:val="auto"/>
              </w:rPr>
            </w:pPr>
          </w:p>
        </w:tc>
      </w:tr>
      <w:tr>
        <w:trPr>
          <w:trHeight w:val="253"/>
        </w:trPr>
        <w:tc>
          <w:tcPr>
            <w:tcW w:w="1100" w:type="dxa"/>
            <w:vAlign w:val="bottom"/>
          </w:tcPr>
          <w:p>
            <w:pPr>
              <w:spacing w:after="0"/>
              <w:rPr>
                <w:sz w:val="21"/>
                <w:szCs w:val="21"/>
                <w:color w:val="auto"/>
              </w:rPr>
            </w:pPr>
          </w:p>
        </w:tc>
        <w:tc>
          <w:tcPr>
            <w:tcW w:w="54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1100" w:type="dxa"/>
            <w:vAlign w:val="bottom"/>
            <w:shd w:val="clear" w:color="auto" w:fill="CCFFCC"/>
          </w:tcPr>
          <w:p>
            <w:pPr>
              <w:spacing w:after="0"/>
              <w:rPr>
                <w:sz w:val="20"/>
                <w:szCs w:val="20"/>
                <w:color w:val="auto"/>
              </w:rPr>
            </w:pPr>
            <w:r>
              <w:rPr>
                <w:rFonts w:ascii="Arial" w:cs="Arial" w:eastAsia="Arial" w:hAnsi="Arial"/>
                <w:sz w:val="20"/>
                <w:szCs w:val="20"/>
                <w:color w:val="auto"/>
                <w:w w:val="94"/>
              </w:rPr>
              <w:t>Exhibit Index</w:t>
            </w:r>
          </w:p>
        </w:tc>
        <w:tc>
          <w:tcPr>
            <w:tcW w:w="5440" w:type="dxa"/>
            <w:vAlign w:val="bottom"/>
            <w:shd w:val="clear" w:color="auto" w:fill="CCFFCC"/>
          </w:tcPr>
          <w:p>
            <w:pPr>
              <w:spacing w:after="0"/>
              <w:rPr>
                <w:sz w:val="22"/>
                <w:szCs w:val="22"/>
                <w:color w:val="auto"/>
              </w:rPr>
            </w:pPr>
          </w:p>
        </w:tc>
        <w:tc>
          <w:tcPr>
            <w:tcW w:w="1320" w:type="dxa"/>
            <w:vAlign w:val="bottom"/>
            <w:shd w:val="clear" w:color="auto" w:fill="CCFFCC"/>
          </w:tcPr>
          <w:p>
            <w:pPr>
              <w:jc w:val="center"/>
              <w:spacing w:after="0"/>
              <w:rPr>
                <w:sz w:val="20"/>
                <w:szCs w:val="20"/>
                <w:color w:val="auto"/>
              </w:rPr>
            </w:pPr>
            <w:r>
              <w:rPr>
                <w:rFonts w:ascii="Arial" w:cs="Arial" w:eastAsia="Arial" w:hAnsi="Arial"/>
                <w:sz w:val="20"/>
                <w:szCs w:val="20"/>
                <w:color w:val="auto"/>
                <w:w w:val="80"/>
              </w:rPr>
              <w:t>42</w:t>
            </w:r>
          </w:p>
        </w:tc>
        <w:tc>
          <w:tcPr>
            <w:tcW w:w="0" w:type="dxa"/>
            <w:vAlign w:val="bottom"/>
          </w:tcPr>
          <w:p>
            <w:pPr>
              <w:spacing w:after="0"/>
              <w:rPr>
                <w:sz w:val="1"/>
                <w:szCs w:val="1"/>
                <w:color w:val="auto"/>
              </w:rPr>
            </w:pPr>
          </w:p>
        </w:tc>
      </w:tr>
      <w:tr>
        <w:trPr>
          <w:trHeight w:val="495"/>
        </w:trPr>
        <w:tc>
          <w:tcPr>
            <w:tcW w:w="110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Glossary</w:t>
            </w:r>
          </w:p>
        </w:tc>
        <w:tc>
          <w:tcPr>
            <w:tcW w:w="54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80"/>
              </w:rPr>
              <w:t>48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0219"/>
          </w:cols>
          <w:pgMar w:left="240" w:top="643" w:right="1440"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20"/>
          <w:szCs w:val="20"/>
          <w:color w:val="auto"/>
        </w:rPr>
        <w:t>INFORMATION REGARDING FORWARD-LOOKING STATEMENTS</w:t>
      </w:r>
    </w:p>
    <w:p>
      <w:pPr>
        <w:spacing w:after="0" w:line="243"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This Annual Report contains statements that are not historical fact and constitute forward-looking statements within the meaning of the Private Securities Litigation Reform Act of 1995. The words "estimates," "believes," "expects," "anticipates," "plans," "intends," "may," "could," "would" and "should" or similar expressions, or discussions of strategy or of plans are intended to identify forward-looking statements. Forward-looking statements are not guarantees of performance. They involve risks, uncertainties and assumptions. Future results may differ materially from those expressed in these forward-looking statements.</w:t>
      </w:r>
    </w:p>
    <w:p>
      <w:pPr>
        <w:spacing w:after="0" w:line="222" w:lineRule="exact"/>
        <w:rPr>
          <w:sz w:val="20"/>
          <w:szCs w:val="20"/>
          <w:color w:val="auto"/>
        </w:rPr>
      </w:pPr>
    </w:p>
    <w:p>
      <w:pPr>
        <w:ind w:right="40"/>
        <w:spacing w:after="0" w:line="270" w:lineRule="auto"/>
        <w:rPr>
          <w:sz w:val="20"/>
          <w:szCs w:val="20"/>
          <w:color w:val="auto"/>
        </w:rPr>
      </w:pPr>
      <w:r>
        <w:rPr>
          <w:rFonts w:ascii="Arial" w:cs="Arial" w:eastAsia="Arial" w:hAnsi="Arial"/>
          <w:sz w:val="18"/>
          <w:szCs w:val="18"/>
          <w:color w:val="auto"/>
        </w:rPr>
        <w:t>Forward-looking statements are necessarily based upon various assumptions involving judgments with respect to the future and other risks, including, among others, local, regional, national and international economic, competitive, political, legislative and regulatory conditions and developments; actions by the California Public Utilities Commission, the California State Legislature, the California Department of Water Resources, the Federal Energy Regulatory Commission, the Federal Reserve Board, the U.K. Financial Services Authority and other regulatory bodies in the United States and other countries; capital markets conditions, inflation rates, interest rates and exchange rates; energy and trading markets, including the timing and extent of changes in commodity prices; the availability of electric power, natural gas and liquefied natural gas; weather conditions and conservation efforts; war and terrorist attacks; business, regulatory , environmental and legal decisions and requirements; the status of deregulation of retail natural gas and electricity delivery; the timing and success of business development efforts; the resolution of litigation; and other uncertainties, all of which are difficult to predict and many of which are beyond the control of the company. Readers are cautioned not to rely unduly on any forward-looking statements and are urged to review and consider carefully the risks, uncertainties and other factors which affect the company's business described in this report and other reports filed by the company from time to time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320"/>
          </w:cols>
          <w:pgMar w:left="240" w:top="352" w:right="3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20"/>
          <w:szCs w:val="20"/>
          <w:b w:val="1"/>
          <w:bCs w:val="1"/>
          <w:color w:val="auto"/>
        </w:rPr>
        <w:t>PART I</w:t>
      </w:r>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BUSINESS AND RISK FACTORS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Description of Business</w:t>
      </w:r>
    </w:p>
    <w:p>
      <w:pPr>
        <w:spacing w:after="0" w:line="249" w:lineRule="exact"/>
        <w:rPr>
          <w:sz w:val="20"/>
          <w:szCs w:val="20"/>
          <w:color w:val="auto"/>
        </w:rPr>
      </w:pPr>
    </w:p>
    <w:p>
      <w:pPr>
        <w:ind w:right="40"/>
        <w:spacing w:after="0" w:line="274" w:lineRule="auto"/>
        <w:rPr>
          <w:sz w:val="20"/>
          <w:szCs w:val="20"/>
          <w:color w:val="auto"/>
        </w:rPr>
      </w:pPr>
      <w:r>
        <w:rPr>
          <w:rFonts w:ascii="Arial" w:cs="Arial" w:eastAsia="Arial" w:hAnsi="Arial"/>
          <w:sz w:val="18"/>
          <w:szCs w:val="18"/>
          <w:color w:val="auto"/>
        </w:rPr>
        <w:t>A description of Sempra Energy and its subsidiaries (the company) is given in "Management's Discussion and Analysis of Financial Condition and Results of Operations" of the 2007 Annual Report to Shareholders (Annual Report), which is incorporated by reference. The company has five separately managed reportable segments consisting of Southern California Gas Company (SoCalGas), San Diego Gas &amp; Electric Company (SDG&amp;E), Sempra Commodities, Sempra Generation and Sempra Pipelines &amp; Storage. SoCalGas and SDG&amp;E are collectively referred to as "the Sempra Utilities." In July 2007, the company entered into an agreement with The Royal Bank of Scotland plc (RBS) to form a partnership to purchase and operate the company's commodity-marketing businesses, which generally comprise the Sempra Commodities segment. This agreement is discussed in "Sempra Global – Joint Venture Partnership with RBS" herein.</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Company Website</w:t>
      </w:r>
    </w:p>
    <w:p>
      <w:pPr>
        <w:spacing w:after="0" w:line="249"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The company's website address is http://www.sempra.com. The company makes available free of charge through its website its annual report on Form 10-K, quarterly reports on Form 10-Q, current reports on Form 8-K, and any amendments to those reports as soon as reasonably practicable after such material is electronically filed with or furnished to the Securities and Exchange Commission. The charters of the audit, compensation and corporate governance committees of the company's board of directors (the board), the board's corporate governance guidelines, and the company's code of business conduct and ethics for directors and officers are posted on the company's website. Printed copies may be obtained by writing to the company's Corporate Secretary at Sempra Energy, 101 Ash Street, San Diego, CA 92101-3017.</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420"/>
          </w:cols>
          <w:pgMar w:left="240" w:top="116" w:right="23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color w:val="auto"/>
        </w:rPr>
        <w:t>Risk Factors</w:t>
      </w:r>
    </w:p>
    <w:p>
      <w:pPr>
        <w:spacing w:after="0" w:line="249" w:lineRule="exact"/>
        <w:rPr>
          <w:sz w:val="20"/>
          <w:szCs w:val="20"/>
          <w:color w:val="auto"/>
        </w:rPr>
      </w:pPr>
    </w:p>
    <w:p>
      <w:pPr>
        <w:spacing w:after="0" w:line="273" w:lineRule="auto"/>
        <w:rPr>
          <w:sz w:val="20"/>
          <w:szCs w:val="20"/>
          <w:color w:val="auto"/>
        </w:rPr>
      </w:pPr>
      <w:r>
        <w:rPr>
          <w:rFonts w:ascii="Arial" w:cs="Arial" w:eastAsia="Arial" w:hAnsi="Arial"/>
          <w:sz w:val="18"/>
          <w:szCs w:val="18"/>
          <w:i w:val="1"/>
          <w:iCs w:val="1"/>
          <w:color w:val="auto"/>
        </w:rPr>
        <w:t>The following risk factors and all other information contained in this report should be considered carefully when evaluating the company. These risk factors could affect the actual results of the company and cause such results to differ materially from those expressed in any forward-looking statements made by or on behalf of the company. Other risks and uncertainties, in addition to those that are described below, may also impair its business operations. If any of the following risks occurs, the company's business, cash flows, results of operations and financial condition could be seriously harmed. In addition, the trading price of its securities could decline due to the occurrence of any of these risks. These risk factors should be read in conjunction with the other detailed information concerning the company set forth in the Notes to Consolidated Financial Statements and in "Management's Discussion and Analysis of Financial Condition and Results of Operations" included in the 2007 Annual Report to Shareholders, which is incorporated by reference in this report.</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Risks Related to the Sempra Utilities</w:t>
      </w:r>
    </w:p>
    <w:p>
      <w:pPr>
        <w:spacing w:after="0" w:line="249" w:lineRule="exact"/>
        <w:rPr>
          <w:sz w:val="20"/>
          <w:szCs w:val="20"/>
          <w:color w:val="auto"/>
        </w:rPr>
      </w:pPr>
    </w:p>
    <w:p>
      <w:pPr>
        <w:ind w:right="680"/>
        <w:spacing w:after="0" w:line="260" w:lineRule="auto"/>
        <w:rPr>
          <w:sz w:val="20"/>
          <w:szCs w:val="20"/>
          <w:color w:val="auto"/>
        </w:rPr>
      </w:pPr>
      <w:r>
        <w:rPr>
          <w:rFonts w:ascii="Arial" w:cs="Arial" w:eastAsia="Arial" w:hAnsi="Arial"/>
          <w:sz w:val="20"/>
          <w:szCs w:val="20"/>
          <w:b w:val="1"/>
          <w:bCs w:val="1"/>
          <w:i w:val="1"/>
          <w:iCs w:val="1"/>
          <w:color w:val="auto"/>
        </w:rPr>
        <w:t>The Sempra Utilities are subject to extensive regulation by state, federal and local legislation and regulatory authorities, which may adversely affect the operations, performance and growth of their businesses.</w:t>
      </w:r>
    </w:p>
    <w:p>
      <w:pPr>
        <w:spacing w:after="0" w:line="204" w:lineRule="exact"/>
        <w:rPr>
          <w:sz w:val="20"/>
          <w:szCs w:val="20"/>
          <w:color w:val="auto"/>
        </w:rPr>
      </w:pPr>
    </w:p>
    <w:p>
      <w:pPr>
        <w:ind w:right="60"/>
        <w:spacing w:after="0" w:line="310" w:lineRule="auto"/>
        <w:rPr>
          <w:sz w:val="20"/>
          <w:szCs w:val="20"/>
          <w:color w:val="auto"/>
        </w:rPr>
      </w:pPr>
      <w:r>
        <w:rPr>
          <w:rFonts w:ascii="Arial" w:cs="Arial" w:eastAsia="Arial" w:hAnsi="Arial"/>
          <w:sz w:val="16"/>
          <w:szCs w:val="16"/>
          <w:color w:val="auto"/>
        </w:rPr>
        <w:t>The California Public Utilities Commission (CPUC), which consists of five commissioners appointed by the Governor of California for staggered six-year terms, regulates the Sempra Utilities' rates (except electric transmission rates, which are regulated by the Federal Energy Regulatory Commission (FERC)) and conditions of service, sales of securities, capital structure, rates of return, rates of depreciation, the uniform systems of accounts and long-term resource procurement. The CPUC conducts various reviews of utility performance (which may include reasonableness and prudency reviews of capital expenditures, natural gas and electricity procurement, and other costs, and reviews and audits of the company's records) and affiliate relationships and conducts audits and investigations into various matters which may, from time to time, result in disallowances and penalties adversely affecting earnings and cash flows. Various proceedings involving the C PUC and relating to the Sempra Utilities' rates, costs, incentive mechanisms and performance-based regulation are discussed in Notes 14 and 15 of the Notes to Consolidated Financial Statements and in "Management's Discussion and Analysis of Financial Condition and Results of Operations."</w:t>
      </w:r>
    </w:p>
    <w:p>
      <w:pPr>
        <w:spacing w:after="0" w:line="171" w:lineRule="exact"/>
        <w:rPr>
          <w:sz w:val="20"/>
          <w:szCs w:val="20"/>
          <w:color w:val="auto"/>
        </w:rPr>
      </w:pPr>
    </w:p>
    <w:p>
      <w:pPr>
        <w:ind w:right="280"/>
        <w:spacing w:after="0" w:line="250" w:lineRule="auto"/>
        <w:rPr>
          <w:sz w:val="20"/>
          <w:szCs w:val="20"/>
          <w:color w:val="auto"/>
        </w:rPr>
      </w:pPr>
      <w:r>
        <w:rPr>
          <w:rFonts w:ascii="Arial" w:cs="Arial" w:eastAsia="Arial" w:hAnsi="Arial"/>
          <w:sz w:val="20"/>
          <w:szCs w:val="20"/>
          <w:color w:val="auto"/>
        </w:rPr>
        <w:t>The Sempra Utilities may expend funds prior to receiving regulatory approval to proceed with a major capital project. If the project does not receive regulatory approval or management decides not to proceed with the project, the company may not be able to recover the amount expended for that project.</w:t>
      </w:r>
    </w:p>
    <w:p>
      <w:pPr>
        <w:spacing w:after="0" w:line="213" w:lineRule="exact"/>
        <w:rPr>
          <w:sz w:val="20"/>
          <w:szCs w:val="20"/>
          <w:color w:val="auto"/>
        </w:rPr>
      </w:pPr>
    </w:p>
    <w:p>
      <w:pPr>
        <w:jc w:val="both"/>
        <w:ind w:right="100"/>
        <w:spacing w:after="0" w:line="250" w:lineRule="auto"/>
        <w:rPr>
          <w:sz w:val="20"/>
          <w:szCs w:val="20"/>
          <w:color w:val="auto"/>
        </w:rPr>
      </w:pPr>
      <w:r>
        <w:rPr>
          <w:rFonts w:ascii="Arial" w:cs="Arial" w:eastAsia="Arial" w:hAnsi="Arial"/>
          <w:sz w:val="20"/>
          <w:szCs w:val="20"/>
          <w:color w:val="auto"/>
        </w:rPr>
        <w:t>Periodically, the Sempra Utilities' rates are approved by the CPUC based on authorized capital expenditures and operating costs. If the Sempra Utilities' actual capital expenditures and operating costs were to exceed the amount approved by the CPUC, it could adversely affect earnings and cash flows.</w:t>
      </w:r>
    </w:p>
    <w:p>
      <w:pPr>
        <w:spacing w:after="0" w:line="213" w:lineRule="exact"/>
        <w:rPr>
          <w:sz w:val="20"/>
          <w:szCs w:val="20"/>
          <w:color w:val="auto"/>
        </w:rPr>
      </w:pPr>
    </w:p>
    <w:p>
      <w:pPr>
        <w:ind w:right="420"/>
        <w:spacing w:after="0" w:line="276" w:lineRule="auto"/>
        <w:rPr>
          <w:sz w:val="20"/>
          <w:szCs w:val="20"/>
          <w:color w:val="auto"/>
        </w:rPr>
      </w:pPr>
      <w:r>
        <w:rPr>
          <w:rFonts w:ascii="Arial" w:cs="Arial" w:eastAsia="Arial" w:hAnsi="Arial"/>
          <w:sz w:val="18"/>
          <w:szCs w:val="18"/>
          <w:color w:val="auto"/>
        </w:rPr>
        <w:t>To promote efficient operations and improved productivity and to move away from reasonableness reviews and disallowances, the CPUC applies Performance-Based Regulation (PBR) to the Sempra Utilities. Under PBR, regulators require future income potential to be tied to achieving or exceeding specific performance and operating income goals, rather than relying solely on expanding utility plant to increase earnings. The areas that are eligible for PBR rewards are: operational incentives based on measurements of safety, reliability and customer service; energy efficiency rewards based on the effectiveness of the programs; and natural gas procurement rewards. Although the Sempra Utilities have received PBR rewards in the past, there can be no assurance that they will receive rewards in the future,</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400"/>
          </w:cols>
          <w:pgMar w:left="240" w:top="360" w:right="259" w:bottom="1440" w:gutter="0" w:footer="0" w:header="0"/>
        </w:sectPr>
      </w:pPr>
    </w:p>
    <w:bookmarkStart w:id="6" w:name="page7"/>
    <w:bookmarkEnd w:id="6"/>
    <w:p>
      <w:pPr>
        <w:ind w:right="160"/>
        <w:spacing w:after="0" w:line="250" w:lineRule="auto"/>
        <w:rPr>
          <w:sz w:val="20"/>
          <w:szCs w:val="20"/>
          <w:color w:val="auto"/>
        </w:rPr>
      </w:pPr>
      <w:r>
        <w:rPr>
          <w:rFonts w:ascii="Arial" w:cs="Arial" w:eastAsia="Arial" w:hAnsi="Arial"/>
          <w:sz w:val="20"/>
          <w:szCs w:val="20"/>
          <w:color w:val="auto"/>
        </w:rPr>
        <w:t>or that they would be of comparable amounts. Additionally, if the Sempra Utilities fail to achieve certain minimum performance levels established under the PBR mechanisms, they may be assessed financial disallowances or penalties which could negatively affect earnings and cash flows.</w:t>
      </w:r>
    </w:p>
    <w:p>
      <w:pPr>
        <w:spacing w:after="0" w:line="214" w:lineRule="exact"/>
        <w:rPr>
          <w:sz w:val="20"/>
          <w:szCs w:val="20"/>
          <w:color w:val="auto"/>
        </w:rPr>
      </w:pPr>
    </w:p>
    <w:p>
      <w:pPr>
        <w:ind w:right="60"/>
        <w:spacing w:after="0" w:line="260" w:lineRule="auto"/>
        <w:rPr>
          <w:sz w:val="20"/>
          <w:szCs w:val="20"/>
          <w:color w:val="auto"/>
        </w:rPr>
      </w:pPr>
      <w:r>
        <w:rPr>
          <w:rFonts w:ascii="Arial" w:cs="Arial" w:eastAsia="Arial" w:hAnsi="Arial"/>
          <w:sz w:val="20"/>
          <w:szCs w:val="20"/>
          <w:color w:val="auto"/>
        </w:rPr>
        <w:t>The FERC regulates electric transmission rates, the transmission and wholesale sales of electricity in interstate commerce, transmission access, the rates of return on transmission investments and other similar matters involving SDG&amp;E.</w:t>
      </w:r>
    </w:p>
    <w:p>
      <w:pPr>
        <w:spacing w:after="0" w:line="204" w:lineRule="exact"/>
        <w:rPr>
          <w:sz w:val="20"/>
          <w:szCs w:val="20"/>
          <w:color w:val="auto"/>
        </w:rPr>
      </w:pPr>
    </w:p>
    <w:p>
      <w:pPr>
        <w:ind w:right="40"/>
        <w:spacing w:after="0" w:line="291" w:lineRule="auto"/>
        <w:rPr>
          <w:sz w:val="20"/>
          <w:szCs w:val="20"/>
          <w:color w:val="auto"/>
        </w:rPr>
      </w:pPr>
      <w:r>
        <w:rPr>
          <w:rFonts w:ascii="Arial" w:cs="Arial" w:eastAsia="Arial" w:hAnsi="Arial"/>
          <w:sz w:val="18"/>
          <w:szCs w:val="18"/>
          <w:color w:val="auto"/>
        </w:rPr>
        <w:t>The Sempra Utilities may be adversely affected by new regulations, decisions, orders or interpretations of the CPUC, FERC or other regulatory bodies. New legislation, regulations, decisions, orders or interpretations could change how the Sempra Utilities operate, could affect their ability to recover various costs through rates or adjustment mechanisms, or could require the Sempra Utilities to incur additional expenses.</w:t>
      </w:r>
    </w:p>
    <w:p>
      <w:pPr>
        <w:spacing w:after="0" w:line="179" w:lineRule="exact"/>
        <w:rPr>
          <w:sz w:val="20"/>
          <w:szCs w:val="20"/>
          <w:color w:val="auto"/>
        </w:rPr>
      </w:pPr>
    </w:p>
    <w:p>
      <w:pPr>
        <w:ind w:right="100"/>
        <w:spacing w:after="0" w:line="263" w:lineRule="auto"/>
        <w:rPr>
          <w:sz w:val="20"/>
          <w:szCs w:val="20"/>
          <w:color w:val="auto"/>
        </w:rPr>
      </w:pPr>
      <w:r>
        <w:rPr>
          <w:rFonts w:ascii="Arial" w:cs="Arial" w:eastAsia="Arial" w:hAnsi="Arial"/>
          <w:sz w:val="19"/>
          <w:szCs w:val="19"/>
          <w:color w:val="auto"/>
        </w:rPr>
        <w:t>The construction and expansion of the Sempra Utilities' natural gas pipelines and storage facilities and electric transmission and distribution facilities require numerous permits and approvals from federal, state and local governmental agencies. If there are delays in obtaining required approvals, or if the company fails to obtain or maintain required approvals or to comply with applicable laws or regulations, its business, cash flows, results of operations and financial condition could be materially adversely affected.</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SDG&amp;E may incur substantial costs and liabilities as a result of its ownership of nuclear facilities.</w:t>
      </w:r>
    </w:p>
    <w:p>
      <w:pPr>
        <w:spacing w:after="0" w:line="243"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color w:val="auto"/>
        </w:rPr>
        <w:t>SDG&amp;E has a 20-percent ownership interest in the San Onofre Nuclear Generating Station (SONGS), a 2,150-megawatt (MW) nuclear generating facility near San Clemente, California. The Nuclear Regulatory Commission (NRC) has broad authority under federal law to impose licensing and safety-related requirements for the operation of nuclear generation facilities. SDG&amp;E's ownership interest in SONGS subjects it to the risks of nuclear generation, which include:</w:t>
      </w:r>
    </w:p>
    <w:p>
      <w:pPr>
        <w:spacing w:after="0" w:line="219" w:lineRule="exact"/>
        <w:rPr>
          <w:sz w:val="20"/>
          <w:szCs w:val="20"/>
          <w:color w:val="auto"/>
        </w:rPr>
      </w:pPr>
    </w:p>
    <w:p>
      <w:pPr>
        <w:ind w:left="980" w:hanging="324"/>
        <w:spacing w:after="0" w:line="260" w:lineRule="auto"/>
        <w:tabs>
          <w:tab w:leader="none" w:pos="980" w:val="left"/>
        </w:tabs>
        <w:numPr>
          <w:ilvl w:val="0"/>
          <w:numId w:val="3"/>
        </w:numPr>
        <w:rPr>
          <w:rFonts w:ascii="Arial" w:cs="Arial" w:eastAsia="Arial" w:hAnsi="Arial"/>
          <w:sz w:val="20"/>
          <w:szCs w:val="20"/>
          <w:color w:val="auto"/>
        </w:rPr>
      </w:pPr>
      <w:r>
        <w:rPr>
          <w:rFonts w:ascii="Arial" w:cs="Arial" w:eastAsia="Arial" w:hAnsi="Arial"/>
          <w:sz w:val="20"/>
          <w:szCs w:val="20"/>
          <w:color w:val="auto"/>
        </w:rPr>
        <w:t>the potential harmful effects on the environment and human health resulting from the operation of nuclear facilities and the storage, handling and disposal of radioactive materials;</w:t>
      </w:r>
    </w:p>
    <w:p>
      <w:pPr>
        <w:spacing w:after="0" w:line="82" w:lineRule="exact"/>
        <w:rPr>
          <w:rFonts w:ascii="Arial" w:cs="Arial" w:eastAsia="Arial" w:hAnsi="Arial"/>
          <w:sz w:val="20"/>
          <w:szCs w:val="20"/>
          <w:color w:val="auto"/>
        </w:rPr>
      </w:pPr>
    </w:p>
    <w:p>
      <w:pPr>
        <w:ind w:left="980" w:right="560" w:hanging="324"/>
        <w:spacing w:after="0" w:line="260" w:lineRule="auto"/>
        <w:tabs>
          <w:tab w:leader="none" w:pos="980" w:val="left"/>
        </w:tabs>
        <w:numPr>
          <w:ilvl w:val="0"/>
          <w:numId w:val="3"/>
        </w:numPr>
        <w:rPr>
          <w:rFonts w:ascii="Arial" w:cs="Arial" w:eastAsia="Arial" w:hAnsi="Arial"/>
          <w:sz w:val="20"/>
          <w:szCs w:val="20"/>
          <w:color w:val="auto"/>
        </w:rPr>
      </w:pPr>
      <w:r>
        <w:rPr>
          <w:rFonts w:ascii="Arial" w:cs="Arial" w:eastAsia="Arial" w:hAnsi="Arial"/>
          <w:sz w:val="20"/>
          <w:szCs w:val="20"/>
          <w:color w:val="auto"/>
        </w:rPr>
        <w:t>limitations on the amounts and types of insurance commercially available to cover losses that might arise in connection with nuclear operations; and</w:t>
      </w:r>
    </w:p>
    <w:p>
      <w:pPr>
        <w:spacing w:after="0" w:line="95" w:lineRule="exact"/>
        <w:rPr>
          <w:rFonts w:ascii="Arial" w:cs="Arial" w:eastAsia="Arial" w:hAnsi="Arial"/>
          <w:sz w:val="20"/>
          <w:szCs w:val="20"/>
          <w:color w:val="auto"/>
        </w:rPr>
      </w:pPr>
    </w:p>
    <w:p>
      <w:pPr>
        <w:ind w:left="980" w:right="140" w:hanging="324"/>
        <w:spacing w:after="0" w:line="260" w:lineRule="auto"/>
        <w:tabs>
          <w:tab w:leader="none" w:pos="980" w:val="left"/>
        </w:tabs>
        <w:numPr>
          <w:ilvl w:val="0"/>
          <w:numId w:val="3"/>
        </w:numPr>
        <w:rPr>
          <w:rFonts w:ascii="Arial" w:cs="Arial" w:eastAsia="Arial" w:hAnsi="Arial"/>
          <w:sz w:val="20"/>
          <w:szCs w:val="20"/>
          <w:color w:val="auto"/>
        </w:rPr>
      </w:pPr>
      <w:r>
        <w:rPr>
          <w:rFonts w:ascii="Arial" w:cs="Arial" w:eastAsia="Arial" w:hAnsi="Arial"/>
          <w:sz w:val="20"/>
          <w:szCs w:val="20"/>
          <w:color w:val="auto"/>
        </w:rPr>
        <w:t>uncertainties with respect to the technological and financial aspects of decommissioning nuclear plants at the end of their licensed lives.</w:t>
      </w:r>
    </w:p>
    <w:p>
      <w:pPr>
        <w:spacing w:after="0" w:line="204" w:lineRule="exact"/>
        <w:rPr>
          <w:sz w:val="20"/>
          <w:szCs w:val="20"/>
          <w:color w:val="auto"/>
        </w:rPr>
      </w:pPr>
    </w:p>
    <w:p>
      <w:pPr>
        <w:ind w:right="200"/>
        <w:spacing w:after="0" w:line="260" w:lineRule="auto"/>
        <w:rPr>
          <w:sz w:val="20"/>
          <w:szCs w:val="20"/>
          <w:color w:val="auto"/>
        </w:rPr>
      </w:pPr>
      <w:r>
        <w:rPr>
          <w:rFonts w:ascii="Arial" w:cs="Arial" w:eastAsia="Arial" w:hAnsi="Arial"/>
          <w:sz w:val="20"/>
          <w:szCs w:val="20"/>
          <w:b w:val="1"/>
          <w:bCs w:val="1"/>
          <w:i w:val="1"/>
          <w:iCs w:val="1"/>
          <w:color w:val="auto"/>
        </w:rPr>
        <w:t>The Sempra Utilities' future results of operations, financial condition and cash flows may be materially adversely affected by the outcome of pending litigation against them.</w:t>
      </w:r>
    </w:p>
    <w:p>
      <w:pPr>
        <w:spacing w:after="0" w:line="163" w:lineRule="exact"/>
        <w:rPr>
          <w:sz w:val="20"/>
          <w:szCs w:val="20"/>
          <w:color w:val="auto"/>
        </w:rPr>
      </w:pPr>
    </w:p>
    <w:p>
      <w:pPr>
        <w:ind w:right="20"/>
        <w:spacing w:after="0" w:line="243" w:lineRule="auto"/>
        <w:rPr>
          <w:sz w:val="20"/>
          <w:szCs w:val="20"/>
          <w:color w:val="auto"/>
        </w:rPr>
      </w:pPr>
      <w:r>
        <w:rPr>
          <w:rFonts w:ascii="Arial" w:cs="Arial" w:eastAsia="Arial" w:hAnsi="Arial"/>
          <w:sz w:val="20"/>
          <w:szCs w:val="20"/>
          <w:color w:val="auto"/>
        </w:rPr>
        <w:t>Sempra Energy and the Sempra Utilities are defendants in numerous lawsuits. They have expended and continue to expend substantial amounts defending these lawsuits and in connection with related investigations and regulatory proceedings and have established reserves that they believe to be appropriate for their ultimate resolution. However, uncertainties inherent in complex legal proceedings make it difficult to estimate with any degree of certainty the costs and effects of resolving legal matters. Accordingly, costs ultimately incurred may differ materially from estimated costs and could materially adversely affect Sempra Energy's and the Sempra Utilities' business, cash flows, results of operations and financial condition.</w:t>
      </w:r>
    </w:p>
    <w:p>
      <w:pPr>
        <w:spacing w:after="0" w:line="224" w:lineRule="exact"/>
        <w:rPr>
          <w:sz w:val="20"/>
          <w:szCs w:val="20"/>
          <w:color w:val="auto"/>
        </w:rPr>
      </w:pPr>
    </w:p>
    <w:p>
      <w:pPr>
        <w:ind w:right="100"/>
        <w:spacing w:after="0" w:line="260" w:lineRule="auto"/>
        <w:rPr>
          <w:sz w:val="20"/>
          <w:szCs w:val="20"/>
          <w:color w:val="auto"/>
        </w:rPr>
      </w:pPr>
      <w:r>
        <w:rPr>
          <w:rFonts w:ascii="Arial" w:cs="Arial" w:eastAsia="Arial" w:hAnsi="Arial"/>
          <w:sz w:val="20"/>
          <w:szCs w:val="20"/>
          <w:color w:val="auto"/>
        </w:rPr>
        <w:t>These proceedings are discussed in Note 16 of the Notes to Consolidated Financial Statements and in "Management's Discussion and Analysis of Financial Condition and Results of Operations."</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400"/>
          </w:cols>
          <w:pgMar w:left="240" w:top="121" w:right="259" w:bottom="1440" w:gutter="0" w:footer="0" w:header="0"/>
        </w:sectPr>
      </w:pPr>
    </w:p>
    <w:bookmarkStart w:id="7" w:name="page8"/>
    <w:bookmarkEnd w:id="7"/>
    <w:p>
      <w:pPr>
        <w:jc w:val="center"/>
        <w:ind w:left="260" w:right="40"/>
        <w:spacing w:after="0" w:line="267" w:lineRule="auto"/>
        <w:rPr>
          <w:sz w:val="20"/>
          <w:szCs w:val="20"/>
          <w:color w:val="auto"/>
        </w:rPr>
      </w:pPr>
      <w:r>
        <w:rPr>
          <w:rFonts w:ascii="Arial" w:cs="Arial" w:eastAsia="Arial" w:hAnsi="Arial"/>
          <w:sz w:val="20"/>
          <w:szCs w:val="20"/>
          <w:b w:val="1"/>
          <w:bCs w:val="1"/>
          <w:color w:val="auto"/>
        </w:rPr>
        <w:t>Risks Related to Sempra Energy's Electric Generation, Liquefied Natural Gas (LNG), Commodities Trading, Pipelines &amp; Storage and Other Businesses</w:t>
      </w:r>
    </w:p>
    <w:p>
      <w:pPr>
        <w:spacing w:after="0" w:line="197" w:lineRule="exact"/>
        <w:rPr>
          <w:sz w:val="20"/>
          <w:szCs w:val="20"/>
          <w:color w:val="auto"/>
        </w:rPr>
      </w:pPr>
    </w:p>
    <w:p>
      <w:pPr>
        <w:ind w:right="220"/>
        <w:spacing w:after="0" w:line="260" w:lineRule="auto"/>
        <w:rPr>
          <w:sz w:val="20"/>
          <w:szCs w:val="20"/>
          <w:color w:val="auto"/>
        </w:rPr>
      </w:pPr>
      <w:r>
        <w:rPr>
          <w:rFonts w:ascii="Arial" w:cs="Arial" w:eastAsia="Arial" w:hAnsi="Arial"/>
          <w:sz w:val="20"/>
          <w:szCs w:val="20"/>
          <w:b w:val="1"/>
          <w:bCs w:val="1"/>
          <w:i w:val="1"/>
          <w:iCs w:val="1"/>
          <w:color w:val="auto"/>
        </w:rPr>
        <w:t>Sempra Energy's businesses are exposed to market risk, and its financial condition, results of operations, cash flows and liquidity may be adversely affected by fluctuations in commodity market prices that are beyond its control.</w:t>
      </w:r>
    </w:p>
    <w:p>
      <w:pPr>
        <w:spacing w:after="0" w:line="204"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color w:val="auto"/>
        </w:rPr>
        <w:t>Sempra Generation generates electricity that it sells under long-term contracts and into the spot market or other competitive markets. It purchases natural gas to fuel its power plants and may also purchase electricity in the open market to satisfy its contractual obligations. As part of Sempra Generation's risk management strategy, it may hedge a substantial portion of its electricity sales and natural gas purchases to manage its portfolio.</w:t>
      </w:r>
    </w:p>
    <w:p>
      <w:pPr>
        <w:spacing w:after="0" w:line="219"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color w:val="auto"/>
        </w:rPr>
        <w:t>Sempra Energy's revenues and results of operations could be adversely affected if the prevailing market prices for electricity, natural gas, LNG or other commodities, whether procured for power plants or LNG regasification terminals to satisfy contractual obligations with trading counterparties or customers, in regional markets and other competitive markets in which the company competes, change in a direction or manner that it has not anticipated and for which it has not provided through purchase or sale commitments or other hedging transactions.</w:t>
      </w:r>
    </w:p>
    <w:p>
      <w:pPr>
        <w:spacing w:after="0" w:line="189"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Sempra Commodities generally seeks to structure its trading contracts so that a substantial majority of its trading revenues are realizable within 24 months and strives to maintain appropriate hedging mechanisms for its trading book. However, it may at any time have substantial unhedged trading positions in the market, resulting from the management of its trading portfolios or from its inability to hedge, in whole or in part, particular risks.</w:t>
      </w:r>
    </w:p>
    <w:p>
      <w:pPr>
        <w:spacing w:after="0" w:line="219" w:lineRule="exact"/>
        <w:rPr>
          <w:sz w:val="20"/>
          <w:szCs w:val="20"/>
          <w:color w:val="auto"/>
        </w:rPr>
      </w:pPr>
    </w:p>
    <w:p>
      <w:pPr>
        <w:ind w:right="60"/>
        <w:spacing w:after="0" w:line="244" w:lineRule="auto"/>
        <w:rPr>
          <w:sz w:val="20"/>
          <w:szCs w:val="20"/>
          <w:color w:val="auto"/>
        </w:rPr>
      </w:pPr>
      <w:r>
        <w:rPr>
          <w:rFonts w:ascii="Arial" w:cs="Arial" w:eastAsia="Arial" w:hAnsi="Arial"/>
          <w:sz w:val="20"/>
          <w:szCs w:val="20"/>
          <w:color w:val="auto"/>
        </w:rPr>
        <w:t>Unanticipated changes in market prices for energy-related and other commodities result from multiple factors, including: weather conditions; seasonality; changes in supply and demand; transmission or transportation constraints or inefficiencies; availability of competitively priced alternative energy sources; commodity production levels; actions by the Organization of the Petroleum Exporting Countries with respect to the supply of crude oil; federal, state and foreign energy and environmental regulation and legislation; natural disasters, wars, embargoes and other catastrophic events; and expropriation of assets by foreign countries.</w:t>
      </w:r>
    </w:p>
    <w:p>
      <w:pPr>
        <w:spacing w:after="0" w:line="222" w:lineRule="exact"/>
        <w:rPr>
          <w:sz w:val="20"/>
          <w:szCs w:val="20"/>
          <w:color w:val="auto"/>
        </w:rPr>
      </w:pPr>
    </w:p>
    <w:p>
      <w:pPr>
        <w:ind w:right="120"/>
        <w:spacing w:after="0" w:line="243" w:lineRule="auto"/>
        <w:rPr>
          <w:sz w:val="20"/>
          <w:szCs w:val="20"/>
          <w:color w:val="auto"/>
        </w:rPr>
      </w:pPr>
      <w:r>
        <w:rPr>
          <w:rFonts w:ascii="Arial" w:cs="Arial" w:eastAsia="Arial" w:hAnsi="Arial"/>
          <w:sz w:val="20"/>
          <w:szCs w:val="20"/>
          <w:color w:val="auto"/>
        </w:rPr>
        <w:t>In 2001, the FERC, which has jurisdiction over wholesale power and transmission rates, independent system operators and other entities that control transmission facilities or that administer wholesale power sales in some of the markets in which the company operates, imposed price limitations which resulted in unexpected moves in electricity prices. The FERC may impose additional price limitations, bidding rules and other mechanisms or terminate existing price limitations from time to time in the future. Any such action by the FERC may result in prices for electricity changing in an unanticipated direction or manner, and may have an adverse effect on Sempra Energy's sales and results of operations.</w:t>
      </w:r>
    </w:p>
    <w:p>
      <w:pPr>
        <w:spacing w:after="0" w:line="224" w:lineRule="exact"/>
        <w:rPr>
          <w:sz w:val="20"/>
          <w:szCs w:val="20"/>
          <w:color w:val="auto"/>
        </w:rPr>
      </w:pPr>
    </w:p>
    <w:p>
      <w:pPr>
        <w:ind w:right="100"/>
        <w:spacing w:after="0" w:line="260" w:lineRule="auto"/>
        <w:rPr>
          <w:sz w:val="20"/>
          <w:szCs w:val="20"/>
          <w:color w:val="auto"/>
        </w:rPr>
      </w:pPr>
      <w:r>
        <w:rPr>
          <w:rFonts w:ascii="Arial" w:cs="Arial" w:eastAsia="Arial" w:hAnsi="Arial"/>
          <w:sz w:val="20"/>
          <w:szCs w:val="20"/>
          <w:b w:val="1"/>
          <w:bCs w:val="1"/>
          <w:i w:val="1"/>
          <w:iCs w:val="1"/>
          <w:color w:val="auto"/>
        </w:rPr>
        <w:t>Sempra Energy and its subsidiaries cannot and do not attempt to fully hedge their assets or positions against changes in commodity prices, and their hedging procedures may not work as planned.</w:t>
      </w:r>
    </w:p>
    <w:p>
      <w:pPr>
        <w:spacing w:after="0" w:line="258" w:lineRule="exact"/>
        <w:rPr>
          <w:sz w:val="20"/>
          <w:szCs w:val="20"/>
          <w:color w:val="auto"/>
        </w:rPr>
      </w:pPr>
    </w:p>
    <w:p>
      <w:pPr>
        <w:ind w:right="80"/>
        <w:spacing w:after="0" w:line="291" w:lineRule="auto"/>
        <w:rPr>
          <w:sz w:val="20"/>
          <w:szCs w:val="20"/>
          <w:color w:val="auto"/>
        </w:rPr>
      </w:pPr>
      <w:r>
        <w:rPr>
          <w:rFonts w:ascii="Arial" w:cs="Arial" w:eastAsia="Arial" w:hAnsi="Arial"/>
          <w:sz w:val="18"/>
          <w:szCs w:val="18"/>
          <w:color w:val="auto"/>
        </w:rPr>
        <w:t>To reduce financial exposure related to commodity price fluctuations, Sempra Energy's subsidiaries routinely enter into contracts to hedge a substantial portion of their purchase and sale commitments and inventories of electricity, natural gas, crude oil and refined petroleum products, base metals and other commodities. As part of this strategy, they routinely utilize fixed-price, forward, physical purchase and</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400"/>
          </w:cols>
          <w:pgMar w:left="240" w:top="360" w:right="259" w:bottom="1440" w:gutter="0" w:footer="0" w:header="0"/>
        </w:sectPr>
      </w:pPr>
    </w:p>
    <w:bookmarkStart w:id="8" w:name="page9"/>
    <w:bookmarkEnd w:id="8"/>
    <w:p>
      <w:pPr>
        <w:ind w:right="260"/>
        <w:spacing w:after="0" w:line="328" w:lineRule="auto"/>
        <w:rPr>
          <w:sz w:val="20"/>
          <w:szCs w:val="20"/>
          <w:color w:val="auto"/>
        </w:rPr>
      </w:pPr>
      <w:r>
        <w:rPr>
          <w:rFonts w:ascii="Arial" w:cs="Arial" w:eastAsia="Arial" w:hAnsi="Arial"/>
          <w:sz w:val="16"/>
          <w:szCs w:val="16"/>
          <w:color w:val="auto"/>
        </w:rPr>
        <w:t>sales contracts, futures, financial swaps and option contracts traded in the over-the-counter markets or on exchanges. However, the company does not cover the entire exposure of its assets or its positions to market price volatility and the coverage will vary over time. To the extent Sempra Energy's subsidiaries have unhedged positions, or if their hedging strategies do not work as planned, fluctuating commodity prices could have a material adverse effect on Sempra Energy's business, results of operations, cash flows and financial condition.</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Risk management procedures may not prevent losses.</w:t>
      </w:r>
    </w:p>
    <w:p>
      <w:pPr>
        <w:spacing w:after="0" w:line="297" w:lineRule="exact"/>
        <w:rPr>
          <w:sz w:val="20"/>
          <w:szCs w:val="20"/>
          <w:color w:val="auto"/>
        </w:rPr>
      </w:pPr>
    </w:p>
    <w:p>
      <w:pPr>
        <w:spacing w:after="0" w:line="259" w:lineRule="auto"/>
        <w:rPr>
          <w:sz w:val="20"/>
          <w:szCs w:val="20"/>
          <w:color w:val="auto"/>
        </w:rPr>
      </w:pPr>
      <w:r>
        <w:rPr>
          <w:rFonts w:ascii="Arial" w:cs="Arial" w:eastAsia="Arial" w:hAnsi="Arial"/>
          <w:sz w:val="19"/>
          <w:szCs w:val="19"/>
          <w:color w:val="auto"/>
        </w:rPr>
        <w:t>Although Sempra Energy and its subsidiaries have in place risk management systems and control systems that use advanced methodologies to quantify and manage risk, these systems may not always prevent material losses. Risk management procedures may not always be followed or may not always work as planned. In addition, daily value-at-risk and loss limits are based on historic price movements. If prices significantly or persistently deviate from historic prices, the limits may not protect the company from significant losses. As a result of these and other factors, there can be no assurance that Sempra Energy's risk management procedures will prevent losses that would negatively affect its business, results of operations, cash flows and financial condition.</w:t>
      </w:r>
    </w:p>
    <w:p>
      <w:pPr>
        <w:spacing w:after="0" w:line="206" w:lineRule="exact"/>
        <w:rPr>
          <w:sz w:val="20"/>
          <w:szCs w:val="20"/>
          <w:color w:val="auto"/>
        </w:rPr>
      </w:pPr>
    </w:p>
    <w:p>
      <w:pPr>
        <w:ind w:right="140"/>
        <w:spacing w:after="0" w:line="291" w:lineRule="auto"/>
        <w:rPr>
          <w:sz w:val="20"/>
          <w:szCs w:val="20"/>
          <w:color w:val="auto"/>
        </w:rPr>
      </w:pPr>
      <w:r>
        <w:rPr>
          <w:rFonts w:ascii="Arial" w:cs="Arial" w:eastAsia="Arial" w:hAnsi="Arial"/>
          <w:sz w:val="18"/>
          <w:szCs w:val="18"/>
          <w:b w:val="1"/>
          <w:bCs w:val="1"/>
          <w:i w:val="1"/>
          <w:iCs w:val="1"/>
          <w:color w:val="auto"/>
        </w:rPr>
        <w:t>Sempra Energy's businesses depend on counterparties, business partners, customers and suppliers performing in accordance with their agreements, and any failure by them to perform could require the company to incur substantial expenses and expose it to commodity price risk and volatility, which could adversely affect Sempra Energy's liquidity, cash flows and results of operations.</w:t>
      </w:r>
    </w:p>
    <w:p>
      <w:pPr>
        <w:spacing w:after="0" w:line="219" w:lineRule="exact"/>
        <w:rPr>
          <w:sz w:val="20"/>
          <w:szCs w:val="20"/>
          <w:color w:val="auto"/>
        </w:rPr>
      </w:pPr>
    </w:p>
    <w:p>
      <w:pPr>
        <w:ind w:right="40"/>
        <w:spacing w:after="0" w:line="243" w:lineRule="auto"/>
        <w:rPr>
          <w:sz w:val="20"/>
          <w:szCs w:val="20"/>
          <w:color w:val="auto"/>
        </w:rPr>
      </w:pPr>
      <w:r>
        <w:rPr>
          <w:rFonts w:ascii="Arial" w:cs="Arial" w:eastAsia="Arial" w:hAnsi="Arial"/>
          <w:sz w:val="20"/>
          <w:szCs w:val="20"/>
          <w:color w:val="auto"/>
        </w:rPr>
        <w:t>Sempra Energy's subsidiaries are exposed to the risk that counterparties, business partners, customers and suppliers that owe money or commodities as a result of market transactions or other long-term agreements will not perform their obligations under such agreements. Should they fail to perform, the company may be required to acquire alternative hedging arrangements or to honor the underlying commitment at then-current market prices. In such event, Sempra Energy's subsidiaries may incur additional losses to the extent of amounts already paid to such counterparties or suppliers. In addition, the subsidiaries often extend credit to counterparties and customers. While the company performs significant credit analyses prior to extending credit, Sempra Energy and its subsidiaries are exposed to the risk that they may not be able to collect amounts owed to them.</w:t>
      </w:r>
    </w:p>
    <w:p>
      <w:pPr>
        <w:spacing w:after="0" w:line="220" w:lineRule="exact"/>
        <w:rPr>
          <w:sz w:val="20"/>
          <w:szCs w:val="20"/>
          <w:color w:val="auto"/>
        </w:rPr>
      </w:pPr>
    </w:p>
    <w:p>
      <w:pPr>
        <w:ind w:right="180"/>
        <w:spacing w:after="0" w:line="291" w:lineRule="auto"/>
        <w:rPr>
          <w:sz w:val="20"/>
          <w:szCs w:val="20"/>
          <w:color w:val="auto"/>
        </w:rPr>
      </w:pPr>
      <w:r>
        <w:rPr>
          <w:rFonts w:ascii="Arial" w:cs="Arial" w:eastAsia="Arial" w:hAnsi="Arial"/>
          <w:sz w:val="18"/>
          <w:szCs w:val="18"/>
          <w:color w:val="auto"/>
        </w:rPr>
        <w:t>Sempra LNG's obligations and those of its suppliers for LNG supplies are contractually subject to suspension or termination for "force majeure" events beyond the control of the parties and to substantial limitations of remedies for other failures to perform, including limitations on damages to amounts that could be substantially less than those necessary to provide full recovery for breach of the agreements.</w:t>
      </w:r>
    </w:p>
    <w:p>
      <w:pPr>
        <w:spacing w:after="0" w:line="179" w:lineRule="exact"/>
        <w:rPr>
          <w:sz w:val="20"/>
          <w:szCs w:val="20"/>
          <w:color w:val="auto"/>
        </w:rPr>
      </w:pPr>
    </w:p>
    <w:p>
      <w:pPr>
        <w:ind w:right="240"/>
        <w:spacing w:after="0" w:line="250" w:lineRule="auto"/>
        <w:rPr>
          <w:sz w:val="20"/>
          <w:szCs w:val="20"/>
          <w:color w:val="auto"/>
        </w:rPr>
      </w:pPr>
      <w:r>
        <w:rPr>
          <w:rFonts w:ascii="Arial" w:cs="Arial" w:eastAsia="Arial" w:hAnsi="Arial"/>
          <w:sz w:val="20"/>
          <w:szCs w:val="20"/>
          <w:b w:val="1"/>
          <w:bCs w:val="1"/>
          <w:i w:val="1"/>
          <w:iCs w:val="1"/>
          <w:color w:val="auto"/>
        </w:rPr>
        <w:t>If California's Department of Water Resources (DWR) were to succeed in setting aside, or were to fail to perform its obligations under its long-term power contract with Sempra Generation, Sempra Energy's business, results of operations and cash flows will be materially adversely affected.</w:t>
      </w:r>
    </w:p>
    <w:p>
      <w:pPr>
        <w:spacing w:after="0" w:line="267"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In 2001, Sempra Generation entered into a 10-year power sales agreement with the DWR to supply up to 1,900 MW to the state. The validity of the power sales agreement with the DWR continues to be the subject of extensive litigation between the parties before the FERC, in the courts and in arbitration proceedings. If the DWR were to succeed in setting aside its obligations under the contract, or if the DWR fails or is unable to meet its contractual obligations on a timely basis, it could have a material adverse effect on Sempra Energy's business, results of operations, cash flows and financial condition. These proceedings are described in the Notes to Consolidated Financial Statements and in "Management's Discussion and Analysis of Financial Condition and Results of Operations." As described in Note 16 of</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400"/>
          </w:cols>
          <w:pgMar w:left="240" w:top="121" w:right="259" w:bottom="1440" w:gutter="0" w:footer="0" w:header="0"/>
        </w:sectPr>
      </w:pPr>
    </w:p>
    <w:bookmarkStart w:id="9" w:name="page10"/>
    <w:bookmarkEnd w:id="9"/>
    <w:p>
      <w:pPr>
        <w:ind w:right="320"/>
        <w:spacing w:after="0" w:line="262" w:lineRule="auto"/>
        <w:rPr>
          <w:sz w:val="20"/>
          <w:szCs w:val="20"/>
          <w:color w:val="auto"/>
        </w:rPr>
      </w:pPr>
      <w:r>
        <w:rPr>
          <w:rFonts w:ascii="Arial" w:cs="Arial" w:eastAsia="Arial" w:hAnsi="Arial"/>
          <w:sz w:val="20"/>
          <w:szCs w:val="20"/>
          <w:color w:val="auto"/>
        </w:rPr>
        <w:t>the Notes to Consolidated Financial Statements, the company unilaterally reduced its price to the DWR in connection with the agreement to settle other litigation.</w:t>
      </w:r>
    </w:p>
    <w:p>
      <w:pPr>
        <w:spacing w:after="0" w:line="201" w:lineRule="exact"/>
        <w:rPr>
          <w:sz w:val="20"/>
          <w:szCs w:val="20"/>
          <w:color w:val="auto"/>
        </w:rPr>
      </w:pPr>
    </w:p>
    <w:p>
      <w:pPr>
        <w:jc w:val="both"/>
        <w:ind w:right="300"/>
        <w:spacing w:after="0" w:line="386" w:lineRule="auto"/>
        <w:rPr>
          <w:sz w:val="20"/>
          <w:szCs w:val="20"/>
          <w:color w:val="auto"/>
        </w:rPr>
      </w:pPr>
      <w:r>
        <w:rPr>
          <w:rFonts w:ascii="Arial" w:cs="Arial" w:eastAsia="Arial" w:hAnsi="Arial"/>
          <w:sz w:val="16"/>
          <w:szCs w:val="16"/>
          <w:b w:val="1"/>
          <w:bCs w:val="1"/>
          <w:i w:val="1"/>
          <w:iCs w:val="1"/>
          <w:color w:val="auto"/>
        </w:rPr>
        <w:t>Sempra Energy's subsidiaries may elect not to or may not be able to enter into long-term supply and sales agreements or long-term firm capacity agreements for their projects, which would subject their sales to increased volatility and its businesses to increased competition.</w:t>
      </w:r>
    </w:p>
    <w:p>
      <w:pPr>
        <w:spacing w:after="0" w:line="110" w:lineRule="exact"/>
        <w:rPr>
          <w:sz w:val="20"/>
          <w:szCs w:val="20"/>
          <w:color w:val="auto"/>
        </w:rPr>
      </w:pPr>
    </w:p>
    <w:p>
      <w:pPr>
        <w:ind w:right="280"/>
        <w:spacing w:after="0" w:line="244" w:lineRule="auto"/>
        <w:rPr>
          <w:sz w:val="20"/>
          <w:szCs w:val="20"/>
          <w:color w:val="auto"/>
        </w:rPr>
      </w:pPr>
      <w:r>
        <w:rPr>
          <w:rFonts w:ascii="Arial" w:cs="Arial" w:eastAsia="Arial" w:hAnsi="Arial"/>
          <w:sz w:val="20"/>
          <w:szCs w:val="20"/>
          <w:color w:val="auto"/>
        </w:rPr>
        <w:t>The electric generation and wholesale power sales industries have become highly competitive. As more plants are built and competitive pressures increase, wholesale electricity prices may become more volatile. Without the benefit of long-term power sales agreements, such as the 10-year power sales agreement between Sempra Generation and the DWR expiring in 2011, Sempra Energy's sales may be subject to increased price volatility, and it may be unable to sell the power generated by Sempra Generation's facilities or operate those facilities profitably.</w:t>
      </w:r>
    </w:p>
    <w:p>
      <w:pPr>
        <w:spacing w:after="0" w:line="222"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Sempra LNG intends to utilize its regasification terminals by entering into long-term firm capacity service agreements whereby customers would pay Sempra LNG fees to use Sempra LNG's facilities to regasify the customer's LNG or by entering into long-term supply agreements for the purchase of LNG to be regasified at its terminals for sale to other parties. In the case of long-term supply agreements, these contracts are expected to substantially reduce its exposure to changes in natural gas prices through corresponding natural gas sales agreements or by tying supply prices to prevailing natural gas price market indices. However, if Sempra LNG is unable to obtain such long-term agreements or if the counterparties, customers or suppliers to one or more of the key agreements for the LNG facilities were to fail or become unable to meet their contractual obligations on a timely basis, it could have a material adverse effect on Sempra Energy's business, results of operations, cash flows and financial condition. In addition, reduced availability of LNG due to inadequate supplies, delays in the development of new liquefaction capacity and increased demand are affecting the timing of development of new LNG facilities and expansion of existing facilities, and are likely to delay near-term attainment of full-capacity utilization when facilities under construction become operational. The company's potential LNG suppliers also may be subject to international political and economic pressures and risks which may also affect the supply of LNG.</w:t>
      </w:r>
    </w:p>
    <w:p>
      <w:pPr>
        <w:spacing w:after="0" w:line="198" w:lineRule="exact"/>
        <w:rPr>
          <w:sz w:val="20"/>
          <w:szCs w:val="20"/>
          <w:color w:val="auto"/>
        </w:rPr>
      </w:pPr>
    </w:p>
    <w:p>
      <w:pPr>
        <w:ind w:right="140"/>
        <w:spacing w:after="0" w:line="260" w:lineRule="auto"/>
        <w:rPr>
          <w:sz w:val="20"/>
          <w:szCs w:val="20"/>
          <w:color w:val="auto"/>
        </w:rPr>
      </w:pPr>
      <w:r>
        <w:rPr>
          <w:rFonts w:ascii="Arial" w:cs="Arial" w:eastAsia="Arial" w:hAnsi="Arial"/>
          <w:sz w:val="20"/>
          <w:szCs w:val="20"/>
          <w:color w:val="auto"/>
        </w:rPr>
        <w:t>Sempra Pipelines &amp; Storage's natural gas pipeline operations will be dependent on supplies of natural gas from their transportation customers, which may include Sempra LNG facilities.</w:t>
      </w:r>
    </w:p>
    <w:p>
      <w:pPr>
        <w:spacing w:after="0" w:line="204" w:lineRule="exact"/>
        <w:rPr>
          <w:sz w:val="20"/>
          <w:szCs w:val="20"/>
          <w:color w:val="auto"/>
        </w:rPr>
      </w:pPr>
    </w:p>
    <w:p>
      <w:pPr>
        <w:ind w:right="220"/>
        <w:spacing w:after="0" w:line="287" w:lineRule="auto"/>
        <w:rPr>
          <w:sz w:val="20"/>
          <w:szCs w:val="20"/>
          <w:color w:val="auto"/>
        </w:rPr>
      </w:pPr>
      <w:r>
        <w:rPr>
          <w:rFonts w:ascii="Arial" w:cs="Arial" w:eastAsia="Arial" w:hAnsi="Arial"/>
          <w:sz w:val="19"/>
          <w:szCs w:val="19"/>
          <w:b w:val="1"/>
          <w:bCs w:val="1"/>
          <w:i w:val="1"/>
          <w:iCs w:val="1"/>
          <w:color w:val="auto"/>
        </w:rPr>
        <w:t>Business development activities may not be successful and projects under construction may not commence operation as scheduled, which could increase Sempra Energy's costs and impair its ability to recover its investments.</w:t>
      </w:r>
    </w:p>
    <w:p>
      <w:pPr>
        <w:spacing w:after="0" w:line="180" w:lineRule="exact"/>
        <w:rPr>
          <w:sz w:val="20"/>
          <w:szCs w:val="20"/>
          <w:color w:val="auto"/>
        </w:rPr>
      </w:pPr>
    </w:p>
    <w:p>
      <w:pPr>
        <w:ind w:right="120"/>
        <w:spacing w:after="0" w:line="256" w:lineRule="auto"/>
        <w:rPr>
          <w:sz w:val="20"/>
          <w:szCs w:val="20"/>
          <w:color w:val="auto"/>
        </w:rPr>
      </w:pPr>
      <w:r>
        <w:rPr>
          <w:rFonts w:ascii="Arial" w:cs="Arial" w:eastAsia="Arial" w:hAnsi="Arial"/>
          <w:sz w:val="19"/>
          <w:szCs w:val="19"/>
          <w:color w:val="auto"/>
        </w:rPr>
        <w:t>The acquisition, development and construction of LNG receiving terminals, natural gas pipelines and storage facilities, and other energy infrastructure projects involve numerous risks. Sempra Energy and its subsidiaries may be required to expend significant sums for preliminary engineering, permitting, fuel supply, resource exploration, legal and other expenses before it can be established whether a project is feasible, economically attractive or capable of being built. Sempra Energy's success in developing a particular project is contingent upon, among other things, negotiation of satisfactory engineering, procurement and construction agreements, negotiation of supply and natural gas sales agreements or firm capacity service agreements, receipt of required governmental permits and timely implementation and satisfactory completion of construction. Successful completion of a particular project may be adversely affected by unforeseen engineering problems, construction delays and contractor performance shortfalls, work stoppages, equipment supply, adverse weather conditions, environmental and geological conditions, and other factors. If the company is unable to complete the development of a facility, it typically will not be able to recover its investment in the project.</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400"/>
          </w:cols>
          <w:pgMar w:left="240" w:top="121" w:right="259" w:bottom="1440" w:gutter="0" w:footer="0" w:header="0"/>
        </w:sectPr>
      </w:pPr>
    </w:p>
    <w:bookmarkStart w:id="10" w:name="page11"/>
    <w:bookmarkEnd w:id="10"/>
    <w:p>
      <w:pPr>
        <w:ind w:right="120"/>
        <w:spacing w:after="0" w:line="243" w:lineRule="auto"/>
        <w:rPr>
          <w:sz w:val="20"/>
          <w:szCs w:val="20"/>
          <w:color w:val="auto"/>
        </w:rPr>
      </w:pPr>
      <w:r>
        <w:rPr>
          <w:rFonts w:ascii="Arial" w:cs="Arial" w:eastAsia="Arial" w:hAnsi="Arial"/>
          <w:sz w:val="20"/>
          <w:szCs w:val="20"/>
          <w:color w:val="auto"/>
        </w:rPr>
        <w:t>The operation of existing and future facilities also involves many risks, including the breakdown or failure of generation or regasification and storage facilities or other equipment or processes, labor disputes, fuel interruption and operating performance below expected levels. In addition, weather-related incidents and other natural disasters can disrupt generation, regasification, storage and transmission systems. The occurrence of any of these events could lead to operating facilities below expected capacity levels, which may result in lost revenues or increased expenses, including higher maintenance costs and penalties, and could adversely affect Sempra Energy's business, cash flows and results of operations.</w:t>
      </w:r>
    </w:p>
    <w:p>
      <w:pPr>
        <w:spacing w:after="0" w:line="224" w:lineRule="exact"/>
        <w:rPr>
          <w:sz w:val="20"/>
          <w:szCs w:val="20"/>
          <w:color w:val="auto"/>
        </w:rPr>
      </w:pPr>
    </w:p>
    <w:p>
      <w:pPr>
        <w:ind w:right="300"/>
        <w:spacing w:after="0" w:line="260" w:lineRule="auto"/>
        <w:rPr>
          <w:sz w:val="20"/>
          <w:szCs w:val="20"/>
          <w:color w:val="auto"/>
        </w:rPr>
      </w:pPr>
      <w:r>
        <w:rPr>
          <w:rFonts w:ascii="Arial" w:cs="Arial" w:eastAsia="Arial" w:hAnsi="Arial"/>
          <w:sz w:val="20"/>
          <w:szCs w:val="20"/>
          <w:b w:val="1"/>
          <w:bCs w:val="1"/>
          <w:i w:val="1"/>
          <w:iCs w:val="1"/>
          <w:color w:val="auto"/>
        </w:rPr>
        <w:t>Sempra Energy's subsidiaries rely on transportation assets and services that they do not own or control to deliver electricity and natural gas.</w:t>
      </w:r>
    </w:p>
    <w:p>
      <w:pPr>
        <w:spacing w:after="0" w:line="204" w:lineRule="exact"/>
        <w:rPr>
          <w:sz w:val="20"/>
          <w:szCs w:val="20"/>
          <w:color w:val="auto"/>
        </w:rPr>
      </w:pPr>
    </w:p>
    <w:p>
      <w:pPr>
        <w:spacing w:after="0" w:line="257" w:lineRule="auto"/>
        <w:rPr>
          <w:sz w:val="20"/>
          <w:szCs w:val="20"/>
          <w:color w:val="auto"/>
        </w:rPr>
      </w:pPr>
      <w:r>
        <w:rPr>
          <w:rFonts w:ascii="Arial" w:cs="Arial" w:eastAsia="Arial" w:hAnsi="Arial"/>
          <w:sz w:val="19"/>
          <w:szCs w:val="19"/>
          <w:color w:val="auto"/>
        </w:rPr>
        <w:t>Sempra Energy's subsidiaries depend on electric transmission lines, natural gas pipelines and other transportation facilities owned and operated by third parties to deliver the electricity and natural gas they sell to wholesale markets, to supply natural gas to their electric generation facilities, and to provide retail energy services to customers. Sempra Pipelines &amp; Storage also depends on natural gas pipelines to interconnect with their ultimate source or customers of the commodities they are transporting. Sempra LNG also will rely on specialized LNG ships to transport LNG to its LNG facilities and on natural gas pipelines to transport natural gas for customers of the facilities. If transportation is disrupted, or if capacity is inadequate, the ability of Sempra Energy's subsidiaries to sell and deliver their products and services may be hindered. As a result, they may be responsible for damages incurred by their customers, such as the additional cost of acquiring alternative supply at then-current spot market rates.</w:t>
      </w:r>
    </w:p>
    <w:p>
      <w:pPr>
        <w:spacing w:after="0" w:line="208" w:lineRule="exact"/>
        <w:rPr>
          <w:sz w:val="20"/>
          <w:szCs w:val="20"/>
          <w:color w:val="auto"/>
        </w:rPr>
      </w:pPr>
    </w:p>
    <w:p>
      <w:pPr>
        <w:ind w:right="120"/>
        <w:spacing w:after="0" w:line="250" w:lineRule="auto"/>
        <w:rPr>
          <w:sz w:val="20"/>
          <w:szCs w:val="20"/>
          <w:color w:val="auto"/>
        </w:rPr>
      </w:pPr>
      <w:r>
        <w:rPr>
          <w:rFonts w:ascii="Arial" w:cs="Arial" w:eastAsia="Arial" w:hAnsi="Arial"/>
          <w:sz w:val="20"/>
          <w:szCs w:val="20"/>
          <w:b w:val="1"/>
          <w:bCs w:val="1"/>
          <w:i w:val="1"/>
          <w:iCs w:val="1"/>
          <w:color w:val="auto"/>
        </w:rPr>
        <w:t>Sempra Energy's businesses require numerous permits and other governmental approvals from various federal, state, local and foreign governmental agencies, and any failure to obtain or maintain required permits or approvals could cause Sempra Energy's sales to decline and/or its costs to increase.</w:t>
      </w:r>
    </w:p>
    <w:p>
      <w:pPr>
        <w:spacing w:after="0" w:line="213" w:lineRule="exact"/>
        <w:rPr>
          <w:sz w:val="20"/>
          <w:szCs w:val="20"/>
          <w:color w:val="auto"/>
        </w:rPr>
      </w:pPr>
    </w:p>
    <w:p>
      <w:pPr>
        <w:ind w:right="20"/>
        <w:spacing w:after="0" w:line="260" w:lineRule="auto"/>
        <w:rPr>
          <w:sz w:val="20"/>
          <w:szCs w:val="20"/>
          <w:color w:val="auto"/>
        </w:rPr>
      </w:pPr>
      <w:r>
        <w:rPr>
          <w:rFonts w:ascii="Arial" w:cs="Arial" w:eastAsia="Arial" w:hAnsi="Arial"/>
          <w:sz w:val="19"/>
          <w:szCs w:val="19"/>
          <w:color w:val="auto"/>
        </w:rPr>
        <w:t>The acquisition, ownership and operation of LNG receiving terminals, natural gas pipelines and storage facilities, and electric generation facilities require numerous permits, approvals and certificates from federal, state, local and foreign governmental agencies. All of the existing and planned development projects of Sempra Energy's subsidiaries require multiple permits. If there is a delay in obtaining any required regulatory approvals or if the company fails to obtain or maintain any required approvals or to comply with any applicable laws or regulations, it may not be able to operate its facilities, or it may be forced to incur additional costs.</w:t>
      </w:r>
    </w:p>
    <w:p>
      <w:pPr>
        <w:spacing w:after="0" w:line="208" w:lineRule="exact"/>
        <w:rPr>
          <w:sz w:val="20"/>
          <w:szCs w:val="20"/>
          <w:color w:val="auto"/>
        </w:rPr>
      </w:pPr>
    </w:p>
    <w:p>
      <w:pPr>
        <w:ind w:right="60"/>
        <w:spacing w:after="0" w:line="260" w:lineRule="auto"/>
        <w:rPr>
          <w:sz w:val="20"/>
          <w:szCs w:val="20"/>
          <w:color w:val="auto"/>
        </w:rPr>
      </w:pPr>
      <w:r>
        <w:rPr>
          <w:rFonts w:ascii="Arial" w:cs="Arial" w:eastAsia="Arial" w:hAnsi="Arial"/>
          <w:sz w:val="20"/>
          <w:szCs w:val="20"/>
          <w:b w:val="1"/>
          <w:bCs w:val="1"/>
          <w:i w:val="1"/>
          <w:iCs w:val="1"/>
          <w:color w:val="auto"/>
        </w:rPr>
        <w:t>Sempra Energy's businesses are subject to complex government regulations and may be adversely affected by changes in these regulations or in their interpretation or implementation.</w:t>
      </w:r>
    </w:p>
    <w:p>
      <w:pPr>
        <w:spacing w:after="0" w:line="204"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In recent years, the regulatory environment applicable to the electric power and natural gas industries has undergone significant changes, on both federal and state levels, which have affected the nature of these industries and the manner in which their participants conduct their businesses. These changes are ongoing, and Sempra Energy cannot predict the future course of changes in this regulatory environment or the ultimate effect that this changing regulatory environment will have on its businesses. Moreover, existing regulations may be revised or reinterpreted, and new laws and regulations may be adopted or become applicable to the company and its facilities. Future changes in laws and regulations may have a detrimental effect on Sempra Energy's business, cash flows, financial condition and results of operations.</w:t>
      </w:r>
    </w:p>
    <w:p>
      <w:pPr>
        <w:spacing w:after="0" w:line="192" w:lineRule="exact"/>
        <w:rPr>
          <w:sz w:val="20"/>
          <w:szCs w:val="20"/>
          <w:color w:val="auto"/>
        </w:rPr>
      </w:pPr>
    </w:p>
    <w:p>
      <w:pPr>
        <w:ind w:right="220"/>
        <w:spacing w:after="0" w:line="291" w:lineRule="auto"/>
        <w:rPr>
          <w:sz w:val="20"/>
          <w:szCs w:val="20"/>
          <w:color w:val="auto"/>
        </w:rPr>
      </w:pPr>
      <w:r>
        <w:rPr>
          <w:rFonts w:ascii="Arial" w:cs="Arial" w:eastAsia="Arial" w:hAnsi="Arial"/>
          <w:sz w:val="18"/>
          <w:szCs w:val="18"/>
          <w:color w:val="auto"/>
        </w:rPr>
        <w:t>Sempra Energy's other operations are subject to affiliate rules relating to transactions with the Sempra Utilities and with each other. These businesses could be adversely affected by changes in these rules or by additional CPUC or FERC rules' further restricting their ability to sell electricity or natural gas or to trade with the Sempra Utilities and with each other. Affiliate transaction rules also could require these</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340"/>
          </w:cols>
          <w:pgMar w:left="240" w:top="366" w:right="319" w:bottom="1440" w:gutter="0" w:footer="0" w:header="0"/>
        </w:sectPr>
      </w:pPr>
    </w:p>
    <w:bookmarkStart w:id="11" w:name="page12"/>
    <w:bookmarkEnd w:id="11"/>
    <w:p>
      <w:pPr>
        <w:ind w:right="120"/>
        <w:spacing w:after="0" w:line="250" w:lineRule="auto"/>
        <w:rPr>
          <w:sz w:val="20"/>
          <w:szCs w:val="20"/>
          <w:color w:val="auto"/>
        </w:rPr>
      </w:pPr>
      <w:r>
        <w:rPr>
          <w:rFonts w:ascii="Arial" w:cs="Arial" w:eastAsia="Arial" w:hAnsi="Arial"/>
          <w:sz w:val="20"/>
          <w:szCs w:val="20"/>
          <w:color w:val="auto"/>
        </w:rPr>
        <w:t>businesses to obtain the prior approval of the CPUC before entering into any such transactions with the Sempra Utilities. Any such restrictions or approval requirements could adversely affect the LNG receiving terminals, natural gas pipelines, electric generation facilities or trading operations of the company's subsidiaries.</w:t>
      </w:r>
    </w:p>
    <w:p>
      <w:pPr>
        <w:spacing w:after="0" w:line="214" w:lineRule="exact"/>
        <w:rPr>
          <w:sz w:val="20"/>
          <w:szCs w:val="20"/>
          <w:color w:val="auto"/>
        </w:rPr>
      </w:pPr>
    </w:p>
    <w:p>
      <w:pPr>
        <w:ind w:right="500"/>
        <w:spacing w:after="0" w:line="250" w:lineRule="auto"/>
        <w:rPr>
          <w:sz w:val="20"/>
          <w:szCs w:val="20"/>
          <w:color w:val="auto"/>
        </w:rPr>
      </w:pPr>
      <w:r>
        <w:rPr>
          <w:rFonts w:ascii="Arial" w:cs="Arial" w:eastAsia="Arial" w:hAnsi="Arial"/>
          <w:sz w:val="20"/>
          <w:szCs w:val="20"/>
          <w:color w:val="auto"/>
        </w:rPr>
        <w:t>Various proceedings, inquiries and investigations relating to the business activities of Sempra Generation and Sempra Commodities are currently pending before the FERC. A description of such proceedings, inquiries and investigations is provided in Note 16 of the Notes to Consolidated Financial Statements.</w:t>
      </w:r>
    </w:p>
    <w:p>
      <w:pPr>
        <w:spacing w:after="0" w:line="213" w:lineRule="exact"/>
        <w:rPr>
          <w:sz w:val="20"/>
          <w:szCs w:val="20"/>
          <w:color w:val="auto"/>
        </w:rPr>
      </w:pPr>
    </w:p>
    <w:p>
      <w:pPr>
        <w:ind w:right="140"/>
        <w:spacing w:after="0" w:line="287" w:lineRule="auto"/>
        <w:rPr>
          <w:sz w:val="20"/>
          <w:szCs w:val="20"/>
          <w:color w:val="auto"/>
        </w:rPr>
      </w:pPr>
      <w:r>
        <w:rPr>
          <w:rFonts w:ascii="Arial" w:cs="Arial" w:eastAsia="Arial" w:hAnsi="Arial"/>
          <w:sz w:val="19"/>
          <w:szCs w:val="19"/>
          <w:b w:val="1"/>
          <w:bCs w:val="1"/>
          <w:i w:val="1"/>
          <w:iCs w:val="1"/>
          <w:color w:val="auto"/>
        </w:rPr>
        <w:t>Sempra Energy's international businesses are exposed to different local, regulatory and business risks and challenges, which could have a material adverse effect on Sempra Energy's financial condition, cash flows and results of operations.</w:t>
      </w:r>
    </w:p>
    <w:p>
      <w:pPr>
        <w:spacing w:after="0" w:line="180" w:lineRule="exact"/>
        <w:rPr>
          <w:sz w:val="20"/>
          <w:szCs w:val="20"/>
          <w:color w:val="auto"/>
        </w:rPr>
      </w:pPr>
    </w:p>
    <w:p>
      <w:pPr>
        <w:ind w:right="400"/>
        <w:spacing w:after="0" w:line="244" w:lineRule="auto"/>
        <w:rPr>
          <w:sz w:val="20"/>
          <w:szCs w:val="20"/>
          <w:color w:val="auto"/>
        </w:rPr>
      </w:pPr>
      <w:r>
        <w:rPr>
          <w:rFonts w:ascii="Arial" w:cs="Arial" w:eastAsia="Arial" w:hAnsi="Arial"/>
          <w:sz w:val="20"/>
          <w:szCs w:val="20"/>
          <w:color w:val="auto"/>
        </w:rPr>
        <w:t>Sempra Energy subsidiaries have interests in electricity generation, natural gas distribution and transmission, and LNG terminal projects in Mexico, and also have trading, marketing and risk management operations in Canada, Europe and Asia. Sempra Pipelines &amp; Storage has ownership interests in electricity and natural gas distribution businesses in Argentina, Chile and Peru. Developing infrastructure projects, owning energy assets and operating businesses in foreign jurisdictions subject the company to significant political, legal and financial risks which vary by country, including:</w:t>
      </w:r>
    </w:p>
    <w:p>
      <w:pPr>
        <w:spacing w:after="0" w:line="222" w:lineRule="exact"/>
        <w:rPr>
          <w:sz w:val="20"/>
          <w:szCs w:val="20"/>
          <w:color w:val="auto"/>
        </w:rPr>
      </w:pPr>
    </w:p>
    <w:p>
      <w:pPr>
        <w:ind w:left="1300" w:right="180" w:hanging="320"/>
        <w:spacing w:after="0" w:line="260" w:lineRule="auto"/>
        <w:tabs>
          <w:tab w:leader="none" w:pos="1300" w:val="left"/>
        </w:tabs>
        <w:numPr>
          <w:ilvl w:val="0"/>
          <w:numId w:val="4"/>
        </w:numPr>
        <w:rPr>
          <w:rFonts w:ascii="Arial" w:cs="Arial" w:eastAsia="Arial" w:hAnsi="Arial"/>
          <w:sz w:val="20"/>
          <w:szCs w:val="20"/>
          <w:color w:val="auto"/>
        </w:rPr>
      </w:pPr>
      <w:r>
        <w:rPr>
          <w:rFonts w:ascii="Arial" w:cs="Arial" w:eastAsia="Arial" w:hAnsi="Arial"/>
          <w:sz w:val="20"/>
          <w:szCs w:val="20"/>
          <w:color w:val="auto"/>
        </w:rPr>
        <w:t>changes in foreign laws and regulations, including tax and environmental laws and regulations, and U.S. laws and regulations related to foreign operations;</w:t>
      </w:r>
    </w:p>
    <w:p>
      <w:pPr>
        <w:spacing w:after="0" w:line="149" w:lineRule="exact"/>
        <w:rPr>
          <w:rFonts w:ascii="Arial" w:cs="Arial" w:eastAsia="Arial" w:hAnsi="Arial"/>
          <w:sz w:val="20"/>
          <w:szCs w:val="20"/>
          <w:color w:val="auto"/>
        </w:rPr>
      </w:pPr>
    </w:p>
    <w:p>
      <w:pPr>
        <w:ind w:left="1300" w:hanging="320"/>
        <w:spacing w:after="0"/>
        <w:tabs>
          <w:tab w:leader="none" w:pos="1300" w:val="left"/>
        </w:tabs>
        <w:numPr>
          <w:ilvl w:val="0"/>
          <w:numId w:val="4"/>
        </w:numPr>
        <w:rPr>
          <w:rFonts w:ascii="Arial" w:cs="Arial" w:eastAsia="Arial" w:hAnsi="Arial"/>
          <w:sz w:val="20"/>
          <w:szCs w:val="20"/>
          <w:color w:val="auto"/>
        </w:rPr>
      </w:pPr>
      <w:r>
        <w:rPr>
          <w:rFonts w:ascii="Arial" w:cs="Arial" w:eastAsia="Arial" w:hAnsi="Arial"/>
          <w:sz w:val="20"/>
          <w:szCs w:val="20"/>
          <w:color w:val="auto"/>
        </w:rPr>
        <w:t>high rates of inflation;</w:t>
      </w:r>
    </w:p>
    <w:p>
      <w:pPr>
        <w:spacing w:after="0" w:line="188" w:lineRule="exact"/>
        <w:rPr>
          <w:rFonts w:ascii="Arial" w:cs="Arial" w:eastAsia="Arial" w:hAnsi="Arial"/>
          <w:sz w:val="20"/>
          <w:szCs w:val="20"/>
          <w:color w:val="auto"/>
        </w:rPr>
      </w:pPr>
    </w:p>
    <w:p>
      <w:pPr>
        <w:ind w:left="1300" w:hanging="320"/>
        <w:spacing w:after="0"/>
        <w:tabs>
          <w:tab w:leader="none" w:pos="1300" w:val="left"/>
        </w:tabs>
        <w:numPr>
          <w:ilvl w:val="0"/>
          <w:numId w:val="4"/>
        </w:numPr>
        <w:rPr>
          <w:rFonts w:ascii="Arial" w:cs="Arial" w:eastAsia="Arial" w:hAnsi="Arial"/>
          <w:sz w:val="20"/>
          <w:szCs w:val="20"/>
          <w:color w:val="auto"/>
        </w:rPr>
      </w:pPr>
      <w:r>
        <w:rPr>
          <w:rFonts w:ascii="Arial" w:cs="Arial" w:eastAsia="Arial" w:hAnsi="Arial"/>
          <w:sz w:val="20"/>
          <w:szCs w:val="20"/>
          <w:color w:val="auto"/>
        </w:rPr>
        <w:t>changes in government policies or personnel;</w:t>
      </w:r>
    </w:p>
    <w:p>
      <w:pPr>
        <w:spacing w:after="0" w:line="202" w:lineRule="exact"/>
        <w:rPr>
          <w:rFonts w:ascii="Arial" w:cs="Arial" w:eastAsia="Arial" w:hAnsi="Arial"/>
          <w:sz w:val="20"/>
          <w:szCs w:val="20"/>
          <w:color w:val="auto"/>
        </w:rPr>
      </w:pPr>
    </w:p>
    <w:p>
      <w:pPr>
        <w:ind w:left="1300" w:hanging="320"/>
        <w:spacing w:after="0"/>
        <w:tabs>
          <w:tab w:leader="none" w:pos="1300" w:val="left"/>
        </w:tabs>
        <w:numPr>
          <w:ilvl w:val="0"/>
          <w:numId w:val="4"/>
        </w:numPr>
        <w:rPr>
          <w:rFonts w:ascii="Arial" w:cs="Arial" w:eastAsia="Arial" w:hAnsi="Arial"/>
          <w:sz w:val="20"/>
          <w:szCs w:val="20"/>
          <w:color w:val="auto"/>
        </w:rPr>
      </w:pPr>
      <w:r>
        <w:rPr>
          <w:rFonts w:ascii="Arial" w:cs="Arial" w:eastAsia="Arial" w:hAnsi="Arial"/>
          <w:sz w:val="20"/>
          <w:szCs w:val="20"/>
          <w:color w:val="auto"/>
        </w:rPr>
        <w:t>trade restrictions;</w:t>
      </w:r>
    </w:p>
    <w:p>
      <w:pPr>
        <w:spacing w:after="0" w:line="188" w:lineRule="exact"/>
        <w:rPr>
          <w:rFonts w:ascii="Arial" w:cs="Arial" w:eastAsia="Arial" w:hAnsi="Arial"/>
          <w:sz w:val="20"/>
          <w:szCs w:val="20"/>
          <w:color w:val="auto"/>
        </w:rPr>
      </w:pPr>
    </w:p>
    <w:p>
      <w:pPr>
        <w:ind w:left="1300" w:hanging="320"/>
        <w:spacing w:after="0"/>
        <w:tabs>
          <w:tab w:leader="none" w:pos="1300" w:val="left"/>
        </w:tabs>
        <w:numPr>
          <w:ilvl w:val="0"/>
          <w:numId w:val="4"/>
        </w:numPr>
        <w:rPr>
          <w:rFonts w:ascii="Arial" w:cs="Arial" w:eastAsia="Arial" w:hAnsi="Arial"/>
          <w:sz w:val="20"/>
          <w:szCs w:val="20"/>
          <w:color w:val="auto"/>
        </w:rPr>
      </w:pPr>
      <w:r>
        <w:rPr>
          <w:rFonts w:ascii="Arial" w:cs="Arial" w:eastAsia="Arial" w:hAnsi="Arial"/>
          <w:sz w:val="20"/>
          <w:szCs w:val="20"/>
          <w:color w:val="auto"/>
        </w:rPr>
        <w:t>limitations on U.S. company ownership in foreign countries;</w:t>
      </w:r>
    </w:p>
    <w:p>
      <w:pPr>
        <w:spacing w:after="0" w:line="188" w:lineRule="exact"/>
        <w:rPr>
          <w:rFonts w:ascii="Arial" w:cs="Arial" w:eastAsia="Arial" w:hAnsi="Arial"/>
          <w:sz w:val="20"/>
          <w:szCs w:val="20"/>
          <w:color w:val="auto"/>
        </w:rPr>
      </w:pPr>
    </w:p>
    <w:p>
      <w:pPr>
        <w:ind w:left="1300" w:hanging="320"/>
        <w:spacing w:after="0"/>
        <w:tabs>
          <w:tab w:leader="none" w:pos="1300" w:val="left"/>
        </w:tabs>
        <w:numPr>
          <w:ilvl w:val="0"/>
          <w:numId w:val="4"/>
        </w:numPr>
        <w:rPr>
          <w:rFonts w:ascii="Arial" w:cs="Arial" w:eastAsia="Arial" w:hAnsi="Arial"/>
          <w:sz w:val="20"/>
          <w:szCs w:val="20"/>
          <w:color w:val="auto"/>
        </w:rPr>
      </w:pPr>
      <w:r>
        <w:rPr>
          <w:rFonts w:ascii="Arial" w:cs="Arial" w:eastAsia="Arial" w:hAnsi="Arial"/>
          <w:sz w:val="20"/>
          <w:szCs w:val="20"/>
          <w:color w:val="auto"/>
        </w:rPr>
        <w:t>permitting and regulatory compliance;</w:t>
      </w:r>
    </w:p>
    <w:p>
      <w:pPr>
        <w:spacing w:after="0" w:line="202" w:lineRule="exact"/>
        <w:rPr>
          <w:rFonts w:ascii="Arial" w:cs="Arial" w:eastAsia="Arial" w:hAnsi="Arial"/>
          <w:sz w:val="20"/>
          <w:szCs w:val="20"/>
          <w:color w:val="auto"/>
        </w:rPr>
      </w:pPr>
    </w:p>
    <w:p>
      <w:pPr>
        <w:ind w:left="1300" w:hanging="320"/>
        <w:spacing w:after="0"/>
        <w:tabs>
          <w:tab w:leader="none" w:pos="1300" w:val="left"/>
        </w:tabs>
        <w:numPr>
          <w:ilvl w:val="0"/>
          <w:numId w:val="4"/>
        </w:numPr>
        <w:rPr>
          <w:rFonts w:ascii="Arial" w:cs="Arial" w:eastAsia="Arial" w:hAnsi="Arial"/>
          <w:sz w:val="20"/>
          <w:szCs w:val="20"/>
          <w:color w:val="auto"/>
        </w:rPr>
      </w:pPr>
      <w:r>
        <w:rPr>
          <w:rFonts w:ascii="Arial" w:cs="Arial" w:eastAsia="Arial" w:hAnsi="Arial"/>
          <w:sz w:val="20"/>
          <w:szCs w:val="20"/>
          <w:color w:val="auto"/>
        </w:rPr>
        <w:t>changes in labor supply and labor relations in operations outside the U.S.;</w:t>
      </w:r>
    </w:p>
    <w:p>
      <w:pPr>
        <w:spacing w:after="0" w:line="188" w:lineRule="exact"/>
        <w:rPr>
          <w:rFonts w:ascii="Arial" w:cs="Arial" w:eastAsia="Arial" w:hAnsi="Arial"/>
          <w:sz w:val="20"/>
          <w:szCs w:val="20"/>
          <w:color w:val="auto"/>
        </w:rPr>
      </w:pPr>
    </w:p>
    <w:p>
      <w:pPr>
        <w:ind w:left="1300" w:right="360" w:hanging="320"/>
        <w:spacing w:after="0" w:line="260" w:lineRule="auto"/>
        <w:tabs>
          <w:tab w:leader="none" w:pos="1300" w:val="left"/>
        </w:tabs>
        <w:numPr>
          <w:ilvl w:val="0"/>
          <w:numId w:val="4"/>
        </w:numPr>
        <w:rPr>
          <w:rFonts w:ascii="Arial" w:cs="Arial" w:eastAsia="Arial" w:hAnsi="Arial"/>
          <w:sz w:val="20"/>
          <w:szCs w:val="20"/>
          <w:color w:val="auto"/>
        </w:rPr>
      </w:pPr>
      <w:r>
        <w:rPr>
          <w:rFonts w:ascii="Arial" w:cs="Arial" w:eastAsia="Arial" w:hAnsi="Arial"/>
          <w:sz w:val="20"/>
          <w:szCs w:val="20"/>
          <w:color w:val="auto"/>
        </w:rPr>
        <w:t>adverse rulings by foreign courts or tribunals, challenges to permits, difficulty in enforcing contractual rights, and unsettled property rights and titles in Mexico and other foreign jurisdictions; and</w:t>
      </w:r>
    </w:p>
    <w:p>
      <w:pPr>
        <w:spacing w:after="0" w:line="149" w:lineRule="exact"/>
        <w:rPr>
          <w:rFonts w:ascii="Arial" w:cs="Arial" w:eastAsia="Arial" w:hAnsi="Arial"/>
          <w:sz w:val="20"/>
          <w:szCs w:val="20"/>
          <w:color w:val="auto"/>
        </w:rPr>
      </w:pPr>
    </w:p>
    <w:p>
      <w:pPr>
        <w:ind w:left="1300" w:hanging="320"/>
        <w:spacing w:after="0"/>
        <w:tabs>
          <w:tab w:leader="none" w:pos="1300" w:val="left"/>
        </w:tabs>
        <w:numPr>
          <w:ilvl w:val="0"/>
          <w:numId w:val="4"/>
        </w:numPr>
        <w:rPr>
          <w:rFonts w:ascii="Arial" w:cs="Arial" w:eastAsia="Arial" w:hAnsi="Arial"/>
          <w:sz w:val="20"/>
          <w:szCs w:val="20"/>
          <w:color w:val="auto"/>
        </w:rPr>
      </w:pPr>
      <w:r>
        <w:rPr>
          <w:rFonts w:ascii="Arial" w:cs="Arial" w:eastAsia="Arial" w:hAnsi="Arial"/>
          <w:sz w:val="20"/>
          <w:szCs w:val="20"/>
          <w:color w:val="auto"/>
        </w:rPr>
        <w:t>general political, economic and business conditions.</w:t>
      </w:r>
    </w:p>
    <w:p>
      <w:pPr>
        <w:spacing w:after="0" w:line="202"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Sempra Energy's international businesses also are subject to foreign currency risks. These risks arise from both volatility in foreign currency exchange rates and devaluations of foreign currencies. In such cases, an appreciation of the U.S. dollar against a local currency could reduce the amount of cash and income received from those foreign subsidiaries. While Sempra Pipelines &amp; Storage believes that it has contracts and other measures in place to mitigate its most significant foreign currency exchange risks, it has some exposure that is not fully mitigated.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1420"/>
          </w:cols>
          <w:pgMar w:left="240" w:top="121"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A downgrade in Sempra Energy's credit ratings could negatively affect its commodities trading and other non-utility businesses.</w:t>
      </w:r>
    </w:p>
    <w:p>
      <w:pPr>
        <w:spacing w:after="0" w:line="267"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If Sempra Energy's credit ratings were to be downgraded, the business prospects of its commodities trading and other non-utility businesses, which generally rely on the credit-worthiness of Sempra Energy, would be adversely affected. Sempra Commodities would be required to comply with various margin or other credit enhancement obligations under its trading and marketing contracts, substantially all of which are guaranteed by Sempra Energy, and it may be unable to continue to trade or able to do so only on less-favorable terms. To meet liquidity requirements, Sempra Energy and its subsidiaries maintain substantial unused committed lines of credit for which borrowings are available without regard to credit ratings. However, a ratings downgrade could require Sempra Energy to divert to Sempra Commodities all or a portion of the liquidity that these lines would otherwise provide for the expansion of Sempra Energy's other non-utility businesses. In addition, if these lines were to become unavailable or to be inadequate to meet margin and other credit enhancement requirements, Sempra Commodities’ trading partners could exercise other remedies such as liquidating and netting their exposures to Sempra Commodities, making it more difficult or impossible for Sempra Commodities to manage effectively its remaining trading positions or to continue its trading business, and Sempra Energy and its subsidiaries may not have sufficient liquidity to meet their obligations.</w:t>
      </w:r>
    </w:p>
    <w:p>
      <w:pPr>
        <w:spacing w:after="0" w:line="198" w:lineRule="exact"/>
        <w:rPr>
          <w:sz w:val="20"/>
          <w:szCs w:val="20"/>
          <w:color w:val="auto"/>
        </w:rPr>
      </w:pPr>
    </w:p>
    <w:p>
      <w:pPr>
        <w:ind w:right="120"/>
        <w:spacing w:after="0" w:line="250" w:lineRule="auto"/>
        <w:rPr>
          <w:sz w:val="20"/>
          <w:szCs w:val="20"/>
          <w:color w:val="auto"/>
        </w:rPr>
      </w:pPr>
      <w:r>
        <w:rPr>
          <w:rFonts w:ascii="Arial" w:cs="Arial" w:eastAsia="Arial" w:hAnsi="Arial"/>
          <w:sz w:val="20"/>
          <w:szCs w:val="20"/>
          <w:color w:val="auto"/>
        </w:rPr>
        <w:t>Under the terms of the agreement for the pending joint venture transaction with RBS, RBS will provide all credit support for the commodities-marketing business, and that business will no longer be dependent on Sempra Energy’s credit ratings. Additional information is provided in "Sempra Global -- Joint Venture Agreement with RBS."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Other Risks Related to the Company</w:t>
      </w:r>
    </w:p>
    <w:p>
      <w:pPr>
        <w:spacing w:after="0" w:line="249" w:lineRule="exact"/>
        <w:rPr>
          <w:sz w:val="20"/>
          <w:szCs w:val="20"/>
          <w:color w:val="auto"/>
        </w:rPr>
      </w:pPr>
    </w:p>
    <w:p>
      <w:pPr>
        <w:ind w:right="140"/>
        <w:spacing w:after="0" w:line="260" w:lineRule="auto"/>
        <w:rPr>
          <w:sz w:val="20"/>
          <w:szCs w:val="20"/>
          <w:color w:val="auto"/>
        </w:rPr>
      </w:pPr>
      <w:r>
        <w:rPr>
          <w:rFonts w:ascii="Arial" w:cs="Arial" w:eastAsia="Arial" w:hAnsi="Arial"/>
          <w:sz w:val="20"/>
          <w:szCs w:val="20"/>
          <w:b w:val="1"/>
          <w:bCs w:val="1"/>
          <w:i w:val="1"/>
          <w:iCs w:val="1"/>
          <w:color w:val="auto"/>
        </w:rPr>
        <w:t>Sempra Energy's businesses have significant environmental compliance costs, and future environmental compliance costs could adversely affect Sempra Energy's profitability.</w:t>
      </w:r>
    </w:p>
    <w:p>
      <w:pPr>
        <w:spacing w:after="0" w:line="204" w:lineRule="exact"/>
        <w:rPr>
          <w:sz w:val="20"/>
          <w:szCs w:val="20"/>
          <w:color w:val="auto"/>
        </w:rPr>
      </w:pPr>
    </w:p>
    <w:p>
      <w:pPr>
        <w:spacing w:after="0" w:line="274" w:lineRule="auto"/>
        <w:rPr>
          <w:sz w:val="20"/>
          <w:szCs w:val="20"/>
          <w:color w:val="auto"/>
        </w:rPr>
      </w:pPr>
      <w:r>
        <w:rPr>
          <w:rFonts w:ascii="Arial" w:cs="Arial" w:eastAsia="Arial" w:hAnsi="Arial"/>
          <w:sz w:val="18"/>
          <w:szCs w:val="18"/>
          <w:color w:val="auto"/>
        </w:rPr>
        <w:t>Sempra Energy's subsidiaries are subject to extensive federal, state, local and foreign statutes, rules and regulations relating to environmental protection, including, in particular, global warming and greenhouse gas (GHG) emissions. They are required to obtain numerous governmental permits, licenses and other approvals to construct and operate their businesses. Additionally, to comply with these legal requirements, they must spend significant sums on environmental monitoring, pollution control equipment, mitigation costs and emissions fees. The company also is generally responsible for all on-site liabilities associated with the environmental condition of its electric generation facilities and other energy projects, regardless of when the liabilities arose and whether they are known or unknown. If Sempra Energy's subsidiaries fail to comply with applicable environmental laws, they may be subject to penalties, fines and/or curtailments of their operati ons.</w:t>
      </w:r>
    </w:p>
    <w:p>
      <w:pPr>
        <w:spacing w:after="0" w:line="196" w:lineRule="exact"/>
        <w:rPr>
          <w:sz w:val="20"/>
          <w:szCs w:val="20"/>
          <w:color w:val="auto"/>
        </w:rPr>
      </w:pPr>
    </w:p>
    <w:p>
      <w:pPr>
        <w:ind w:right="40"/>
        <w:spacing w:after="0" w:line="256" w:lineRule="auto"/>
        <w:rPr>
          <w:sz w:val="20"/>
          <w:szCs w:val="20"/>
          <w:color w:val="auto"/>
        </w:rPr>
      </w:pPr>
      <w:r>
        <w:rPr>
          <w:rFonts w:ascii="Arial" w:cs="Arial" w:eastAsia="Arial" w:hAnsi="Arial"/>
          <w:sz w:val="19"/>
          <w:szCs w:val="19"/>
          <w:color w:val="auto"/>
        </w:rPr>
        <w:t>The scope and effect of new environmental laws and regulations, including their effects on current operations and future expansions, are difficult to predict. Increasing international, national, regional and state-level concerns as well as new or proposed legislation and regulation may have substantial effects on operations, operating costs, and the scope and economics of proposed expansion. In particular, state-level laws and regulations as well as proposed national and international legislation and regulation relating to GHG emissions (including carbon dioxide, methane, nitrogen oxide, hydrofluorocarbon, perfluorocarbon and sulfur hexafluoride) may limit or otherwise adversely affect the operations of Sempra Energy and its subsidiaries. The implementation of recent California legislation and proposed federal legislation may adversely affect Sempra Energy's unregulated businesses by imposing additional costs associated with emission limits and the poss ible requirement of carbon taxes or the purchase of emission credits. Similarly, the Sempra Utilities may be affected if costs are not recoverable in rates and because the effects</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1420"/>
          </w:cols>
          <w:pgMar w:left="240" w:top="122" w:right="239" w:bottom="1440" w:gutter="0" w:footer="0" w:header="0"/>
        </w:sectPr>
      </w:pPr>
    </w:p>
    <w:bookmarkStart w:id="13" w:name="page14"/>
    <w:bookmarkEnd w:id="13"/>
    <w:p>
      <w:pPr>
        <w:ind w:right="100"/>
        <w:spacing w:after="0" w:line="250" w:lineRule="auto"/>
        <w:rPr>
          <w:sz w:val="20"/>
          <w:szCs w:val="20"/>
          <w:color w:val="auto"/>
        </w:rPr>
      </w:pPr>
      <w:r>
        <w:rPr>
          <w:rFonts w:ascii="Arial" w:cs="Arial" w:eastAsia="Arial" w:hAnsi="Arial"/>
          <w:sz w:val="20"/>
          <w:szCs w:val="20"/>
          <w:color w:val="auto"/>
        </w:rPr>
        <w:t>of significantly tougher standards may cause rates to increase to levels that substantially reduce customer demand and growth. In addition, SDG&amp;E may be subject to penalties if certain mandated renewable energy goals are not met. Further discussion of these matters is provided in Notes 14 and 16 of the Notes to Consolidated Financial Statements.</w:t>
      </w:r>
    </w:p>
    <w:p>
      <w:pPr>
        <w:spacing w:after="0" w:line="214" w:lineRule="exact"/>
        <w:rPr>
          <w:sz w:val="20"/>
          <w:szCs w:val="20"/>
          <w:color w:val="auto"/>
        </w:rPr>
      </w:pPr>
    </w:p>
    <w:p>
      <w:pPr>
        <w:ind w:right="300"/>
        <w:spacing w:after="0" w:line="328" w:lineRule="auto"/>
        <w:rPr>
          <w:sz w:val="20"/>
          <w:szCs w:val="20"/>
          <w:color w:val="auto"/>
        </w:rPr>
      </w:pPr>
      <w:r>
        <w:rPr>
          <w:rFonts w:ascii="Arial" w:cs="Arial" w:eastAsia="Arial" w:hAnsi="Arial"/>
          <w:sz w:val="16"/>
          <w:szCs w:val="16"/>
          <w:color w:val="auto"/>
        </w:rPr>
        <w:t>In addition, existing and future laws and regulation on mercury, nitrogen and sulfur oxides, particulates or other emissions could result in requirements for additional pollution control equipment or emission fees and taxes that could adversely affect Sempra Energy's subsidiaries. Moreover, existing rules and regulations may be interpreted or revised in ways that may adversely affect the company and its facilities and operations. Additional information on these matters is provided in Note 14 of the Notes to the Consolidated Financial Statements.</w:t>
      </w:r>
    </w:p>
    <w:p>
      <w:pPr>
        <w:spacing w:after="0" w:line="156" w:lineRule="exact"/>
        <w:rPr>
          <w:sz w:val="20"/>
          <w:szCs w:val="20"/>
          <w:color w:val="auto"/>
        </w:rPr>
      </w:pPr>
    </w:p>
    <w:p>
      <w:pPr>
        <w:spacing w:after="0" w:line="260" w:lineRule="auto"/>
        <w:rPr>
          <w:sz w:val="20"/>
          <w:szCs w:val="20"/>
          <w:color w:val="auto"/>
        </w:rPr>
      </w:pPr>
      <w:r>
        <w:rPr>
          <w:rFonts w:ascii="Arial" w:cs="Arial" w:eastAsia="Arial" w:hAnsi="Arial"/>
          <w:sz w:val="20"/>
          <w:szCs w:val="20"/>
          <w:b w:val="1"/>
          <w:bCs w:val="1"/>
          <w:i w:val="1"/>
          <w:iCs w:val="1"/>
          <w:color w:val="auto"/>
        </w:rPr>
        <w:t>Natural disasters, catastrophic accidents or acts of terrorism could materially adversely affect Sempra Energy's business, earnings and cash flows.</w:t>
      </w:r>
    </w:p>
    <w:p>
      <w:pPr>
        <w:spacing w:after="0" w:line="204" w:lineRule="exact"/>
        <w:rPr>
          <w:sz w:val="20"/>
          <w:szCs w:val="20"/>
          <w:color w:val="auto"/>
        </w:rPr>
      </w:pPr>
    </w:p>
    <w:p>
      <w:pPr>
        <w:ind w:right="120"/>
        <w:spacing w:after="0" w:line="256" w:lineRule="auto"/>
        <w:rPr>
          <w:sz w:val="20"/>
          <w:szCs w:val="20"/>
          <w:color w:val="auto"/>
        </w:rPr>
      </w:pPr>
      <w:r>
        <w:rPr>
          <w:rFonts w:ascii="Arial" w:cs="Arial" w:eastAsia="Arial" w:hAnsi="Arial"/>
          <w:sz w:val="19"/>
          <w:szCs w:val="19"/>
          <w:color w:val="auto"/>
        </w:rPr>
        <w:t>Like other major industrial facilities, Sempra Energy's generation facilities, electric transmission and distribution facilities, LNG receipt terminals and storage facilities, chartered oil and LNG tankers and natural gas pipelines and storage facilities may be damaged by natural disasters, catastrophic accidents or acts of terrorism. Any such incidents could result in severe business disruptions, significant decreases in revenues or significant additional costs to the company, which could have a material adverse effect on the company's financial condition, earnings and cash flows. Given the nature and location of these facilities, any such incidents also could cause fires, leaks, explosions, spills or other significant damage to natural resources or property belonging to third parties, or personal injuries, which could lead to significant claims against the company and its subsidiaries. Insurance coverage may become unavailable for certain of these ris ks and the insurance proceeds received for any loss of or damage to any of its facilities, or for any loss of or damage to natural resources or property or personal injuries caused by its operations, may be insufficient to cover the company's losses or liabilities without materially adversely affecting the company's financial condition, earnings and cash flows.</w:t>
      </w:r>
    </w:p>
    <w:p>
      <w:pPr>
        <w:spacing w:after="0" w:line="208" w:lineRule="exact"/>
        <w:rPr>
          <w:sz w:val="20"/>
          <w:szCs w:val="20"/>
          <w:color w:val="auto"/>
        </w:rPr>
      </w:pPr>
    </w:p>
    <w:p>
      <w:pPr>
        <w:ind w:right="640"/>
        <w:spacing w:after="0" w:line="260" w:lineRule="auto"/>
        <w:rPr>
          <w:sz w:val="20"/>
          <w:szCs w:val="20"/>
          <w:color w:val="auto"/>
        </w:rPr>
      </w:pPr>
      <w:r>
        <w:rPr>
          <w:rFonts w:ascii="Arial" w:cs="Arial" w:eastAsia="Arial" w:hAnsi="Arial"/>
          <w:sz w:val="20"/>
          <w:szCs w:val="20"/>
          <w:b w:val="1"/>
          <w:bCs w:val="1"/>
          <w:i w:val="1"/>
          <w:iCs w:val="1"/>
          <w:color w:val="auto"/>
        </w:rPr>
        <w:t>Sempra Energy's cash flows, ability to pay dividends and ability to meet its debt obligations largely depend on the performance of its subsidiaries.</w:t>
      </w:r>
    </w:p>
    <w:p>
      <w:pPr>
        <w:spacing w:after="0" w:line="204" w:lineRule="exact"/>
        <w:rPr>
          <w:sz w:val="20"/>
          <w:szCs w:val="20"/>
          <w:color w:val="auto"/>
        </w:rPr>
      </w:pPr>
    </w:p>
    <w:p>
      <w:pPr>
        <w:ind w:right="80"/>
        <w:spacing w:after="0" w:line="244" w:lineRule="auto"/>
        <w:rPr>
          <w:sz w:val="20"/>
          <w:szCs w:val="20"/>
          <w:color w:val="auto"/>
        </w:rPr>
      </w:pPr>
      <w:r>
        <w:rPr>
          <w:rFonts w:ascii="Arial" w:cs="Arial" w:eastAsia="Arial" w:hAnsi="Arial"/>
          <w:sz w:val="20"/>
          <w:szCs w:val="20"/>
          <w:color w:val="auto"/>
        </w:rPr>
        <w:t>The company's ability to pay dividends and meet its debt obligations is dependent on cash flows from its subsidiaries and, in the short term, its ability to raise capital from external sources. Cash flows from the subsidiaries are dependent, in the long term, on the ability of the subsidiaries to generate operating cash flows in excess of their own capital expenditures and long-term debt obligations. In addition, the subsidiaries are separate and distinct legal entities and could be precluded from making such distributions under certain circumstances, including as a result of legislation or regulation or in times of financial distress.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GOVERNMENT REGULATION</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The most significant government regulation affecting Sempra Energy is the regulation of its utility subsidiaries.</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California Utility Regulation</w:t>
      </w:r>
    </w:p>
    <w:p>
      <w:pPr>
        <w:spacing w:after="0" w:line="249" w:lineRule="exact"/>
        <w:rPr>
          <w:sz w:val="20"/>
          <w:szCs w:val="20"/>
          <w:color w:val="auto"/>
        </w:rPr>
      </w:pPr>
    </w:p>
    <w:p>
      <w:pPr>
        <w:jc w:val="both"/>
        <w:ind w:right="300"/>
        <w:spacing w:after="0" w:line="291" w:lineRule="auto"/>
        <w:rPr>
          <w:sz w:val="20"/>
          <w:szCs w:val="20"/>
          <w:color w:val="auto"/>
        </w:rPr>
      </w:pPr>
      <w:r>
        <w:rPr>
          <w:rFonts w:ascii="Arial" w:cs="Arial" w:eastAsia="Arial" w:hAnsi="Arial"/>
          <w:sz w:val="18"/>
          <w:szCs w:val="18"/>
          <w:color w:val="auto"/>
        </w:rPr>
        <w:t>The CPUC, which consists of five commissioners appointed by the Governor of California for staggered six-year terms, regulates SDG&amp;E's and SoCalGas' rates and conditions of service, sales of securities, rates of return, capital structure, rates of depreciation, uniform systems of accounts and long-term resource procurement, except as described below under "United States Utility Regulation." The CPUC also has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14</w:t>
      </w:r>
    </w:p>
    <w:p>
      <w:pPr>
        <w:sectPr>
          <w:pgSz w:w="11900" w:h="16838" w:orient="portrait"/>
          <w:cols w:equalWidth="0" w:num="1">
            <w:col w:w="11400"/>
          </w:cols>
          <w:pgMar w:left="240" w:top="122" w:right="259" w:bottom="1440" w:gutter="0" w:footer="0" w:header="0"/>
        </w:sectPr>
      </w:pPr>
    </w:p>
    <w:bookmarkStart w:id="14" w:name="page15"/>
    <w:bookmarkEnd w:id="14"/>
    <w:p>
      <w:pPr>
        <w:ind w:right="180"/>
        <w:spacing w:after="0" w:line="261" w:lineRule="auto"/>
        <w:rPr>
          <w:sz w:val="20"/>
          <w:szCs w:val="20"/>
          <w:color w:val="auto"/>
        </w:rPr>
      </w:pPr>
      <w:r>
        <w:rPr>
          <w:rFonts w:ascii="Arial" w:cs="Arial" w:eastAsia="Arial" w:hAnsi="Arial"/>
          <w:sz w:val="19"/>
          <w:szCs w:val="19"/>
          <w:color w:val="auto"/>
        </w:rPr>
        <w:t>jurisdiction over the proposed construction of major new electric transmission, electric distribution and natural gas transmission and distribution facilities. The CPUC conducts various reviews of utility performance, conducts audits for compliance with regulatory guidelines, and conducts investigations into various matters, such as deregulation, competition and the environment, to determine its future policies. The CPUC also regulates the interactions and transactions of the Sempra Utilities with Sempra Energy and its affiliates. Further discussion is provided in Note 15 of the Notes to Consolidated Financial Statements.</w:t>
      </w:r>
    </w:p>
    <w:p>
      <w:pPr>
        <w:spacing w:after="0" w:line="204" w:lineRule="exact"/>
        <w:rPr>
          <w:sz w:val="20"/>
          <w:szCs w:val="20"/>
          <w:color w:val="auto"/>
        </w:rPr>
      </w:pPr>
    </w:p>
    <w:p>
      <w:pPr>
        <w:ind w:right="140"/>
        <w:spacing w:after="0" w:line="263" w:lineRule="auto"/>
        <w:rPr>
          <w:sz w:val="20"/>
          <w:szCs w:val="20"/>
          <w:color w:val="auto"/>
        </w:rPr>
      </w:pPr>
      <w:r>
        <w:rPr>
          <w:rFonts w:ascii="Arial" w:cs="Arial" w:eastAsia="Arial" w:hAnsi="Arial"/>
          <w:sz w:val="19"/>
          <w:szCs w:val="19"/>
          <w:color w:val="auto"/>
        </w:rPr>
        <w:t>The California Energy Commission (CEC) establishes electric demand forecasts for the state and for specific service territories. Based upon these forecasts, the CEC determines the need for additional energy sources and for conservation programs. The CEC sponsors alternative-energy research and development projects, promotes energy conservation programs and maintains a statewide plan of action in case of energy shortages. In addition, the CEC certifies power-plant sites and related facilities within California.</w:t>
      </w:r>
    </w:p>
    <w:p>
      <w:pPr>
        <w:spacing w:after="0" w:line="204" w:lineRule="exact"/>
        <w:rPr>
          <w:sz w:val="20"/>
          <w:szCs w:val="20"/>
          <w:color w:val="auto"/>
        </w:rPr>
      </w:pPr>
    </w:p>
    <w:p>
      <w:pPr>
        <w:ind w:right="600"/>
        <w:spacing w:after="0" w:line="250" w:lineRule="auto"/>
        <w:rPr>
          <w:sz w:val="20"/>
          <w:szCs w:val="20"/>
          <w:color w:val="auto"/>
        </w:rPr>
      </w:pPr>
      <w:r>
        <w:rPr>
          <w:rFonts w:ascii="Arial" w:cs="Arial" w:eastAsia="Arial" w:hAnsi="Arial"/>
          <w:sz w:val="20"/>
          <w:szCs w:val="20"/>
          <w:color w:val="auto"/>
        </w:rPr>
        <w:t>The CEC conducts a 20-year forecast of supply availability and prices for every market sector consuming natural gas in California. This forecast includes resource evaluation, pipeline capacity needs, natural gas demand and wellhead prices, and costs of transportation and distribution. This analysis is used to support long-term investment decisions.</w:t>
      </w:r>
    </w:p>
    <w:p>
      <w:pPr>
        <w:spacing w:after="0" w:line="213" w:lineRule="exact"/>
        <w:rPr>
          <w:sz w:val="20"/>
          <w:szCs w:val="20"/>
          <w:color w:val="auto"/>
        </w:rPr>
      </w:pPr>
    </w:p>
    <w:p>
      <w:pPr>
        <w:ind w:right="140"/>
        <w:spacing w:after="0" w:line="243" w:lineRule="auto"/>
        <w:rPr>
          <w:sz w:val="20"/>
          <w:szCs w:val="20"/>
          <w:color w:val="auto"/>
        </w:rPr>
      </w:pPr>
      <w:r>
        <w:rPr>
          <w:rFonts w:ascii="Arial" w:cs="Arial" w:eastAsia="Arial" w:hAnsi="Arial"/>
          <w:sz w:val="20"/>
          <w:szCs w:val="20"/>
          <w:color w:val="auto"/>
        </w:rPr>
        <w:t>California Assembly Bill 32, the California Global Warming Solutions Act of 2006, makes the California Air Resources Board (CARB) responsible for monitoring and reducing GHG emissions. The bill requires CARB to develop and adopt a comprehensive plan for achieving real, quantifiable and cost-effective GHG emission reductions including, among other things, a statewide GHG emissions cap, mandatory reporting rules, and regulatory and market mechanisms to achieve reductions of GHG emissions. CARB is a part of the California Environmental Protection Agency, an organization which reports directly to the Governor's Office in the Executive Branch of California State Government.</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United States Utility Regulation</w:t>
      </w:r>
    </w:p>
    <w:p>
      <w:pPr>
        <w:spacing w:after="0" w:line="249" w:lineRule="exact"/>
        <w:rPr>
          <w:sz w:val="20"/>
          <w:szCs w:val="20"/>
          <w:color w:val="auto"/>
        </w:rPr>
      </w:pPr>
    </w:p>
    <w:p>
      <w:pPr>
        <w:ind w:right="120"/>
        <w:spacing w:after="0" w:line="250" w:lineRule="auto"/>
        <w:rPr>
          <w:sz w:val="20"/>
          <w:szCs w:val="20"/>
          <w:color w:val="auto"/>
        </w:rPr>
      </w:pPr>
      <w:r>
        <w:rPr>
          <w:rFonts w:ascii="Arial" w:cs="Arial" w:eastAsia="Arial" w:hAnsi="Arial"/>
          <w:sz w:val="20"/>
          <w:szCs w:val="20"/>
          <w:color w:val="auto"/>
        </w:rPr>
        <w:t>The FERC regulates the interstate sale and transportation of natural gas, the transmission and wholesale sales of electricity in interstate commerce, transmission access, rates of return on transmission investment, the uniform systems of accounts, rates of depreciation and electric rates involving sales for resale.</w:t>
      </w:r>
    </w:p>
    <w:p>
      <w:pPr>
        <w:spacing w:after="0" w:line="213"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The NRC oversees the licensing, construction and operation of nuclear facilities in the United States. NRC regulations require extensive review of the safety, radiological and environmental aspects of these facilities. Periodically, the NRC requires that newly developed data and techniques be used to reanalyze the design of a nuclear power plant and, as a result, requires plant modifications as a condition of continued operation in some cases.</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Local Regulation</w:t>
      </w:r>
    </w:p>
    <w:p>
      <w:pPr>
        <w:spacing w:after="0" w:line="249" w:lineRule="exact"/>
        <w:rPr>
          <w:sz w:val="20"/>
          <w:szCs w:val="20"/>
          <w:color w:val="auto"/>
        </w:rPr>
      </w:pPr>
    </w:p>
    <w:p>
      <w:pPr>
        <w:ind w:right="100"/>
        <w:spacing w:after="0" w:line="246" w:lineRule="auto"/>
        <w:rPr>
          <w:sz w:val="20"/>
          <w:szCs w:val="20"/>
          <w:color w:val="auto"/>
        </w:rPr>
      </w:pPr>
      <w:r>
        <w:rPr>
          <w:rFonts w:ascii="Arial" w:cs="Arial" w:eastAsia="Arial" w:hAnsi="Arial"/>
          <w:sz w:val="20"/>
          <w:szCs w:val="20"/>
          <w:color w:val="auto"/>
        </w:rPr>
        <w:t>SoCalGas has natural gas franchises with the 241 legal jurisdictions in its service territory. These franchises allow SoCalGas to locate, operate and maintain facilities for the transmission and distribution of natural gas in public places. Some franchises, such as that for the city of Los Angeles, which expires in 2012, have fixed expiration dates ranging from 2008 to 2048. Most of the franchises have indefinite lives with no expiration date.</w:t>
      </w:r>
    </w:p>
    <w:p>
      <w:pPr>
        <w:spacing w:after="0" w:line="219" w:lineRule="exact"/>
        <w:rPr>
          <w:sz w:val="20"/>
          <w:szCs w:val="20"/>
          <w:color w:val="auto"/>
        </w:rPr>
      </w:pPr>
    </w:p>
    <w:p>
      <w:pPr>
        <w:ind w:right="280"/>
        <w:spacing w:after="0" w:line="291" w:lineRule="auto"/>
        <w:rPr>
          <w:sz w:val="20"/>
          <w:szCs w:val="20"/>
          <w:color w:val="auto"/>
        </w:rPr>
      </w:pPr>
      <w:r>
        <w:rPr>
          <w:rFonts w:ascii="Arial" w:cs="Arial" w:eastAsia="Arial" w:hAnsi="Arial"/>
          <w:sz w:val="18"/>
          <w:szCs w:val="18"/>
          <w:color w:val="auto"/>
        </w:rPr>
        <w:t>SDG&amp;E has electric franchises with the two counties and the 26 cities in its electric service territory, and natural gas franchises with the one county and the 18 cities in its natural gas service territory. These franchises allow SDG&amp;E to locate, operate and maintain facilities for the transmission and distribution of electricity and/or natural gas in public places. Most of the franchises have indefinite lives, except for the</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15</w:t>
      </w:r>
    </w:p>
    <w:p>
      <w:pPr>
        <w:sectPr>
          <w:pgSz w:w="11900" w:h="16838" w:orient="portrait"/>
          <w:cols w:equalWidth="0" w:num="1">
            <w:col w:w="11380"/>
          </w:cols>
          <w:pgMar w:left="240" w:top="122" w:right="279" w:bottom="1440" w:gutter="0" w:footer="0" w:header="0"/>
        </w:sectPr>
      </w:pPr>
    </w:p>
    <w:bookmarkStart w:id="15" w:name="page16"/>
    <w:bookmarkEnd w:id="15"/>
    <w:p>
      <w:pPr>
        <w:ind w:right="60"/>
        <w:spacing w:after="0" w:line="317" w:lineRule="auto"/>
        <w:rPr>
          <w:sz w:val="20"/>
          <w:szCs w:val="20"/>
          <w:color w:val="auto"/>
        </w:rPr>
      </w:pPr>
      <w:r>
        <w:rPr>
          <w:rFonts w:ascii="Arial" w:cs="Arial" w:eastAsia="Arial" w:hAnsi="Arial"/>
          <w:sz w:val="18"/>
          <w:szCs w:val="18"/>
          <w:color w:val="auto"/>
        </w:rPr>
        <w:t>electric and natural gas franchises with the cities of (with expiration dates as indicated) Encinitas (2012), Chula Vista (2015), San Diego (2020) and Coronado (2028) and the natural gas franchises with the county of San Diego (2029) and the city of Escondido (2035).</w:t>
      </w:r>
    </w:p>
    <w:p>
      <w:pPr>
        <w:spacing w:after="0" w:line="157" w:lineRule="exact"/>
        <w:rPr>
          <w:sz w:val="20"/>
          <w:szCs w:val="20"/>
          <w:color w:val="auto"/>
        </w:rPr>
      </w:pPr>
    </w:p>
    <w:p>
      <w:pPr>
        <w:ind w:right="560"/>
        <w:spacing w:after="0" w:line="260" w:lineRule="auto"/>
        <w:rPr>
          <w:sz w:val="20"/>
          <w:szCs w:val="20"/>
          <w:color w:val="auto"/>
        </w:rPr>
      </w:pPr>
      <w:r>
        <w:rPr>
          <w:rFonts w:ascii="Arial" w:cs="Arial" w:eastAsia="Arial" w:hAnsi="Arial"/>
          <w:sz w:val="20"/>
          <w:szCs w:val="20"/>
          <w:color w:val="auto"/>
        </w:rPr>
        <w:t>Sempra Generation, Sempra LNG and Sempra Pipelines &amp; Storage have operations in Nevada, Arizona, California and Louisiana. These entities are subject to state and local laws and regulations in the states in which they operate.</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Regulation</w:t>
      </w:r>
    </w:p>
    <w:p>
      <w:pPr>
        <w:spacing w:after="0" w:line="249"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Sempra Commodities' operations are subject to regulation by the New York Mercantile Exchange, the London Metal Exchange, the Commodity Futures Trading Commission, the FERC and the National Futures Association. It also has trading locations in Canada, Europe and Asia that are subject to regulation as to operations and financial position by bodies such as the U.K. Financial Services Authority (FSA) and Liffe, the international derivatives business of NYSE Euronext. Upon completion of the joint venture transaction with RBS, the joint venture partnership will also be subject to regulation by the Federal Reserve Board.</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Sempra Generation and Sempra LNG have operations in the United States that are subject to regulation by the FERC.</w:t>
      </w:r>
    </w:p>
    <w:p>
      <w:pPr>
        <w:spacing w:after="0" w:line="243" w:lineRule="exact"/>
        <w:rPr>
          <w:sz w:val="20"/>
          <w:szCs w:val="20"/>
          <w:color w:val="auto"/>
        </w:rPr>
      </w:pPr>
    </w:p>
    <w:p>
      <w:pPr>
        <w:ind w:right="140"/>
        <w:spacing w:after="0" w:line="260" w:lineRule="auto"/>
        <w:rPr>
          <w:sz w:val="20"/>
          <w:szCs w:val="20"/>
          <w:color w:val="auto"/>
        </w:rPr>
      </w:pPr>
      <w:r>
        <w:rPr>
          <w:rFonts w:ascii="Arial" w:cs="Arial" w:eastAsia="Arial" w:hAnsi="Arial"/>
          <w:sz w:val="19"/>
          <w:szCs w:val="19"/>
          <w:color w:val="auto"/>
        </w:rPr>
        <w:t>Sempra Pipelines &amp; Storage's Mexican utilities build and operate natural gas distribution systems in Mexicali, Chihuahua and the La Laguna-Durango zone in north-central Mexico, and its pipelines transport gas from the U.S. border to Baja California, Mexico. Sempra Generation operates a natural gas-fired power plant in Baja California, Mexico. Sempra LNG’s Energía Costa Azul receipt terminal is currently being developed in Baja California, Mexico. These operations are subject to regulation by the Comisión Reguladora de Energía and by the labor and environmental agencies of city, state and federal governments in Mexico.</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Licenses and Permits</w:t>
      </w:r>
    </w:p>
    <w:p>
      <w:pPr>
        <w:spacing w:after="0" w:line="249" w:lineRule="exact"/>
        <w:rPr>
          <w:sz w:val="20"/>
          <w:szCs w:val="20"/>
          <w:color w:val="auto"/>
        </w:rPr>
      </w:pPr>
    </w:p>
    <w:p>
      <w:pPr>
        <w:ind w:right="220"/>
        <w:spacing w:after="0" w:line="260" w:lineRule="auto"/>
        <w:rPr>
          <w:sz w:val="20"/>
          <w:szCs w:val="20"/>
          <w:color w:val="auto"/>
        </w:rPr>
      </w:pPr>
      <w:r>
        <w:rPr>
          <w:rFonts w:ascii="Arial" w:cs="Arial" w:eastAsia="Arial" w:hAnsi="Arial"/>
          <w:sz w:val="20"/>
          <w:szCs w:val="20"/>
          <w:color w:val="auto"/>
        </w:rPr>
        <w:t>The Sempra Utilities obtain numerous permits, authorizations and licenses in connection with the transmission and distribution of natural gas and electricity. They require periodic renewal, which results in continuing regulation by the granting agency.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The company's other subsidiaries are also required to obtain numerous permits, authorizations and licenses in the normal course of business.</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Some of these permits, authorizations and licenses require periodic renewal.</w:t>
      </w:r>
    </w:p>
    <w:p>
      <w:pPr>
        <w:spacing w:after="0" w:line="227" w:lineRule="exact"/>
        <w:rPr>
          <w:sz w:val="20"/>
          <w:szCs w:val="20"/>
          <w:color w:val="auto"/>
        </w:rPr>
      </w:pPr>
    </w:p>
    <w:p>
      <w:pPr>
        <w:ind w:right="320"/>
        <w:spacing w:after="0" w:line="260" w:lineRule="auto"/>
        <w:rPr>
          <w:sz w:val="20"/>
          <w:szCs w:val="20"/>
          <w:color w:val="auto"/>
        </w:rPr>
      </w:pPr>
      <w:r>
        <w:rPr>
          <w:rFonts w:ascii="Arial" w:cs="Arial" w:eastAsia="Arial" w:hAnsi="Arial"/>
          <w:sz w:val="19"/>
          <w:szCs w:val="19"/>
          <w:color w:val="auto"/>
        </w:rPr>
        <w:t>Sempra Generation and its subsidiaries obtain a number of permits, authorizations and licenses in connection with the construction and operation of power generation facilities, and in connection with wholesale distribution of electricity. Sempra Pipelines &amp; Storage’s Mexican subsidiaries obtain construction permits for their natural gas distribution and transmission systems from the local governments where the service is provided. Sempra Pipelines &amp; Storage obtains licenses and permits for natural gas storage facilities and pipelines. Sempra LNG obtains licenses and permits for the construction and operation of LNG facilities.</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auto"/>
        </w:rPr>
        <w:t>Other regulatory matters are described in Notes 14 and 15 of the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20"/>
          <w:szCs w:val="20"/>
          <w:color w:val="auto"/>
        </w:rPr>
        <w:t>16</w:t>
      </w:r>
    </w:p>
    <w:p>
      <w:pPr>
        <w:sectPr>
          <w:pgSz w:w="11900" w:h="16838" w:orient="portrait"/>
          <w:cols w:equalWidth="0" w:num="1">
            <w:col w:w="11420"/>
          </w:cols>
          <w:pgMar w:left="240" w:top="122" w:right="239" w:bottom="1440" w:gutter="0" w:footer="0" w:header="0"/>
        </w:sectPr>
      </w:pPr>
    </w:p>
    <w:bookmarkStart w:id="16" w:name="page17"/>
    <w:bookmarkEnd w:id="16"/>
    <w:p>
      <w:pPr>
        <w:spacing w:after="0"/>
        <w:rPr>
          <w:sz w:val="20"/>
          <w:szCs w:val="20"/>
          <w:color w:val="auto"/>
        </w:rPr>
      </w:pPr>
      <w:r>
        <w:rPr>
          <w:rFonts w:ascii="Arial" w:cs="Arial" w:eastAsia="Arial" w:hAnsi="Arial"/>
          <w:sz w:val="20"/>
          <w:szCs w:val="20"/>
          <w:b w:val="1"/>
          <w:bCs w:val="1"/>
          <w:color w:val="auto"/>
        </w:rPr>
        <w:t>CALIFORNIA NATURAL GAS UTILITY OPERATIONS</w:t>
      </w:r>
    </w:p>
    <w:p>
      <w:pPr>
        <w:spacing w:after="0" w:line="250" w:lineRule="exact"/>
        <w:rPr>
          <w:sz w:val="20"/>
          <w:szCs w:val="20"/>
          <w:color w:val="auto"/>
        </w:rPr>
      </w:pPr>
    </w:p>
    <w:p>
      <w:pPr>
        <w:ind w:right="200"/>
        <w:spacing w:after="0" w:line="246" w:lineRule="auto"/>
        <w:rPr>
          <w:sz w:val="20"/>
          <w:szCs w:val="20"/>
          <w:color w:val="auto"/>
        </w:rPr>
      </w:pPr>
      <w:r>
        <w:rPr>
          <w:rFonts w:ascii="Arial" w:cs="Arial" w:eastAsia="Arial" w:hAnsi="Arial"/>
          <w:sz w:val="20"/>
          <w:szCs w:val="20"/>
          <w:color w:val="auto"/>
        </w:rPr>
        <w:t>The company is engaged in the purchase, sale, distribution, storage and transportation of natural gas through the Sempra Utilities. The company's resource planning, natural gas procurement, contractual commitments and related regulatory matters are discussed below and in "Management's Discussion and Analysis of Financial Condition and Results of Operations" and in Notes 15 and 16 of the Notes to Consolidated Financial Statements.</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Customers</w:t>
      </w:r>
    </w:p>
    <w:p>
      <w:pPr>
        <w:spacing w:after="0" w:line="249" w:lineRule="exact"/>
        <w:rPr>
          <w:sz w:val="20"/>
          <w:szCs w:val="20"/>
          <w:color w:val="auto"/>
        </w:rPr>
      </w:pPr>
    </w:p>
    <w:p>
      <w:pPr>
        <w:ind w:right="380"/>
        <w:spacing w:after="0" w:line="250" w:lineRule="auto"/>
        <w:rPr>
          <w:sz w:val="20"/>
          <w:szCs w:val="20"/>
          <w:color w:val="auto"/>
        </w:rPr>
      </w:pPr>
      <w:r>
        <w:rPr>
          <w:rFonts w:ascii="Arial" w:cs="Arial" w:eastAsia="Arial" w:hAnsi="Arial"/>
          <w:sz w:val="20"/>
          <w:szCs w:val="20"/>
          <w:color w:val="auto"/>
        </w:rPr>
        <w:t>For regulatory purposes, customers are classified as either core or noncore customers. Core customers are primarily residential and small commercial and industrial customers, without alternative fuel capability. Noncore customers consist primarily of electric generation, wholesale, large commercial, industrial and enhanced oil recovery customers.</w:t>
      </w:r>
    </w:p>
    <w:p>
      <w:pPr>
        <w:spacing w:after="0" w:line="213" w:lineRule="exact"/>
        <w:rPr>
          <w:sz w:val="20"/>
          <w:szCs w:val="20"/>
          <w:color w:val="auto"/>
        </w:rPr>
      </w:pPr>
    </w:p>
    <w:p>
      <w:pPr>
        <w:jc w:val="both"/>
        <w:ind w:right="300"/>
        <w:spacing w:after="0" w:line="250" w:lineRule="auto"/>
        <w:rPr>
          <w:sz w:val="20"/>
          <w:szCs w:val="20"/>
          <w:color w:val="auto"/>
        </w:rPr>
      </w:pPr>
      <w:r>
        <w:rPr>
          <w:rFonts w:ascii="Arial" w:cs="Arial" w:eastAsia="Arial" w:hAnsi="Arial"/>
          <w:sz w:val="20"/>
          <w:szCs w:val="20"/>
          <w:color w:val="auto"/>
        </w:rPr>
        <w:t>Most core customers purchase natural gas directly from the Sempra Utilities. While customers are permitted to aggregate their natural gas requirement and purchase directly from brokers or producers, the Sempra Utilities continue to be obligated to provide reliable supplies of natural gas to serve the requirements of core customers.</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Natural Gas Procurement and Transportation</w:t>
      </w:r>
    </w:p>
    <w:p>
      <w:pPr>
        <w:spacing w:after="0" w:line="24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Most of the natural gas purchased and delivered by the Sempra Utilities is produced outside of California, primarily in the southwestern U.S., U.S. Rockies and Canada. The Sempra Utilities purchase natural gas under short-term and long-term contracts, which are primarily based on monthly spot-market prices.</w:t>
      </w:r>
    </w:p>
    <w:p>
      <w:pPr>
        <w:spacing w:after="0" w:line="213"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To ensure the delivery of the natural gas supplies to the distribution system and to meet the seasonal and annual needs of its customers, SoCalGas is committed to firm pipeline capacity contracts that require the payment of fixed reservation charges to reserve firm transportation entitlements. SoCalGas sells excess capacity on a short-term basis. Interstate pipeline companies, primarily El Paso Natural Gas Company, Transwestern Pipeline Company and Kern River Gas Transmission, provide transportation services into SoCalGas' intrastate transmission system for supplies purchased by SoCalGas or its transportation customers from outside of California. The rates that interstate pipeline companies may charge for natural gas and transportation services are regulated by the FERC.</w:t>
      </w:r>
    </w:p>
    <w:p>
      <w:pPr>
        <w:spacing w:after="0" w:line="192" w:lineRule="exact"/>
        <w:rPr>
          <w:sz w:val="20"/>
          <w:szCs w:val="20"/>
          <w:color w:val="auto"/>
        </w:rPr>
      </w:pPr>
    </w:p>
    <w:p>
      <w:pPr>
        <w:ind w:right="40"/>
        <w:spacing w:after="0" w:line="257" w:lineRule="auto"/>
        <w:rPr>
          <w:sz w:val="20"/>
          <w:szCs w:val="20"/>
          <w:color w:val="auto"/>
        </w:rPr>
      </w:pPr>
      <w:r>
        <w:rPr>
          <w:rFonts w:ascii="Arial" w:cs="Arial" w:eastAsia="Arial" w:hAnsi="Arial"/>
          <w:sz w:val="19"/>
          <w:szCs w:val="19"/>
          <w:color w:val="auto"/>
        </w:rPr>
        <w:t>SDG&amp;E has natural gas transportation contracts with various interstate pipelines that expire on various dates between 2008 and 2023. SDG&amp;E currently purchases natural gas on a spot basis from Canada, the U.S. Rockies and the southwestern U.S. to fill its long-term pipeline capacity and purchases additional spot-market supplies delivered directly to California for its remaining requirements. All of SDG&amp;E's natural gas is delivered through SoCalGas' pipelines under a long-term transportation agreement. In addition, under separate agreements expiring in March 2008, SoCalGas provides SDG&amp;E up to nine billion cubic feet (Bcf) of storage capacity. A December 2007 CPUC decision directs that, effective April 1, 2008, natural gas procurement for both SDG&amp;E’s and SoCalGas’ natural gas core customers be combined into a single supply portfolio to be administered by SoCalGas. All SDG&amp;E assets associated with it s core customer natural gas supply portfolio will be transferred or assigned to SoCalGas.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20"/>
          <w:szCs w:val="20"/>
          <w:color w:val="auto"/>
        </w:rPr>
        <w:t>17</w:t>
      </w:r>
    </w:p>
    <w:p>
      <w:pPr>
        <w:sectPr>
          <w:pgSz w:w="11900" w:h="16838" w:orient="portrait"/>
          <w:cols w:equalWidth="0" w:num="1">
            <w:col w:w="11220"/>
          </w:cols>
          <w:pgMar w:left="240" w:top="116" w:right="439" w:bottom="1440" w:gutter="0" w:footer="0" w:header="0"/>
        </w:sectPr>
      </w:pPr>
    </w:p>
    <w:bookmarkStart w:id="17" w:name="page18"/>
    <w:bookmarkEnd w:id="17"/>
    <w:p>
      <w:pPr>
        <w:spacing w:after="0"/>
        <w:rPr>
          <w:sz w:val="20"/>
          <w:szCs w:val="20"/>
          <w:color w:val="auto"/>
        </w:rPr>
      </w:pPr>
      <w:r>
        <w:rPr>
          <w:rFonts w:ascii="Arial" w:cs="Arial" w:eastAsia="Arial" w:hAnsi="Arial"/>
          <w:sz w:val="20"/>
          <w:szCs w:val="20"/>
          <w:b w:val="1"/>
          <w:bCs w:val="1"/>
          <w:color w:val="auto"/>
        </w:rPr>
        <w:t>Natural Gas Storage</w:t>
      </w:r>
    </w:p>
    <w:p>
      <w:pPr>
        <w:spacing w:after="0" w:line="250" w:lineRule="exact"/>
        <w:rPr>
          <w:sz w:val="20"/>
          <w:szCs w:val="20"/>
          <w:color w:val="auto"/>
        </w:rPr>
      </w:pPr>
    </w:p>
    <w:p>
      <w:pPr>
        <w:ind w:right="20"/>
        <w:spacing w:after="0" w:line="260" w:lineRule="auto"/>
        <w:rPr>
          <w:sz w:val="20"/>
          <w:szCs w:val="20"/>
          <w:color w:val="auto"/>
        </w:rPr>
      </w:pPr>
      <w:r>
        <w:rPr>
          <w:rFonts w:ascii="Arial" w:cs="Arial" w:eastAsia="Arial" w:hAnsi="Arial"/>
          <w:sz w:val="19"/>
          <w:szCs w:val="19"/>
          <w:color w:val="auto"/>
        </w:rPr>
        <w:t>SoCalGas provides natural gas storage services for use by core, noncore and off-system customers. Sempra Utilities’ customers are allocated a portion of SoCalGas' storage capacity. Other customers can bid and negotiate the desired amount of storage on a contract basis. The storage service program provides opportunities for these customers to purchase and store natural gas when natural gas costs are low, usually during the summer, to reduce winter purchases when natural gas costs are generally higher. This allows customers to select the level of service they desire to better manage their fuel procurement and transportation needs.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Demand for Natural Gas</w:t>
      </w:r>
    </w:p>
    <w:p>
      <w:pPr>
        <w:spacing w:after="0" w:line="249" w:lineRule="exact"/>
        <w:rPr>
          <w:sz w:val="20"/>
          <w:szCs w:val="20"/>
          <w:color w:val="auto"/>
        </w:rPr>
      </w:pPr>
    </w:p>
    <w:p>
      <w:pPr>
        <w:ind w:right="40"/>
        <w:spacing w:after="0" w:line="270" w:lineRule="auto"/>
        <w:rPr>
          <w:sz w:val="20"/>
          <w:szCs w:val="20"/>
          <w:color w:val="auto"/>
        </w:rPr>
      </w:pPr>
      <w:r>
        <w:rPr>
          <w:rFonts w:ascii="Arial" w:cs="Arial" w:eastAsia="Arial" w:hAnsi="Arial"/>
          <w:sz w:val="18"/>
          <w:szCs w:val="18"/>
          <w:color w:val="auto"/>
        </w:rPr>
        <w:t>The Sempra Utilities face competition in the residential and commercial customer markets based on the customers' preferences for natural gas compared with other energy products. In the non-core industrial market, some customers are capable of using alternate fuels which can affect the demand for natural gas. The company's ability to maintain its industrial market share is largely dependent on the relative spread between energy prices. The demand for natural gas by electric generators is influenced by a number of factors. In the short-term, natural gas use by electric generators is impacted by the availability of alternative sources of generation. The availability of hydroelectricity is highly dependent on precipitation in the western U.S. and Canada. In addition, natural gas use is impacted by the performance of other generation sources in the western U.S., including nuclear and coal, renewable energy and other natural gas faciliti es outside the service area. Natural gas use is also impacted by changes in end-use electricity demand. For example, natural gas use generally increases during extended heat waves. Over the long-term, natural gas used to generate electricity will be influenced by additional factors such as the location of new power plant construction and the development of renewable energy resources. Recently, more generation capacity has been constructed outside Southern California than within the Sempra Utilities' service area. This new generation will displace the output of older, less-efficient local generation, reducing the use of natural gas for local electric generation. Over the next few years, however, construction and planned construction of smaller natural gas-fired peaking and other electric generation facilities within the Sempra Utilities’ service area are expected to result in a slight overall increase in the demand for local natural gas for electric generation.</w:t>
      </w:r>
    </w:p>
    <w:p>
      <w:pPr>
        <w:spacing w:after="0" w:line="197"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color w:val="auto"/>
        </w:rPr>
        <w:t>Effective March 31, 1998, electric industry restructuring provided out-of-state producers the option to provide power to California utility customers. As a result, natural gas demand for electric generation within Southern California competes with electric power generated throughout the western U.S. Natural gas transported for electric generating plant customers may be significantly affected to the extent that regulatory changes and electric transmission infrastructure investment divert electric generation from the company's service area.</w:t>
      </w:r>
    </w:p>
    <w:p>
      <w:pPr>
        <w:spacing w:after="0" w:line="189"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Growth in the natural gas markets is largely dependent upon the health and expansion of the Southern California economy and prices of other energy products. External factors such as weather, the price of electricity, electric deregulation, the use of hydroelectric power, development of renewable energy resources, development of new natural gas supply sources and general economic conditions can result in significant shifts in demand and market price. The Sempra Utilities added 62,000 and 85,000 new customer meters in 2007 and 2006, respectively, representing growth rates of 1.0 percent and 1.3 percent, respectively. The Sempra Utilities expect that their growth rate for 2008 will approximate that of 2007.</w:t>
      </w:r>
    </w:p>
    <w:p>
      <w:pPr>
        <w:spacing w:after="0" w:line="224" w:lineRule="exact"/>
        <w:rPr>
          <w:sz w:val="20"/>
          <w:szCs w:val="20"/>
          <w:color w:val="auto"/>
        </w:rPr>
      </w:pPr>
    </w:p>
    <w:p>
      <w:pPr>
        <w:ind w:right="80"/>
        <w:spacing w:after="0" w:line="260" w:lineRule="auto"/>
        <w:rPr>
          <w:sz w:val="20"/>
          <w:szCs w:val="20"/>
          <w:color w:val="auto"/>
        </w:rPr>
      </w:pPr>
      <w:r>
        <w:rPr>
          <w:rFonts w:ascii="Arial" w:cs="Arial" w:eastAsia="Arial" w:hAnsi="Arial"/>
          <w:sz w:val="20"/>
          <w:szCs w:val="20"/>
          <w:color w:val="auto"/>
        </w:rPr>
        <w:t>The natural gas distribution business is seasonal in nature and revenues generally are greater during the winter months. As is prevalent in the industry, the company injects natural gas into storage during the</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color w:val="auto"/>
        </w:rPr>
        <w:t>18</w:t>
      </w:r>
    </w:p>
    <w:p>
      <w:pPr>
        <w:sectPr>
          <w:pgSz w:w="11900" w:h="16838" w:orient="portrait"/>
          <w:cols w:equalWidth="0" w:num="1">
            <w:col w:w="11220"/>
          </w:cols>
          <w:pgMar w:left="240" w:top="116" w:right="439" w:bottom="1440" w:gutter="0" w:footer="0" w:header="0"/>
        </w:sectPr>
      </w:pPr>
    </w:p>
    <w:bookmarkStart w:id="18" w:name="page19"/>
    <w:bookmarkEnd w:id="18"/>
    <w:p>
      <w:pPr>
        <w:spacing w:after="0" w:line="262" w:lineRule="auto"/>
        <w:rPr>
          <w:sz w:val="20"/>
          <w:szCs w:val="20"/>
          <w:color w:val="auto"/>
        </w:rPr>
      </w:pPr>
      <w:r>
        <w:rPr>
          <w:rFonts w:ascii="Arial" w:cs="Arial" w:eastAsia="Arial" w:hAnsi="Arial"/>
          <w:sz w:val="20"/>
          <w:szCs w:val="20"/>
          <w:color w:val="auto"/>
        </w:rPr>
        <w:t>summer months (usually April through October) for withdrawal from storage during the winter months (usually November through March) when customer demand is higher.</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ELECTRIC UTILITY OPERATIONS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Customers</w:t>
      </w:r>
    </w:p>
    <w:p>
      <w:pPr>
        <w:spacing w:after="0" w:line="249" w:lineRule="exact"/>
        <w:rPr>
          <w:sz w:val="20"/>
          <w:szCs w:val="20"/>
          <w:color w:val="auto"/>
        </w:rPr>
      </w:pPr>
    </w:p>
    <w:p>
      <w:pPr>
        <w:ind w:right="720"/>
        <w:spacing w:after="0" w:line="282" w:lineRule="auto"/>
        <w:rPr>
          <w:sz w:val="20"/>
          <w:szCs w:val="20"/>
          <w:color w:val="auto"/>
        </w:rPr>
      </w:pPr>
      <w:r>
        <w:rPr>
          <w:rFonts w:ascii="Arial" w:cs="Arial" w:eastAsia="Arial" w:hAnsi="Arial"/>
          <w:sz w:val="18"/>
          <w:szCs w:val="18"/>
          <w:color w:val="auto"/>
        </w:rPr>
        <w:t>At December 31, 2007, SDG&amp;E had 1.4 million customer meters consisting of 1,210,600 residential, 146,300 commercial, 500 industrial, 2,000 street and highway lighting and 5,400 direct access. The company's service area covers 4,100 square miles. The company added 10,000 new electric customer meters in 2007 and 17,000 in 2006, representing growth rates of 0.7 percent and 1.3 percent, respectively. The company expects that its growth rate for 2008 will approximate that of 2007.</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Resource Planning and Power Procurement</w:t>
      </w:r>
    </w:p>
    <w:p>
      <w:pPr>
        <w:spacing w:after="0" w:line="249" w:lineRule="exact"/>
        <w:rPr>
          <w:sz w:val="20"/>
          <w:szCs w:val="20"/>
          <w:color w:val="auto"/>
        </w:rPr>
      </w:pPr>
    </w:p>
    <w:p>
      <w:pPr>
        <w:ind w:right="900"/>
        <w:spacing w:after="0" w:line="250" w:lineRule="auto"/>
        <w:rPr>
          <w:sz w:val="20"/>
          <w:szCs w:val="20"/>
          <w:color w:val="auto"/>
        </w:rPr>
      </w:pPr>
      <w:r>
        <w:rPr>
          <w:rFonts w:ascii="Arial" w:cs="Arial" w:eastAsia="Arial" w:hAnsi="Arial"/>
          <w:sz w:val="20"/>
          <w:szCs w:val="20"/>
          <w:color w:val="auto"/>
        </w:rPr>
        <w:t>SDG&amp;E's resource planning, power procurement and related regulatory matters are discussed in "Management's Discussion and Analysis of Financial Condition and Results of Operations" and in Notes 14, 15 and 16 of the 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Electric Resources</w:t>
      </w:r>
    </w:p>
    <w:p>
      <w:pPr>
        <w:spacing w:after="0" w:line="249" w:lineRule="exact"/>
        <w:rPr>
          <w:sz w:val="20"/>
          <w:szCs w:val="20"/>
          <w:color w:val="auto"/>
        </w:rPr>
      </w:pPr>
    </w:p>
    <w:p>
      <w:pPr>
        <w:jc w:val="both"/>
        <w:ind w:right="1160"/>
        <w:spacing w:after="0" w:line="250" w:lineRule="auto"/>
        <w:rPr>
          <w:sz w:val="20"/>
          <w:szCs w:val="20"/>
          <w:color w:val="auto"/>
        </w:rPr>
      </w:pPr>
      <w:r>
        <w:rPr>
          <w:rFonts w:ascii="Arial" w:cs="Arial" w:eastAsia="Arial" w:hAnsi="Arial"/>
          <w:sz w:val="20"/>
          <w:szCs w:val="20"/>
          <w:color w:val="auto"/>
        </w:rPr>
        <w:t>Based on CPUC-approved purchased-power contracts currently in place with its various suppliers, its Palomar and Miramar generating facilities and its 20-percent ownership interest in SONGS, the supply of electric power available to SDG&amp;E as of December 31, 2007, is as follows:</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color w:val="auto"/>
        </w:rPr>
        <w:t>19</w:t>
      </w:r>
    </w:p>
    <w:p>
      <w:pPr>
        <w:sectPr>
          <w:pgSz w:w="11900" w:h="16838" w:orient="portrait"/>
          <w:cols w:equalWidth="0" w:num="1">
            <w:col w:w="11040"/>
          </w:cols>
          <w:pgMar w:left="240" w:top="122" w:right="619" w:bottom="1440" w:gutter="0" w:footer="0" w:header="0"/>
        </w:sectPr>
      </w:pPr>
    </w:p>
    <w:bookmarkStart w:id="19" w:name="page20"/>
    <w:bookmarkEnd w:id="19"/>
    <w:tbl>
      <w:tblPr>
        <w:tblLayout w:type="fixed"/>
        <w:tblInd w:w="1540" w:type="dxa"/>
        <w:tblCellMar>
          <w:top w:w="0" w:type="dxa"/>
          <w:left w:w="0" w:type="dxa"/>
          <w:bottom w:w="0" w:type="dxa"/>
          <w:right w:w="0" w:type="dxa"/>
        </w:tblCellMar>
      </w:tblPr>
      <w:tr>
        <w:trPr>
          <w:trHeight w:val="237"/>
        </w:trPr>
        <w:tc>
          <w:tcPr>
            <w:tcW w:w="3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Supplier</w:t>
            </w:r>
          </w:p>
        </w:tc>
        <w:tc>
          <w:tcPr>
            <w:tcW w:w="16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Source</w:t>
            </w:r>
          </w:p>
        </w:tc>
        <w:tc>
          <w:tcPr>
            <w:tcW w:w="176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Expiration date</w:t>
            </w:r>
          </w:p>
        </w:tc>
        <w:tc>
          <w:tcPr>
            <w:tcW w:w="12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MW</w:t>
            </w:r>
          </w:p>
        </w:tc>
        <w:tc>
          <w:tcPr>
            <w:tcW w:w="180" w:type="dxa"/>
            <w:vAlign w:val="bottom"/>
            <w:tcBorders>
              <w:bottom w:val="single" w:sz="8" w:color="auto"/>
            </w:tcBorders>
          </w:tcPr>
          <w:p>
            <w:pPr>
              <w:spacing w:after="0"/>
              <w:rPr>
                <w:sz w:val="20"/>
                <w:szCs w:val="20"/>
                <w:color w:val="auto"/>
              </w:rPr>
            </w:pPr>
          </w:p>
        </w:tc>
      </w:tr>
      <w:tr>
        <w:trPr>
          <w:trHeight w:val="230"/>
        </w:trPr>
        <w:tc>
          <w:tcPr>
            <w:tcW w:w="3520" w:type="dxa"/>
            <w:vAlign w:val="bottom"/>
          </w:tcPr>
          <w:p>
            <w:pPr>
              <w:ind w:left="20"/>
              <w:spacing w:after="0"/>
              <w:rPr>
                <w:sz w:val="20"/>
                <w:szCs w:val="20"/>
                <w:color w:val="auto"/>
              </w:rPr>
            </w:pPr>
            <w:r>
              <w:rPr>
                <w:rFonts w:ascii="Arial" w:cs="Arial" w:eastAsia="Arial" w:hAnsi="Arial"/>
                <w:sz w:val="18"/>
                <w:szCs w:val="18"/>
                <w:color w:val="auto"/>
              </w:rPr>
              <w:t>PURCHASED-POWER CONTRACTS:</w:t>
            </w:r>
          </w:p>
        </w:tc>
        <w:tc>
          <w:tcPr>
            <w:tcW w:w="16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85"/>
        </w:trPr>
        <w:tc>
          <w:tcPr>
            <w:tcW w:w="3520" w:type="dxa"/>
            <w:vAlign w:val="bottom"/>
          </w:tcPr>
          <w:p>
            <w:pPr>
              <w:ind w:left="20"/>
              <w:spacing w:after="0"/>
              <w:rPr>
                <w:sz w:val="20"/>
                <w:szCs w:val="20"/>
                <w:color w:val="auto"/>
              </w:rPr>
            </w:pPr>
            <w:r>
              <w:rPr>
                <w:rFonts w:ascii="Arial" w:cs="Arial" w:eastAsia="Arial" w:hAnsi="Arial"/>
                <w:sz w:val="18"/>
                <w:szCs w:val="18"/>
                <w:color w:val="auto"/>
              </w:rPr>
              <w:t>DWR-allocated contracts:</w:t>
            </w:r>
          </w:p>
        </w:tc>
        <w:tc>
          <w:tcPr>
            <w:tcW w:w="16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50"/>
        </w:trPr>
        <w:tc>
          <w:tcPr>
            <w:tcW w:w="3520" w:type="dxa"/>
            <w:vAlign w:val="bottom"/>
          </w:tcPr>
          <w:p>
            <w:pPr>
              <w:ind w:left="240"/>
              <w:spacing w:after="0"/>
              <w:rPr>
                <w:sz w:val="20"/>
                <w:szCs w:val="20"/>
                <w:color w:val="auto"/>
              </w:rPr>
            </w:pPr>
            <w:r>
              <w:rPr>
                <w:rFonts w:ascii="Arial" w:cs="Arial" w:eastAsia="Arial" w:hAnsi="Arial"/>
                <w:sz w:val="18"/>
                <w:szCs w:val="18"/>
                <w:color w:val="auto"/>
              </w:rPr>
              <w:t>Bear Energy LP</w:t>
            </w:r>
          </w:p>
        </w:tc>
        <w:tc>
          <w:tcPr>
            <w:tcW w:w="1620" w:type="dxa"/>
            <w:vAlign w:val="bottom"/>
          </w:tcPr>
          <w:p>
            <w:pPr>
              <w:ind w:left="60"/>
              <w:spacing w:after="0"/>
              <w:rPr>
                <w:sz w:val="20"/>
                <w:szCs w:val="20"/>
                <w:color w:val="auto"/>
              </w:rPr>
            </w:pPr>
            <w:r>
              <w:rPr>
                <w:rFonts w:ascii="Arial" w:cs="Arial" w:eastAsia="Arial" w:hAnsi="Arial"/>
                <w:sz w:val="18"/>
                <w:szCs w:val="18"/>
                <w:color w:val="auto"/>
              </w:rPr>
              <w:t>Natural gas</w:t>
            </w:r>
          </w:p>
        </w:tc>
        <w:tc>
          <w:tcPr>
            <w:tcW w:w="1760" w:type="dxa"/>
            <w:vAlign w:val="bottom"/>
          </w:tcPr>
          <w:p>
            <w:pPr>
              <w:ind w:left="300"/>
              <w:spacing w:after="0"/>
              <w:rPr>
                <w:sz w:val="20"/>
                <w:szCs w:val="20"/>
                <w:color w:val="auto"/>
              </w:rPr>
            </w:pPr>
            <w:r>
              <w:rPr>
                <w:rFonts w:ascii="Arial" w:cs="Arial" w:eastAsia="Arial" w:hAnsi="Arial"/>
                <w:sz w:val="18"/>
                <w:szCs w:val="18"/>
                <w:color w:val="auto"/>
              </w:rPr>
              <w:t>2008 to 2010</w:t>
            </w:r>
          </w:p>
        </w:tc>
        <w:tc>
          <w:tcPr>
            <w:tcW w:w="1280" w:type="dxa"/>
            <w:vAlign w:val="bottom"/>
          </w:tcPr>
          <w:p>
            <w:pPr>
              <w:jc w:val="right"/>
              <w:spacing w:after="0"/>
              <w:rPr>
                <w:sz w:val="20"/>
                <w:szCs w:val="20"/>
                <w:color w:val="auto"/>
              </w:rPr>
            </w:pPr>
            <w:r>
              <w:rPr>
                <w:rFonts w:ascii="Arial" w:cs="Arial" w:eastAsia="Arial" w:hAnsi="Arial"/>
                <w:sz w:val="18"/>
                <w:szCs w:val="18"/>
                <w:color w:val="auto"/>
              </w:rPr>
              <w:t>700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3520" w:type="dxa"/>
            <w:vAlign w:val="bottom"/>
            <w:shd w:val="clear" w:color="auto" w:fill="CCFFCC"/>
          </w:tcPr>
          <w:p>
            <w:pPr>
              <w:ind w:left="240"/>
              <w:spacing w:after="0"/>
              <w:rPr>
                <w:sz w:val="20"/>
                <w:szCs w:val="20"/>
                <w:color w:val="auto"/>
              </w:rPr>
            </w:pPr>
            <w:r>
              <w:rPr>
                <w:rFonts w:ascii="Arial" w:cs="Arial" w:eastAsia="Arial" w:hAnsi="Arial"/>
                <w:sz w:val="18"/>
                <w:szCs w:val="18"/>
                <w:color w:val="auto"/>
              </w:rPr>
              <w:t>Sunrise Power Co. LLC</w:t>
            </w:r>
          </w:p>
        </w:tc>
        <w:tc>
          <w:tcPr>
            <w:tcW w:w="1620" w:type="dxa"/>
            <w:vAlign w:val="bottom"/>
            <w:shd w:val="clear" w:color="auto" w:fill="CCFFCC"/>
          </w:tcPr>
          <w:p>
            <w:pPr>
              <w:ind w:left="60"/>
              <w:spacing w:after="0"/>
              <w:rPr>
                <w:sz w:val="20"/>
                <w:szCs w:val="20"/>
                <w:color w:val="auto"/>
              </w:rPr>
            </w:pPr>
            <w:r>
              <w:rPr>
                <w:rFonts w:ascii="Arial" w:cs="Arial" w:eastAsia="Arial" w:hAnsi="Arial"/>
                <w:sz w:val="18"/>
                <w:szCs w:val="18"/>
                <w:color w:val="auto"/>
              </w:rPr>
              <w:t>Natural gas</w:t>
            </w:r>
          </w:p>
        </w:tc>
        <w:tc>
          <w:tcPr>
            <w:tcW w:w="1760" w:type="dxa"/>
            <w:vAlign w:val="bottom"/>
            <w:shd w:val="clear" w:color="auto" w:fill="CCFFCC"/>
          </w:tcPr>
          <w:p>
            <w:pPr>
              <w:ind w:left="300"/>
              <w:spacing w:after="0"/>
              <w:rPr>
                <w:sz w:val="20"/>
                <w:szCs w:val="20"/>
                <w:color w:val="auto"/>
              </w:rPr>
            </w:pPr>
            <w:r>
              <w:rPr>
                <w:rFonts w:ascii="Arial" w:cs="Arial" w:eastAsia="Arial" w:hAnsi="Arial"/>
                <w:sz w:val="18"/>
                <w:szCs w:val="18"/>
                <w:color w:val="auto"/>
              </w:rPr>
              <w:t>2012</w:t>
            </w:r>
          </w:p>
        </w:tc>
        <w:tc>
          <w:tcPr>
            <w:tcW w:w="1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575</w:t>
            </w:r>
          </w:p>
        </w:tc>
        <w:tc>
          <w:tcPr>
            <w:tcW w:w="180" w:type="dxa"/>
            <w:vAlign w:val="bottom"/>
            <w:shd w:val="clear" w:color="auto" w:fill="CCFFCC"/>
          </w:tcPr>
          <w:p>
            <w:pPr>
              <w:spacing w:after="0"/>
              <w:rPr>
                <w:sz w:val="21"/>
                <w:szCs w:val="21"/>
                <w:color w:val="auto"/>
              </w:rPr>
            </w:pPr>
          </w:p>
        </w:tc>
      </w:tr>
      <w:tr>
        <w:trPr>
          <w:trHeight w:val="243"/>
        </w:trPr>
        <w:tc>
          <w:tcPr>
            <w:tcW w:w="3520" w:type="dxa"/>
            <w:vAlign w:val="bottom"/>
          </w:tcPr>
          <w:p>
            <w:pPr>
              <w:ind w:left="240"/>
              <w:spacing w:after="0"/>
              <w:rPr>
                <w:sz w:val="20"/>
                <w:szCs w:val="20"/>
                <w:color w:val="auto"/>
              </w:rPr>
            </w:pPr>
            <w:r>
              <w:rPr>
                <w:rFonts w:ascii="Arial" w:cs="Arial" w:eastAsia="Arial" w:hAnsi="Arial"/>
                <w:sz w:val="18"/>
                <w:szCs w:val="18"/>
                <w:color w:val="auto"/>
              </w:rPr>
              <w:t>Other (5 contracts)</w:t>
            </w:r>
          </w:p>
        </w:tc>
        <w:tc>
          <w:tcPr>
            <w:tcW w:w="1620" w:type="dxa"/>
            <w:vAlign w:val="bottom"/>
          </w:tcPr>
          <w:p>
            <w:pPr>
              <w:ind w:left="60"/>
              <w:spacing w:after="0"/>
              <w:rPr>
                <w:sz w:val="20"/>
                <w:szCs w:val="20"/>
                <w:color w:val="auto"/>
              </w:rPr>
            </w:pPr>
            <w:r>
              <w:rPr>
                <w:rFonts w:ascii="Arial" w:cs="Arial" w:eastAsia="Arial" w:hAnsi="Arial"/>
                <w:sz w:val="18"/>
                <w:szCs w:val="18"/>
                <w:color w:val="auto"/>
              </w:rPr>
              <w:t>Natural gas/Wind</w:t>
            </w:r>
          </w:p>
        </w:tc>
        <w:tc>
          <w:tcPr>
            <w:tcW w:w="1760" w:type="dxa"/>
            <w:vAlign w:val="bottom"/>
          </w:tcPr>
          <w:p>
            <w:pPr>
              <w:ind w:left="300"/>
              <w:spacing w:after="0"/>
              <w:rPr>
                <w:sz w:val="20"/>
                <w:szCs w:val="20"/>
                <w:color w:val="auto"/>
              </w:rPr>
            </w:pPr>
            <w:r>
              <w:rPr>
                <w:rFonts w:ascii="Arial" w:cs="Arial" w:eastAsia="Arial" w:hAnsi="Arial"/>
                <w:sz w:val="18"/>
                <w:szCs w:val="18"/>
                <w:color w:val="auto"/>
              </w:rPr>
              <w:t>2011 to 2013</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180" w:type="dxa"/>
            <w:vAlign w:val="bottom"/>
            <w:tcBorders>
              <w:bottom w:val="single" w:sz="8" w:color="auto"/>
            </w:tcBorders>
          </w:tcPr>
          <w:p>
            <w:pPr>
              <w:spacing w:after="0"/>
              <w:rPr>
                <w:sz w:val="21"/>
                <w:szCs w:val="21"/>
                <w:color w:val="auto"/>
              </w:rPr>
            </w:pPr>
          </w:p>
        </w:tc>
      </w:tr>
      <w:tr>
        <w:trPr>
          <w:trHeight w:val="237"/>
        </w:trPr>
        <w:tc>
          <w:tcPr>
            <w:tcW w:w="3520" w:type="dxa"/>
            <w:vAlign w:val="bottom"/>
            <w:tcBorders>
              <w:bottom w:val="single" w:sz="8" w:color="CCFFCC"/>
            </w:tcBorders>
            <w:shd w:val="clear" w:color="auto" w:fill="CCFFCC"/>
          </w:tcPr>
          <w:p>
            <w:pPr>
              <w:ind w:left="520"/>
              <w:spacing w:after="0"/>
              <w:rPr>
                <w:sz w:val="20"/>
                <w:szCs w:val="20"/>
                <w:color w:val="auto"/>
              </w:rPr>
            </w:pPr>
            <w:r>
              <w:rPr>
                <w:rFonts w:ascii="Arial" w:cs="Arial" w:eastAsia="Arial" w:hAnsi="Arial"/>
                <w:sz w:val="18"/>
                <w:szCs w:val="18"/>
                <w:color w:val="auto"/>
              </w:rPr>
              <w:t>Total</w:t>
            </w:r>
          </w:p>
        </w:tc>
        <w:tc>
          <w:tcPr>
            <w:tcW w:w="1620" w:type="dxa"/>
            <w:vAlign w:val="bottom"/>
            <w:tcBorders>
              <w:bottom w:val="single" w:sz="8" w:color="CCFFCC"/>
            </w:tcBorders>
            <w:shd w:val="clear" w:color="auto" w:fill="CCFFCC"/>
          </w:tcPr>
          <w:p>
            <w:pPr>
              <w:spacing w:after="0"/>
              <w:rPr>
                <w:sz w:val="20"/>
                <w:szCs w:val="20"/>
                <w:color w:val="auto"/>
              </w:rPr>
            </w:pPr>
          </w:p>
        </w:tc>
        <w:tc>
          <w:tcPr>
            <w:tcW w:w="1760" w:type="dxa"/>
            <w:vAlign w:val="bottom"/>
            <w:tcBorders>
              <w:bottom w:val="single" w:sz="8" w:color="CCFFCC"/>
            </w:tcBorders>
            <w:shd w:val="clear" w:color="auto" w:fill="CCFFCC"/>
          </w:tcPr>
          <w:p>
            <w:pPr>
              <w:spacing w:after="0"/>
              <w:rPr>
                <w:sz w:val="20"/>
                <w:szCs w:val="20"/>
                <w:color w:val="auto"/>
              </w:rPr>
            </w:pPr>
          </w:p>
        </w:tc>
        <w:tc>
          <w:tcPr>
            <w:tcW w:w="12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1,539</w:t>
            </w:r>
          </w:p>
        </w:tc>
        <w:tc>
          <w:tcPr>
            <w:tcW w:w="180" w:type="dxa"/>
            <w:vAlign w:val="bottom"/>
            <w:tcBorders>
              <w:bottom w:val="single" w:sz="8" w:color="auto"/>
            </w:tcBorders>
            <w:shd w:val="clear" w:color="auto" w:fill="CCFFCC"/>
          </w:tcPr>
          <w:p>
            <w:pPr>
              <w:spacing w:after="0"/>
              <w:rPr>
                <w:sz w:val="20"/>
                <w:szCs w:val="20"/>
                <w:color w:val="auto"/>
              </w:rPr>
            </w:pPr>
          </w:p>
        </w:tc>
      </w:tr>
      <w:tr>
        <w:trPr>
          <w:trHeight w:val="209"/>
        </w:trPr>
        <w:tc>
          <w:tcPr>
            <w:tcW w:w="3520" w:type="dxa"/>
            <w:vAlign w:val="bottom"/>
          </w:tcPr>
          <w:p>
            <w:pPr>
              <w:ind w:left="20"/>
              <w:spacing w:after="0"/>
              <w:rPr>
                <w:sz w:val="20"/>
                <w:szCs w:val="20"/>
                <w:color w:val="auto"/>
              </w:rPr>
            </w:pPr>
            <w:r>
              <w:rPr>
                <w:rFonts w:ascii="Arial" w:cs="Arial" w:eastAsia="Arial" w:hAnsi="Arial"/>
                <w:sz w:val="18"/>
                <w:szCs w:val="18"/>
                <w:color w:val="auto"/>
              </w:rPr>
              <w:t>Other contracts with Qualifying Facilities</w:t>
            </w:r>
          </w:p>
        </w:tc>
        <w:tc>
          <w:tcPr>
            <w:tcW w:w="16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7"/>
        </w:trPr>
        <w:tc>
          <w:tcPr>
            <w:tcW w:w="3520" w:type="dxa"/>
            <w:vAlign w:val="bottom"/>
          </w:tcPr>
          <w:p>
            <w:pPr>
              <w:ind w:left="20"/>
              <w:spacing w:after="0"/>
              <w:rPr>
                <w:sz w:val="20"/>
                <w:szCs w:val="20"/>
                <w:color w:val="auto"/>
              </w:rPr>
            </w:pPr>
            <w:r>
              <w:rPr>
                <w:rFonts w:ascii="Arial" w:cs="Arial" w:eastAsia="Arial" w:hAnsi="Arial"/>
                <w:sz w:val="18"/>
                <w:szCs w:val="18"/>
                <w:color w:val="auto"/>
              </w:rPr>
              <w:t>(QFs):</w:t>
            </w:r>
          </w:p>
        </w:tc>
        <w:tc>
          <w:tcPr>
            <w:tcW w:w="16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50"/>
        </w:trPr>
        <w:tc>
          <w:tcPr>
            <w:tcW w:w="3520" w:type="dxa"/>
            <w:vAlign w:val="bottom"/>
            <w:shd w:val="clear" w:color="auto" w:fill="CCFFCC"/>
          </w:tcPr>
          <w:p>
            <w:pPr>
              <w:ind w:left="240"/>
              <w:spacing w:after="0"/>
              <w:rPr>
                <w:sz w:val="20"/>
                <w:szCs w:val="20"/>
                <w:color w:val="auto"/>
              </w:rPr>
            </w:pPr>
            <w:r>
              <w:rPr>
                <w:rFonts w:ascii="Arial" w:cs="Arial" w:eastAsia="Arial" w:hAnsi="Arial"/>
                <w:sz w:val="18"/>
                <w:szCs w:val="18"/>
                <w:color w:val="auto"/>
              </w:rPr>
              <w:t>Applied Energy Inc.</w:t>
            </w:r>
          </w:p>
        </w:tc>
        <w:tc>
          <w:tcPr>
            <w:tcW w:w="1620" w:type="dxa"/>
            <w:vAlign w:val="bottom"/>
            <w:shd w:val="clear" w:color="auto" w:fill="CCFFCC"/>
          </w:tcPr>
          <w:p>
            <w:pPr>
              <w:ind w:left="60"/>
              <w:spacing w:after="0"/>
              <w:rPr>
                <w:sz w:val="20"/>
                <w:szCs w:val="20"/>
                <w:color w:val="auto"/>
              </w:rPr>
            </w:pPr>
            <w:r>
              <w:rPr>
                <w:rFonts w:ascii="Arial" w:cs="Arial" w:eastAsia="Arial" w:hAnsi="Arial"/>
                <w:sz w:val="18"/>
                <w:szCs w:val="18"/>
                <w:color w:val="auto"/>
              </w:rPr>
              <w:t>Cogeneration</w:t>
            </w:r>
          </w:p>
        </w:tc>
        <w:tc>
          <w:tcPr>
            <w:tcW w:w="1760" w:type="dxa"/>
            <w:vAlign w:val="bottom"/>
            <w:shd w:val="clear" w:color="auto" w:fill="CCFFCC"/>
          </w:tcPr>
          <w:p>
            <w:pPr>
              <w:ind w:left="300"/>
              <w:spacing w:after="0"/>
              <w:rPr>
                <w:sz w:val="20"/>
                <w:szCs w:val="20"/>
                <w:color w:val="auto"/>
              </w:rPr>
            </w:pPr>
            <w:r>
              <w:rPr>
                <w:rFonts w:ascii="Arial" w:cs="Arial" w:eastAsia="Arial" w:hAnsi="Arial"/>
                <w:sz w:val="18"/>
                <w:szCs w:val="18"/>
                <w:color w:val="auto"/>
              </w:rPr>
              <w:t>2019</w:t>
            </w:r>
          </w:p>
        </w:tc>
        <w:tc>
          <w:tcPr>
            <w:tcW w:w="1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107</w:t>
            </w:r>
          </w:p>
        </w:tc>
        <w:tc>
          <w:tcPr>
            <w:tcW w:w="180" w:type="dxa"/>
            <w:vAlign w:val="bottom"/>
            <w:shd w:val="clear" w:color="auto" w:fill="CCFFCC"/>
          </w:tcPr>
          <w:p>
            <w:pPr>
              <w:spacing w:after="0"/>
              <w:rPr>
                <w:sz w:val="21"/>
                <w:szCs w:val="21"/>
                <w:color w:val="auto"/>
              </w:rPr>
            </w:pPr>
          </w:p>
        </w:tc>
      </w:tr>
      <w:tr>
        <w:trPr>
          <w:trHeight w:val="237"/>
        </w:trPr>
        <w:tc>
          <w:tcPr>
            <w:tcW w:w="3520" w:type="dxa"/>
            <w:vAlign w:val="bottom"/>
          </w:tcPr>
          <w:p>
            <w:pPr>
              <w:ind w:left="240"/>
              <w:spacing w:after="0"/>
              <w:rPr>
                <w:sz w:val="20"/>
                <w:szCs w:val="20"/>
                <w:color w:val="auto"/>
              </w:rPr>
            </w:pPr>
            <w:r>
              <w:rPr>
                <w:rFonts w:ascii="Arial" w:cs="Arial" w:eastAsia="Arial" w:hAnsi="Arial"/>
                <w:sz w:val="18"/>
                <w:szCs w:val="18"/>
                <w:color w:val="auto"/>
              </w:rPr>
              <w:t>Yuma Cogeneration</w:t>
            </w:r>
          </w:p>
        </w:tc>
        <w:tc>
          <w:tcPr>
            <w:tcW w:w="1620" w:type="dxa"/>
            <w:vAlign w:val="bottom"/>
          </w:tcPr>
          <w:p>
            <w:pPr>
              <w:ind w:left="60"/>
              <w:spacing w:after="0"/>
              <w:rPr>
                <w:sz w:val="20"/>
                <w:szCs w:val="20"/>
                <w:color w:val="auto"/>
              </w:rPr>
            </w:pPr>
            <w:r>
              <w:rPr>
                <w:rFonts w:ascii="Arial" w:cs="Arial" w:eastAsia="Arial" w:hAnsi="Arial"/>
                <w:sz w:val="18"/>
                <w:szCs w:val="18"/>
                <w:color w:val="auto"/>
              </w:rPr>
              <w:t>Cogeneration</w:t>
            </w:r>
          </w:p>
        </w:tc>
        <w:tc>
          <w:tcPr>
            <w:tcW w:w="1760" w:type="dxa"/>
            <w:vAlign w:val="bottom"/>
          </w:tcPr>
          <w:p>
            <w:pPr>
              <w:ind w:left="300"/>
              <w:spacing w:after="0"/>
              <w:rPr>
                <w:sz w:val="20"/>
                <w:szCs w:val="20"/>
                <w:color w:val="auto"/>
              </w:rPr>
            </w:pPr>
            <w:r>
              <w:rPr>
                <w:rFonts w:ascii="Arial" w:cs="Arial" w:eastAsia="Arial" w:hAnsi="Arial"/>
                <w:sz w:val="18"/>
                <w:szCs w:val="18"/>
                <w:color w:val="auto"/>
              </w:rPr>
              <w:t>2024</w:t>
            </w:r>
          </w:p>
        </w:tc>
        <w:tc>
          <w:tcPr>
            <w:tcW w:w="1280" w:type="dxa"/>
            <w:vAlign w:val="bottom"/>
          </w:tcPr>
          <w:p>
            <w:pPr>
              <w:jc w:val="right"/>
              <w:spacing w:after="0"/>
              <w:rPr>
                <w:sz w:val="20"/>
                <w:szCs w:val="20"/>
                <w:color w:val="auto"/>
              </w:rPr>
            </w:pPr>
            <w:r>
              <w:rPr>
                <w:rFonts w:ascii="Arial" w:cs="Arial" w:eastAsia="Arial" w:hAnsi="Arial"/>
                <w:sz w:val="18"/>
                <w:szCs w:val="18"/>
                <w:color w:val="auto"/>
              </w:rPr>
              <w:t>53</w:t>
            </w:r>
          </w:p>
        </w:tc>
        <w:tc>
          <w:tcPr>
            <w:tcW w:w="180" w:type="dxa"/>
            <w:vAlign w:val="bottom"/>
          </w:tcPr>
          <w:p>
            <w:pPr>
              <w:spacing w:after="0"/>
              <w:rPr>
                <w:sz w:val="20"/>
                <w:szCs w:val="20"/>
                <w:color w:val="auto"/>
              </w:rPr>
            </w:pPr>
          </w:p>
        </w:tc>
      </w:tr>
      <w:tr>
        <w:trPr>
          <w:trHeight w:val="249"/>
        </w:trPr>
        <w:tc>
          <w:tcPr>
            <w:tcW w:w="3520" w:type="dxa"/>
            <w:vAlign w:val="bottom"/>
            <w:shd w:val="clear" w:color="auto" w:fill="CCFFCC"/>
          </w:tcPr>
          <w:p>
            <w:pPr>
              <w:ind w:left="240"/>
              <w:spacing w:after="0"/>
              <w:rPr>
                <w:sz w:val="20"/>
                <w:szCs w:val="20"/>
                <w:color w:val="auto"/>
              </w:rPr>
            </w:pPr>
            <w:r>
              <w:rPr>
                <w:rFonts w:ascii="Arial" w:cs="Arial" w:eastAsia="Arial" w:hAnsi="Arial"/>
                <w:sz w:val="18"/>
                <w:szCs w:val="18"/>
                <w:color w:val="auto"/>
              </w:rPr>
              <w:t>Goal Line Limited Partnership</w:t>
            </w:r>
          </w:p>
        </w:tc>
        <w:tc>
          <w:tcPr>
            <w:tcW w:w="1620" w:type="dxa"/>
            <w:vAlign w:val="bottom"/>
            <w:shd w:val="clear" w:color="auto" w:fill="CCFFCC"/>
          </w:tcPr>
          <w:p>
            <w:pPr>
              <w:ind w:left="60"/>
              <w:spacing w:after="0"/>
              <w:rPr>
                <w:sz w:val="20"/>
                <w:szCs w:val="20"/>
                <w:color w:val="auto"/>
              </w:rPr>
            </w:pPr>
            <w:r>
              <w:rPr>
                <w:rFonts w:ascii="Arial" w:cs="Arial" w:eastAsia="Arial" w:hAnsi="Arial"/>
                <w:sz w:val="18"/>
                <w:szCs w:val="18"/>
                <w:color w:val="auto"/>
              </w:rPr>
              <w:t>Cogeneration</w:t>
            </w:r>
          </w:p>
        </w:tc>
        <w:tc>
          <w:tcPr>
            <w:tcW w:w="1760" w:type="dxa"/>
            <w:vAlign w:val="bottom"/>
            <w:shd w:val="clear" w:color="auto" w:fill="CCFFCC"/>
          </w:tcPr>
          <w:p>
            <w:pPr>
              <w:ind w:left="300"/>
              <w:spacing w:after="0"/>
              <w:rPr>
                <w:sz w:val="20"/>
                <w:szCs w:val="20"/>
                <w:color w:val="auto"/>
              </w:rPr>
            </w:pPr>
            <w:r>
              <w:rPr>
                <w:rFonts w:ascii="Arial" w:cs="Arial" w:eastAsia="Arial" w:hAnsi="Arial"/>
                <w:sz w:val="18"/>
                <w:szCs w:val="18"/>
                <w:color w:val="auto"/>
              </w:rPr>
              <w:t>2025</w:t>
            </w:r>
          </w:p>
        </w:tc>
        <w:tc>
          <w:tcPr>
            <w:tcW w:w="1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50</w:t>
            </w:r>
          </w:p>
        </w:tc>
        <w:tc>
          <w:tcPr>
            <w:tcW w:w="180" w:type="dxa"/>
            <w:vAlign w:val="bottom"/>
            <w:shd w:val="clear" w:color="auto" w:fill="CCFFCC"/>
          </w:tcPr>
          <w:p>
            <w:pPr>
              <w:spacing w:after="0"/>
              <w:rPr>
                <w:sz w:val="21"/>
                <w:szCs w:val="21"/>
                <w:color w:val="auto"/>
              </w:rPr>
            </w:pPr>
          </w:p>
        </w:tc>
      </w:tr>
      <w:tr>
        <w:trPr>
          <w:trHeight w:val="243"/>
        </w:trPr>
        <w:tc>
          <w:tcPr>
            <w:tcW w:w="3520" w:type="dxa"/>
            <w:vAlign w:val="bottom"/>
          </w:tcPr>
          <w:p>
            <w:pPr>
              <w:ind w:left="240"/>
              <w:spacing w:after="0"/>
              <w:rPr>
                <w:sz w:val="20"/>
                <w:szCs w:val="20"/>
                <w:color w:val="auto"/>
              </w:rPr>
            </w:pPr>
            <w:r>
              <w:rPr>
                <w:rFonts w:ascii="Arial" w:cs="Arial" w:eastAsia="Arial" w:hAnsi="Arial"/>
                <w:sz w:val="18"/>
                <w:szCs w:val="18"/>
                <w:color w:val="auto"/>
              </w:rPr>
              <w:t>Other (17 contracts)</w:t>
            </w:r>
          </w:p>
        </w:tc>
        <w:tc>
          <w:tcPr>
            <w:tcW w:w="1620" w:type="dxa"/>
            <w:vAlign w:val="bottom"/>
          </w:tcPr>
          <w:p>
            <w:pPr>
              <w:ind w:left="60"/>
              <w:spacing w:after="0"/>
              <w:rPr>
                <w:sz w:val="20"/>
                <w:szCs w:val="20"/>
                <w:color w:val="auto"/>
              </w:rPr>
            </w:pPr>
            <w:r>
              <w:rPr>
                <w:rFonts w:ascii="Arial" w:cs="Arial" w:eastAsia="Arial" w:hAnsi="Arial"/>
                <w:sz w:val="18"/>
                <w:szCs w:val="18"/>
                <w:color w:val="auto"/>
              </w:rPr>
              <w:t>Cogeneration</w:t>
            </w:r>
          </w:p>
        </w:tc>
        <w:tc>
          <w:tcPr>
            <w:tcW w:w="1760" w:type="dxa"/>
            <w:vAlign w:val="bottom"/>
          </w:tcPr>
          <w:p>
            <w:pPr>
              <w:ind w:left="300"/>
              <w:spacing w:after="0"/>
              <w:rPr>
                <w:sz w:val="20"/>
                <w:szCs w:val="20"/>
                <w:color w:val="auto"/>
              </w:rPr>
            </w:pPr>
            <w:r>
              <w:rPr>
                <w:rFonts w:ascii="Arial" w:cs="Arial" w:eastAsia="Arial" w:hAnsi="Arial"/>
                <w:sz w:val="18"/>
                <w:szCs w:val="18"/>
                <w:color w:val="auto"/>
                <w:w w:val="91"/>
              </w:rPr>
              <w:t>2009 and thereafter</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80" w:type="dxa"/>
            <w:vAlign w:val="bottom"/>
            <w:tcBorders>
              <w:bottom w:val="single" w:sz="8" w:color="auto"/>
            </w:tcBorders>
          </w:tcPr>
          <w:p>
            <w:pPr>
              <w:spacing w:after="0"/>
              <w:rPr>
                <w:sz w:val="21"/>
                <w:szCs w:val="21"/>
                <w:color w:val="auto"/>
              </w:rPr>
            </w:pPr>
          </w:p>
        </w:tc>
      </w:tr>
      <w:tr>
        <w:trPr>
          <w:trHeight w:val="237"/>
        </w:trPr>
        <w:tc>
          <w:tcPr>
            <w:tcW w:w="3520" w:type="dxa"/>
            <w:vAlign w:val="bottom"/>
            <w:tcBorders>
              <w:bottom w:val="single" w:sz="8" w:color="CCFFCC"/>
            </w:tcBorders>
            <w:shd w:val="clear" w:color="auto" w:fill="CCFFCC"/>
          </w:tcPr>
          <w:p>
            <w:pPr>
              <w:ind w:left="520"/>
              <w:spacing w:after="0"/>
              <w:rPr>
                <w:sz w:val="20"/>
                <w:szCs w:val="20"/>
                <w:color w:val="auto"/>
              </w:rPr>
            </w:pPr>
            <w:r>
              <w:rPr>
                <w:rFonts w:ascii="Arial" w:cs="Arial" w:eastAsia="Arial" w:hAnsi="Arial"/>
                <w:sz w:val="18"/>
                <w:szCs w:val="18"/>
                <w:color w:val="auto"/>
              </w:rPr>
              <w:t>Total</w:t>
            </w:r>
          </w:p>
        </w:tc>
        <w:tc>
          <w:tcPr>
            <w:tcW w:w="1620" w:type="dxa"/>
            <w:vAlign w:val="bottom"/>
            <w:tcBorders>
              <w:bottom w:val="single" w:sz="8" w:color="CCFFCC"/>
            </w:tcBorders>
            <w:shd w:val="clear" w:color="auto" w:fill="CCFFCC"/>
          </w:tcPr>
          <w:p>
            <w:pPr>
              <w:spacing w:after="0"/>
              <w:rPr>
                <w:sz w:val="20"/>
                <w:szCs w:val="20"/>
                <w:color w:val="auto"/>
              </w:rPr>
            </w:pPr>
          </w:p>
        </w:tc>
        <w:tc>
          <w:tcPr>
            <w:tcW w:w="1760" w:type="dxa"/>
            <w:vAlign w:val="bottom"/>
            <w:tcBorders>
              <w:bottom w:val="single" w:sz="8" w:color="CCFFCC"/>
            </w:tcBorders>
            <w:shd w:val="clear" w:color="auto" w:fill="CCFFCC"/>
          </w:tcPr>
          <w:p>
            <w:pPr>
              <w:spacing w:after="0"/>
              <w:rPr>
                <w:sz w:val="20"/>
                <w:szCs w:val="20"/>
                <w:color w:val="auto"/>
              </w:rPr>
            </w:pPr>
          </w:p>
        </w:tc>
        <w:tc>
          <w:tcPr>
            <w:tcW w:w="12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266</w:t>
            </w:r>
          </w:p>
        </w:tc>
        <w:tc>
          <w:tcPr>
            <w:tcW w:w="180" w:type="dxa"/>
            <w:vAlign w:val="bottom"/>
            <w:tcBorders>
              <w:bottom w:val="single" w:sz="8" w:color="auto"/>
            </w:tcBorders>
            <w:shd w:val="clear" w:color="auto" w:fill="CCFFCC"/>
          </w:tcPr>
          <w:p>
            <w:pPr>
              <w:spacing w:after="0"/>
              <w:rPr>
                <w:sz w:val="20"/>
                <w:szCs w:val="20"/>
                <w:color w:val="auto"/>
              </w:rPr>
            </w:pPr>
          </w:p>
        </w:tc>
      </w:tr>
      <w:tr>
        <w:trPr>
          <w:trHeight w:val="230"/>
        </w:trPr>
        <w:tc>
          <w:tcPr>
            <w:tcW w:w="3520" w:type="dxa"/>
            <w:vAlign w:val="bottom"/>
          </w:tcPr>
          <w:p>
            <w:pPr>
              <w:ind w:left="20"/>
              <w:spacing w:after="0"/>
              <w:rPr>
                <w:sz w:val="20"/>
                <w:szCs w:val="20"/>
                <w:color w:val="auto"/>
              </w:rPr>
            </w:pPr>
            <w:r>
              <w:rPr>
                <w:rFonts w:ascii="Arial" w:cs="Arial" w:eastAsia="Arial" w:hAnsi="Arial"/>
                <w:sz w:val="18"/>
                <w:szCs w:val="18"/>
                <w:color w:val="auto"/>
              </w:rPr>
              <w:t>Other contracts with renewable sources:</w:t>
            </w:r>
          </w:p>
        </w:tc>
        <w:tc>
          <w:tcPr>
            <w:tcW w:w="16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49"/>
        </w:trPr>
        <w:tc>
          <w:tcPr>
            <w:tcW w:w="3520" w:type="dxa"/>
            <w:vAlign w:val="bottom"/>
            <w:shd w:val="clear" w:color="auto" w:fill="CCFFCC"/>
          </w:tcPr>
          <w:p>
            <w:pPr>
              <w:ind w:left="240"/>
              <w:spacing w:after="0"/>
              <w:rPr>
                <w:sz w:val="20"/>
                <w:szCs w:val="20"/>
                <w:color w:val="auto"/>
              </w:rPr>
            </w:pPr>
            <w:r>
              <w:rPr>
                <w:rFonts w:ascii="Arial" w:cs="Arial" w:eastAsia="Arial" w:hAnsi="Arial"/>
                <w:sz w:val="18"/>
                <w:szCs w:val="18"/>
                <w:color w:val="auto"/>
              </w:rPr>
              <w:t>Oasis Power Partners</w:t>
            </w:r>
          </w:p>
        </w:tc>
        <w:tc>
          <w:tcPr>
            <w:tcW w:w="1620" w:type="dxa"/>
            <w:vAlign w:val="bottom"/>
            <w:shd w:val="clear" w:color="auto" w:fill="CCFFCC"/>
          </w:tcPr>
          <w:p>
            <w:pPr>
              <w:ind w:left="60"/>
              <w:spacing w:after="0"/>
              <w:rPr>
                <w:sz w:val="20"/>
                <w:szCs w:val="20"/>
                <w:color w:val="auto"/>
              </w:rPr>
            </w:pPr>
            <w:r>
              <w:rPr>
                <w:rFonts w:ascii="Arial" w:cs="Arial" w:eastAsia="Arial" w:hAnsi="Arial"/>
                <w:sz w:val="18"/>
                <w:szCs w:val="18"/>
                <w:color w:val="auto"/>
              </w:rPr>
              <w:t>Wind</w:t>
            </w:r>
          </w:p>
        </w:tc>
        <w:tc>
          <w:tcPr>
            <w:tcW w:w="1760" w:type="dxa"/>
            <w:vAlign w:val="bottom"/>
            <w:shd w:val="clear" w:color="auto" w:fill="CCFFCC"/>
          </w:tcPr>
          <w:p>
            <w:pPr>
              <w:ind w:left="300"/>
              <w:spacing w:after="0"/>
              <w:rPr>
                <w:sz w:val="20"/>
                <w:szCs w:val="20"/>
                <w:color w:val="auto"/>
              </w:rPr>
            </w:pPr>
            <w:r>
              <w:rPr>
                <w:rFonts w:ascii="Arial" w:cs="Arial" w:eastAsia="Arial" w:hAnsi="Arial"/>
                <w:sz w:val="18"/>
                <w:szCs w:val="18"/>
                <w:color w:val="auto"/>
              </w:rPr>
              <w:t>2019</w:t>
            </w:r>
          </w:p>
        </w:tc>
        <w:tc>
          <w:tcPr>
            <w:tcW w:w="1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60</w:t>
            </w:r>
          </w:p>
        </w:tc>
        <w:tc>
          <w:tcPr>
            <w:tcW w:w="180" w:type="dxa"/>
            <w:vAlign w:val="bottom"/>
            <w:shd w:val="clear" w:color="auto" w:fill="CCFFCC"/>
          </w:tcPr>
          <w:p>
            <w:pPr>
              <w:spacing w:after="0"/>
              <w:rPr>
                <w:sz w:val="21"/>
                <w:szCs w:val="21"/>
                <w:color w:val="auto"/>
              </w:rPr>
            </w:pPr>
          </w:p>
        </w:tc>
      </w:tr>
      <w:tr>
        <w:trPr>
          <w:trHeight w:val="237"/>
        </w:trPr>
        <w:tc>
          <w:tcPr>
            <w:tcW w:w="3520" w:type="dxa"/>
            <w:vAlign w:val="bottom"/>
          </w:tcPr>
          <w:p>
            <w:pPr>
              <w:ind w:left="240"/>
              <w:spacing w:after="0"/>
              <w:rPr>
                <w:sz w:val="20"/>
                <w:szCs w:val="20"/>
                <w:color w:val="auto"/>
              </w:rPr>
            </w:pPr>
            <w:r>
              <w:rPr>
                <w:rFonts w:ascii="Arial" w:cs="Arial" w:eastAsia="Arial" w:hAnsi="Arial"/>
                <w:sz w:val="18"/>
                <w:szCs w:val="18"/>
                <w:color w:val="auto"/>
              </w:rPr>
              <w:t>Kumeyaay</w:t>
            </w:r>
          </w:p>
        </w:tc>
        <w:tc>
          <w:tcPr>
            <w:tcW w:w="1620" w:type="dxa"/>
            <w:vAlign w:val="bottom"/>
          </w:tcPr>
          <w:p>
            <w:pPr>
              <w:ind w:left="60"/>
              <w:spacing w:after="0"/>
              <w:rPr>
                <w:sz w:val="20"/>
                <w:szCs w:val="20"/>
                <w:color w:val="auto"/>
              </w:rPr>
            </w:pPr>
            <w:r>
              <w:rPr>
                <w:rFonts w:ascii="Arial" w:cs="Arial" w:eastAsia="Arial" w:hAnsi="Arial"/>
                <w:sz w:val="18"/>
                <w:szCs w:val="18"/>
                <w:color w:val="auto"/>
              </w:rPr>
              <w:t>Wind</w:t>
            </w:r>
          </w:p>
        </w:tc>
        <w:tc>
          <w:tcPr>
            <w:tcW w:w="1760" w:type="dxa"/>
            <w:vAlign w:val="bottom"/>
          </w:tcPr>
          <w:p>
            <w:pPr>
              <w:ind w:left="300"/>
              <w:spacing w:after="0"/>
              <w:rPr>
                <w:sz w:val="20"/>
                <w:szCs w:val="20"/>
                <w:color w:val="auto"/>
              </w:rPr>
            </w:pPr>
            <w:r>
              <w:rPr>
                <w:rFonts w:ascii="Arial" w:cs="Arial" w:eastAsia="Arial" w:hAnsi="Arial"/>
                <w:sz w:val="18"/>
                <w:szCs w:val="18"/>
                <w:color w:val="auto"/>
              </w:rPr>
              <w:t>2025</w:t>
            </w:r>
          </w:p>
        </w:tc>
        <w:tc>
          <w:tcPr>
            <w:tcW w:w="1280" w:type="dxa"/>
            <w:vAlign w:val="bottom"/>
          </w:tcPr>
          <w:p>
            <w:pPr>
              <w:jc w:val="right"/>
              <w:spacing w:after="0"/>
              <w:rPr>
                <w:sz w:val="20"/>
                <w:szCs w:val="20"/>
                <w:color w:val="auto"/>
              </w:rPr>
            </w:pPr>
            <w:r>
              <w:rPr>
                <w:rFonts w:ascii="Arial" w:cs="Arial" w:eastAsia="Arial" w:hAnsi="Arial"/>
                <w:sz w:val="18"/>
                <w:szCs w:val="18"/>
                <w:color w:val="auto"/>
              </w:rPr>
              <w:t>50</w:t>
            </w:r>
          </w:p>
        </w:tc>
        <w:tc>
          <w:tcPr>
            <w:tcW w:w="180" w:type="dxa"/>
            <w:vAlign w:val="bottom"/>
          </w:tcPr>
          <w:p>
            <w:pPr>
              <w:spacing w:after="0"/>
              <w:rPr>
                <w:sz w:val="20"/>
                <w:szCs w:val="20"/>
                <w:color w:val="auto"/>
              </w:rPr>
            </w:pPr>
          </w:p>
        </w:tc>
      </w:tr>
      <w:tr>
        <w:trPr>
          <w:trHeight w:val="249"/>
        </w:trPr>
        <w:tc>
          <w:tcPr>
            <w:tcW w:w="3520" w:type="dxa"/>
            <w:vAlign w:val="bottom"/>
            <w:shd w:val="clear" w:color="auto" w:fill="CCFFCC"/>
          </w:tcPr>
          <w:p>
            <w:pPr>
              <w:ind w:left="240"/>
              <w:spacing w:after="0"/>
              <w:rPr>
                <w:sz w:val="20"/>
                <w:szCs w:val="20"/>
                <w:color w:val="auto"/>
              </w:rPr>
            </w:pPr>
            <w:r>
              <w:rPr>
                <w:rFonts w:ascii="Arial" w:cs="Arial" w:eastAsia="Arial" w:hAnsi="Arial"/>
                <w:sz w:val="18"/>
                <w:szCs w:val="18"/>
                <w:color w:val="auto"/>
              </w:rPr>
              <w:t>Covanta Delano</w:t>
            </w:r>
          </w:p>
        </w:tc>
        <w:tc>
          <w:tcPr>
            <w:tcW w:w="1620" w:type="dxa"/>
            <w:vAlign w:val="bottom"/>
            <w:shd w:val="clear" w:color="auto" w:fill="CCFFCC"/>
          </w:tcPr>
          <w:p>
            <w:pPr>
              <w:ind w:left="60"/>
              <w:spacing w:after="0"/>
              <w:rPr>
                <w:sz w:val="20"/>
                <w:szCs w:val="20"/>
                <w:color w:val="auto"/>
              </w:rPr>
            </w:pPr>
            <w:r>
              <w:rPr>
                <w:rFonts w:ascii="Arial" w:cs="Arial" w:eastAsia="Arial" w:hAnsi="Arial"/>
                <w:sz w:val="18"/>
                <w:szCs w:val="18"/>
                <w:color w:val="auto"/>
              </w:rPr>
              <w:t>Bio-mass</w:t>
            </w:r>
          </w:p>
        </w:tc>
        <w:tc>
          <w:tcPr>
            <w:tcW w:w="1760" w:type="dxa"/>
            <w:vAlign w:val="bottom"/>
            <w:shd w:val="clear" w:color="auto" w:fill="CCFFCC"/>
          </w:tcPr>
          <w:p>
            <w:pPr>
              <w:ind w:left="300"/>
              <w:spacing w:after="0"/>
              <w:rPr>
                <w:sz w:val="20"/>
                <w:szCs w:val="20"/>
                <w:color w:val="auto"/>
              </w:rPr>
            </w:pPr>
            <w:r>
              <w:rPr>
                <w:rFonts w:ascii="Arial" w:cs="Arial" w:eastAsia="Arial" w:hAnsi="Arial"/>
                <w:sz w:val="18"/>
                <w:szCs w:val="18"/>
                <w:color w:val="auto"/>
              </w:rPr>
              <w:t>2017</w:t>
            </w:r>
          </w:p>
        </w:tc>
        <w:tc>
          <w:tcPr>
            <w:tcW w:w="1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49</w:t>
            </w:r>
          </w:p>
        </w:tc>
        <w:tc>
          <w:tcPr>
            <w:tcW w:w="180" w:type="dxa"/>
            <w:vAlign w:val="bottom"/>
            <w:shd w:val="clear" w:color="auto" w:fill="CCFFCC"/>
          </w:tcPr>
          <w:p>
            <w:pPr>
              <w:spacing w:after="0"/>
              <w:rPr>
                <w:sz w:val="21"/>
                <w:szCs w:val="21"/>
                <w:color w:val="auto"/>
              </w:rPr>
            </w:pPr>
          </w:p>
        </w:tc>
      </w:tr>
      <w:tr>
        <w:trPr>
          <w:trHeight w:val="237"/>
        </w:trPr>
        <w:tc>
          <w:tcPr>
            <w:tcW w:w="3520" w:type="dxa"/>
            <w:vAlign w:val="bottom"/>
          </w:tcPr>
          <w:p>
            <w:pPr>
              <w:ind w:left="240"/>
              <w:spacing w:after="0"/>
              <w:rPr>
                <w:sz w:val="20"/>
                <w:szCs w:val="20"/>
                <w:color w:val="auto"/>
              </w:rPr>
            </w:pPr>
            <w:r>
              <w:rPr>
                <w:rFonts w:ascii="Arial" w:cs="Arial" w:eastAsia="Arial" w:hAnsi="Arial"/>
                <w:sz w:val="18"/>
                <w:szCs w:val="18"/>
                <w:color w:val="auto"/>
              </w:rPr>
              <w:t>PPM Energy</w:t>
            </w:r>
          </w:p>
        </w:tc>
        <w:tc>
          <w:tcPr>
            <w:tcW w:w="1620" w:type="dxa"/>
            <w:vAlign w:val="bottom"/>
          </w:tcPr>
          <w:p>
            <w:pPr>
              <w:ind w:left="60"/>
              <w:spacing w:after="0"/>
              <w:rPr>
                <w:sz w:val="20"/>
                <w:szCs w:val="20"/>
                <w:color w:val="auto"/>
              </w:rPr>
            </w:pPr>
            <w:r>
              <w:rPr>
                <w:rFonts w:ascii="Arial" w:cs="Arial" w:eastAsia="Arial" w:hAnsi="Arial"/>
                <w:sz w:val="18"/>
                <w:szCs w:val="18"/>
                <w:color w:val="auto"/>
              </w:rPr>
              <w:t>Wind</w:t>
            </w:r>
          </w:p>
        </w:tc>
        <w:tc>
          <w:tcPr>
            <w:tcW w:w="1760" w:type="dxa"/>
            <w:vAlign w:val="bottom"/>
          </w:tcPr>
          <w:p>
            <w:pPr>
              <w:ind w:left="300"/>
              <w:spacing w:after="0"/>
              <w:rPr>
                <w:sz w:val="20"/>
                <w:szCs w:val="20"/>
                <w:color w:val="auto"/>
              </w:rPr>
            </w:pPr>
            <w:r>
              <w:rPr>
                <w:rFonts w:ascii="Arial" w:cs="Arial" w:eastAsia="Arial" w:hAnsi="Arial"/>
                <w:sz w:val="18"/>
                <w:szCs w:val="18"/>
                <w:color w:val="auto"/>
              </w:rPr>
              <w:t>2018</w:t>
            </w:r>
          </w:p>
        </w:tc>
        <w:tc>
          <w:tcPr>
            <w:tcW w:w="1280" w:type="dxa"/>
            <w:vAlign w:val="bottom"/>
          </w:tcPr>
          <w:p>
            <w:pPr>
              <w:jc w:val="right"/>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20"/>
                <w:szCs w:val="20"/>
                <w:color w:val="auto"/>
              </w:rPr>
            </w:pPr>
          </w:p>
        </w:tc>
      </w:tr>
      <w:tr>
        <w:trPr>
          <w:trHeight w:val="249"/>
        </w:trPr>
        <w:tc>
          <w:tcPr>
            <w:tcW w:w="3520" w:type="dxa"/>
            <w:vAlign w:val="bottom"/>
            <w:shd w:val="clear" w:color="auto" w:fill="CCFFCC"/>
          </w:tcPr>
          <w:p>
            <w:pPr>
              <w:ind w:left="240"/>
              <w:spacing w:after="0"/>
              <w:rPr>
                <w:sz w:val="20"/>
                <w:szCs w:val="20"/>
                <w:color w:val="auto"/>
              </w:rPr>
            </w:pPr>
            <w:r>
              <w:rPr>
                <w:rFonts w:ascii="Arial" w:cs="Arial" w:eastAsia="Arial" w:hAnsi="Arial"/>
                <w:sz w:val="18"/>
                <w:szCs w:val="18"/>
                <w:color w:val="auto"/>
              </w:rPr>
              <w:t>WTE/FPL</w:t>
            </w:r>
          </w:p>
        </w:tc>
        <w:tc>
          <w:tcPr>
            <w:tcW w:w="1620" w:type="dxa"/>
            <w:vAlign w:val="bottom"/>
            <w:shd w:val="clear" w:color="auto" w:fill="CCFFCC"/>
          </w:tcPr>
          <w:p>
            <w:pPr>
              <w:ind w:left="60"/>
              <w:spacing w:after="0"/>
              <w:rPr>
                <w:sz w:val="20"/>
                <w:szCs w:val="20"/>
                <w:color w:val="auto"/>
              </w:rPr>
            </w:pPr>
            <w:r>
              <w:rPr>
                <w:rFonts w:ascii="Arial" w:cs="Arial" w:eastAsia="Arial" w:hAnsi="Arial"/>
                <w:sz w:val="18"/>
                <w:szCs w:val="18"/>
                <w:color w:val="auto"/>
              </w:rPr>
              <w:t>Wind</w:t>
            </w:r>
          </w:p>
        </w:tc>
        <w:tc>
          <w:tcPr>
            <w:tcW w:w="1760" w:type="dxa"/>
            <w:vAlign w:val="bottom"/>
            <w:shd w:val="clear" w:color="auto" w:fill="CCFFCC"/>
          </w:tcPr>
          <w:p>
            <w:pPr>
              <w:ind w:left="300"/>
              <w:spacing w:after="0"/>
              <w:rPr>
                <w:sz w:val="20"/>
                <w:szCs w:val="20"/>
                <w:color w:val="auto"/>
              </w:rPr>
            </w:pPr>
            <w:r>
              <w:rPr>
                <w:rFonts w:ascii="Arial" w:cs="Arial" w:eastAsia="Arial" w:hAnsi="Arial"/>
                <w:sz w:val="18"/>
                <w:szCs w:val="18"/>
                <w:color w:val="auto"/>
              </w:rPr>
              <w:t>2019</w:t>
            </w:r>
          </w:p>
        </w:tc>
        <w:tc>
          <w:tcPr>
            <w:tcW w:w="1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w:t>
            </w:r>
          </w:p>
        </w:tc>
        <w:tc>
          <w:tcPr>
            <w:tcW w:w="180" w:type="dxa"/>
            <w:vAlign w:val="bottom"/>
            <w:shd w:val="clear" w:color="auto" w:fill="CCFFCC"/>
          </w:tcPr>
          <w:p>
            <w:pPr>
              <w:spacing w:after="0"/>
              <w:rPr>
                <w:sz w:val="21"/>
                <w:szCs w:val="21"/>
                <w:color w:val="auto"/>
              </w:rPr>
            </w:pPr>
          </w:p>
        </w:tc>
      </w:tr>
      <w:tr>
        <w:trPr>
          <w:trHeight w:val="243"/>
        </w:trPr>
        <w:tc>
          <w:tcPr>
            <w:tcW w:w="3520" w:type="dxa"/>
            <w:vAlign w:val="bottom"/>
          </w:tcPr>
          <w:p>
            <w:pPr>
              <w:ind w:left="240"/>
              <w:spacing w:after="0"/>
              <w:rPr>
                <w:sz w:val="20"/>
                <w:szCs w:val="20"/>
                <w:color w:val="auto"/>
              </w:rPr>
            </w:pPr>
            <w:r>
              <w:rPr>
                <w:rFonts w:ascii="Arial" w:cs="Arial" w:eastAsia="Arial" w:hAnsi="Arial"/>
                <w:sz w:val="18"/>
                <w:szCs w:val="18"/>
                <w:color w:val="auto"/>
              </w:rPr>
              <w:t>Other (8 contracts)</w:t>
            </w:r>
          </w:p>
        </w:tc>
        <w:tc>
          <w:tcPr>
            <w:tcW w:w="1620" w:type="dxa"/>
            <w:vAlign w:val="bottom"/>
          </w:tcPr>
          <w:p>
            <w:pPr>
              <w:ind w:left="60"/>
              <w:spacing w:after="0"/>
              <w:rPr>
                <w:sz w:val="20"/>
                <w:szCs w:val="20"/>
                <w:color w:val="auto"/>
              </w:rPr>
            </w:pPr>
            <w:r>
              <w:rPr>
                <w:rFonts w:ascii="Arial" w:cs="Arial" w:eastAsia="Arial" w:hAnsi="Arial"/>
                <w:sz w:val="18"/>
                <w:szCs w:val="18"/>
                <w:color w:val="auto"/>
              </w:rPr>
              <w:t>Bio-gas/Hydro</w:t>
            </w:r>
          </w:p>
        </w:tc>
        <w:tc>
          <w:tcPr>
            <w:tcW w:w="1760" w:type="dxa"/>
            <w:vAlign w:val="bottom"/>
          </w:tcPr>
          <w:p>
            <w:pPr>
              <w:ind w:left="300"/>
              <w:spacing w:after="0"/>
              <w:rPr>
                <w:sz w:val="20"/>
                <w:szCs w:val="20"/>
                <w:color w:val="auto"/>
              </w:rPr>
            </w:pPr>
            <w:r>
              <w:rPr>
                <w:rFonts w:ascii="Arial" w:cs="Arial" w:eastAsia="Arial" w:hAnsi="Arial"/>
                <w:sz w:val="18"/>
                <w:szCs w:val="18"/>
                <w:color w:val="auto"/>
              </w:rPr>
              <w:t>2012 to 2022</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80" w:type="dxa"/>
            <w:vAlign w:val="bottom"/>
            <w:tcBorders>
              <w:bottom w:val="single" w:sz="8" w:color="auto"/>
            </w:tcBorders>
          </w:tcPr>
          <w:p>
            <w:pPr>
              <w:spacing w:after="0"/>
              <w:rPr>
                <w:sz w:val="21"/>
                <w:szCs w:val="21"/>
                <w:color w:val="auto"/>
              </w:rPr>
            </w:pPr>
          </w:p>
        </w:tc>
      </w:tr>
      <w:tr>
        <w:trPr>
          <w:trHeight w:val="237"/>
        </w:trPr>
        <w:tc>
          <w:tcPr>
            <w:tcW w:w="3520" w:type="dxa"/>
            <w:vAlign w:val="bottom"/>
            <w:tcBorders>
              <w:bottom w:val="single" w:sz="8" w:color="CCFFCC"/>
            </w:tcBorders>
            <w:shd w:val="clear" w:color="auto" w:fill="CCFFCC"/>
          </w:tcPr>
          <w:p>
            <w:pPr>
              <w:ind w:left="520"/>
              <w:spacing w:after="0"/>
              <w:rPr>
                <w:sz w:val="20"/>
                <w:szCs w:val="20"/>
                <w:color w:val="auto"/>
              </w:rPr>
            </w:pPr>
            <w:r>
              <w:rPr>
                <w:rFonts w:ascii="Arial" w:cs="Arial" w:eastAsia="Arial" w:hAnsi="Arial"/>
                <w:sz w:val="18"/>
                <w:szCs w:val="18"/>
                <w:color w:val="auto"/>
              </w:rPr>
              <w:t>Total</w:t>
            </w:r>
          </w:p>
        </w:tc>
        <w:tc>
          <w:tcPr>
            <w:tcW w:w="1620" w:type="dxa"/>
            <w:vAlign w:val="bottom"/>
            <w:tcBorders>
              <w:bottom w:val="single" w:sz="8" w:color="CCFFCC"/>
            </w:tcBorders>
            <w:shd w:val="clear" w:color="auto" w:fill="CCFFCC"/>
          </w:tcPr>
          <w:p>
            <w:pPr>
              <w:spacing w:after="0"/>
              <w:rPr>
                <w:sz w:val="20"/>
                <w:szCs w:val="20"/>
                <w:color w:val="auto"/>
              </w:rPr>
            </w:pPr>
          </w:p>
        </w:tc>
        <w:tc>
          <w:tcPr>
            <w:tcW w:w="1760" w:type="dxa"/>
            <w:vAlign w:val="bottom"/>
            <w:tcBorders>
              <w:bottom w:val="single" w:sz="8" w:color="CCFFCC"/>
            </w:tcBorders>
            <w:shd w:val="clear" w:color="auto" w:fill="CCFFCC"/>
          </w:tcPr>
          <w:p>
            <w:pPr>
              <w:spacing w:after="0"/>
              <w:rPr>
                <w:sz w:val="20"/>
                <w:szCs w:val="20"/>
                <w:color w:val="auto"/>
              </w:rPr>
            </w:pPr>
          </w:p>
        </w:tc>
        <w:tc>
          <w:tcPr>
            <w:tcW w:w="12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232</w:t>
            </w:r>
          </w:p>
        </w:tc>
        <w:tc>
          <w:tcPr>
            <w:tcW w:w="180" w:type="dxa"/>
            <w:vAlign w:val="bottom"/>
            <w:tcBorders>
              <w:bottom w:val="single" w:sz="8" w:color="auto"/>
            </w:tcBorders>
            <w:shd w:val="clear" w:color="auto" w:fill="CCFFCC"/>
          </w:tcPr>
          <w:p>
            <w:pPr>
              <w:spacing w:after="0"/>
              <w:rPr>
                <w:sz w:val="20"/>
                <w:szCs w:val="20"/>
                <w:color w:val="auto"/>
              </w:rPr>
            </w:pPr>
          </w:p>
        </w:tc>
      </w:tr>
      <w:tr>
        <w:trPr>
          <w:trHeight w:val="230"/>
        </w:trPr>
        <w:tc>
          <w:tcPr>
            <w:tcW w:w="3520" w:type="dxa"/>
            <w:vAlign w:val="bottom"/>
          </w:tcPr>
          <w:p>
            <w:pPr>
              <w:ind w:left="20"/>
              <w:spacing w:after="0"/>
              <w:rPr>
                <w:sz w:val="20"/>
                <w:szCs w:val="20"/>
                <w:color w:val="auto"/>
              </w:rPr>
            </w:pPr>
            <w:r>
              <w:rPr>
                <w:rFonts w:ascii="Arial" w:cs="Arial" w:eastAsia="Arial" w:hAnsi="Arial"/>
                <w:sz w:val="18"/>
                <w:szCs w:val="18"/>
                <w:color w:val="auto"/>
              </w:rPr>
              <w:t>Other long-term and tolling contracts:</w:t>
            </w:r>
          </w:p>
        </w:tc>
        <w:tc>
          <w:tcPr>
            <w:tcW w:w="16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49"/>
        </w:trPr>
        <w:tc>
          <w:tcPr>
            <w:tcW w:w="3520" w:type="dxa"/>
            <w:vAlign w:val="bottom"/>
            <w:shd w:val="clear" w:color="auto" w:fill="CCFFCC"/>
          </w:tcPr>
          <w:p>
            <w:pPr>
              <w:ind w:left="240"/>
              <w:spacing w:after="0"/>
              <w:rPr>
                <w:sz w:val="20"/>
                <w:szCs w:val="20"/>
                <w:color w:val="auto"/>
              </w:rPr>
            </w:pPr>
            <w:r>
              <w:rPr>
                <w:rFonts w:ascii="Arial" w:cs="Arial" w:eastAsia="Arial" w:hAnsi="Arial"/>
                <w:sz w:val="18"/>
                <w:szCs w:val="18"/>
                <w:color w:val="auto"/>
              </w:rPr>
              <w:t>Cabrillo Power I, LLC</w:t>
            </w:r>
          </w:p>
        </w:tc>
        <w:tc>
          <w:tcPr>
            <w:tcW w:w="1620" w:type="dxa"/>
            <w:vAlign w:val="bottom"/>
            <w:shd w:val="clear" w:color="auto" w:fill="CCFFCC"/>
          </w:tcPr>
          <w:p>
            <w:pPr>
              <w:ind w:left="60"/>
              <w:spacing w:after="0"/>
              <w:rPr>
                <w:sz w:val="20"/>
                <w:szCs w:val="20"/>
                <w:color w:val="auto"/>
              </w:rPr>
            </w:pPr>
            <w:r>
              <w:rPr>
                <w:rFonts w:ascii="Arial" w:cs="Arial" w:eastAsia="Arial" w:hAnsi="Arial"/>
                <w:sz w:val="18"/>
                <w:szCs w:val="18"/>
                <w:color w:val="auto"/>
              </w:rPr>
              <w:t>Natural Gas</w:t>
            </w:r>
          </w:p>
        </w:tc>
        <w:tc>
          <w:tcPr>
            <w:tcW w:w="1760" w:type="dxa"/>
            <w:vAlign w:val="bottom"/>
            <w:shd w:val="clear" w:color="auto" w:fill="CCFFCC"/>
          </w:tcPr>
          <w:p>
            <w:pPr>
              <w:ind w:left="300"/>
              <w:spacing w:after="0"/>
              <w:rPr>
                <w:sz w:val="20"/>
                <w:szCs w:val="20"/>
                <w:color w:val="auto"/>
              </w:rPr>
            </w:pPr>
            <w:r>
              <w:rPr>
                <w:rFonts w:ascii="Arial" w:cs="Arial" w:eastAsia="Arial" w:hAnsi="Arial"/>
                <w:sz w:val="18"/>
                <w:szCs w:val="18"/>
                <w:color w:val="auto"/>
              </w:rPr>
              <w:t>2009</w:t>
            </w:r>
          </w:p>
        </w:tc>
        <w:tc>
          <w:tcPr>
            <w:tcW w:w="1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964</w:t>
            </w:r>
          </w:p>
        </w:tc>
        <w:tc>
          <w:tcPr>
            <w:tcW w:w="180" w:type="dxa"/>
            <w:vAlign w:val="bottom"/>
            <w:shd w:val="clear" w:color="auto" w:fill="CCFFCC"/>
          </w:tcPr>
          <w:p>
            <w:pPr>
              <w:spacing w:after="0"/>
              <w:rPr>
                <w:sz w:val="21"/>
                <w:szCs w:val="21"/>
                <w:color w:val="auto"/>
              </w:rPr>
            </w:pPr>
          </w:p>
        </w:tc>
      </w:tr>
      <w:tr>
        <w:trPr>
          <w:trHeight w:val="237"/>
        </w:trPr>
        <w:tc>
          <w:tcPr>
            <w:tcW w:w="3520" w:type="dxa"/>
            <w:vAlign w:val="bottom"/>
          </w:tcPr>
          <w:p>
            <w:pPr>
              <w:ind w:left="240"/>
              <w:spacing w:after="0"/>
              <w:rPr>
                <w:sz w:val="20"/>
                <w:szCs w:val="20"/>
                <w:color w:val="auto"/>
              </w:rPr>
            </w:pPr>
            <w:r>
              <w:rPr>
                <w:rFonts w:ascii="Arial" w:cs="Arial" w:eastAsia="Arial" w:hAnsi="Arial"/>
                <w:sz w:val="18"/>
                <w:szCs w:val="18"/>
                <w:color w:val="auto"/>
              </w:rPr>
              <w:t>LSP South Bay, LLC</w:t>
            </w:r>
          </w:p>
        </w:tc>
        <w:tc>
          <w:tcPr>
            <w:tcW w:w="1620" w:type="dxa"/>
            <w:vAlign w:val="bottom"/>
          </w:tcPr>
          <w:p>
            <w:pPr>
              <w:ind w:left="60"/>
              <w:spacing w:after="0"/>
              <w:rPr>
                <w:sz w:val="20"/>
                <w:szCs w:val="20"/>
                <w:color w:val="auto"/>
              </w:rPr>
            </w:pPr>
            <w:r>
              <w:rPr>
                <w:rFonts w:ascii="Arial" w:cs="Arial" w:eastAsia="Arial" w:hAnsi="Arial"/>
                <w:sz w:val="18"/>
                <w:szCs w:val="18"/>
                <w:color w:val="auto"/>
              </w:rPr>
              <w:t>Natural Gas</w:t>
            </w:r>
          </w:p>
        </w:tc>
        <w:tc>
          <w:tcPr>
            <w:tcW w:w="1760" w:type="dxa"/>
            <w:vAlign w:val="bottom"/>
          </w:tcPr>
          <w:p>
            <w:pPr>
              <w:ind w:left="300"/>
              <w:spacing w:after="0"/>
              <w:rPr>
                <w:sz w:val="20"/>
                <w:szCs w:val="20"/>
                <w:color w:val="auto"/>
              </w:rPr>
            </w:pPr>
            <w:r>
              <w:rPr>
                <w:rFonts w:ascii="Arial" w:cs="Arial" w:eastAsia="Arial" w:hAnsi="Arial"/>
                <w:sz w:val="18"/>
                <w:szCs w:val="18"/>
                <w:color w:val="auto"/>
              </w:rPr>
              <w:t>2009</w:t>
            </w:r>
          </w:p>
        </w:tc>
        <w:tc>
          <w:tcPr>
            <w:tcW w:w="1280" w:type="dxa"/>
            <w:vAlign w:val="bottom"/>
          </w:tcPr>
          <w:p>
            <w:pPr>
              <w:jc w:val="right"/>
              <w:spacing w:after="0"/>
              <w:rPr>
                <w:sz w:val="20"/>
                <w:szCs w:val="20"/>
                <w:color w:val="auto"/>
              </w:rPr>
            </w:pPr>
            <w:r>
              <w:rPr>
                <w:rFonts w:ascii="Arial" w:cs="Arial" w:eastAsia="Arial" w:hAnsi="Arial"/>
                <w:sz w:val="18"/>
                <w:szCs w:val="18"/>
                <w:color w:val="auto"/>
              </w:rPr>
              <w:t>704</w:t>
            </w:r>
          </w:p>
        </w:tc>
        <w:tc>
          <w:tcPr>
            <w:tcW w:w="180" w:type="dxa"/>
            <w:vAlign w:val="bottom"/>
          </w:tcPr>
          <w:p>
            <w:pPr>
              <w:spacing w:after="0"/>
              <w:rPr>
                <w:sz w:val="20"/>
                <w:szCs w:val="20"/>
                <w:color w:val="auto"/>
              </w:rPr>
            </w:pPr>
          </w:p>
        </w:tc>
      </w:tr>
      <w:tr>
        <w:trPr>
          <w:trHeight w:val="249"/>
        </w:trPr>
        <w:tc>
          <w:tcPr>
            <w:tcW w:w="3520" w:type="dxa"/>
            <w:vAlign w:val="bottom"/>
            <w:shd w:val="clear" w:color="auto" w:fill="CCFFCC"/>
          </w:tcPr>
          <w:p>
            <w:pPr>
              <w:ind w:left="240"/>
              <w:spacing w:after="0"/>
              <w:rPr>
                <w:sz w:val="20"/>
                <w:szCs w:val="20"/>
                <w:color w:val="auto"/>
              </w:rPr>
            </w:pPr>
            <w:r>
              <w:rPr>
                <w:rFonts w:ascii="Arial" w:cs="Arial" w:eastAsia="Arial" w:hAnsi="Arial"/>
                <w:sz w:val="18"/>
                <w:szCs w:val="18"/>
                <w:color w:val="auto"/>
              </w:rPr>
              <w:t>Portland General Electric (PGE)</w:t>
            </w:r>
          </w:p>
        </w:tc>
        <w:tc>
          <w:tcPr>
            <w:tcW w:w="1620" w:type="dxa"/>
            <w:vAlign w:val="bottom"/>
            <w:shd w:val="clear" w:color="auto" w:fill="CCFFCC"/>
          </w:tcPr>
          <w:p>
            <w:pPr>
              <w:ind w:left="60"/>
              <w:spacing w:after="0"/>
              <w:rPr>
                <w:sz w:val="20"/>
                <w:szCs w:val="20"/>
                <w:color w:val="auto"/>
              </w:rPr>
            </w:pPr>
            <w:r>
              <w:rPr>
                <w:rFonts w:ascii="Arial" w:cs="Arial" w:eastAsia="Arial" w:hAnsi="Arial"/>
                <w:sz w:val="18"/>
                <w:szCs w:val="18"/>
                <w:color w:val="auto"/>
              </w:rPr>
              <w:t>Coal</w:t>
            </w:r>
          </w:p>
        </w:tc>
        <w:tc>
          <w:tcPr>
            <w:tcW w:w="1760" w:type="dxa"/>
            <w:vAlign w:val="bottom"/>
            <w:shd w:val="clear" w:color="auto" w:fill="CCFFCC"/>
          </w:tcPr>
          <w:p>
            <w:pPr>
              <w:ind w:left="300"/>
              <w:spacing w:after="0"/>
              <w:rPr>
                <w:sz w:val="20"/>
                <w:szCs w:val="20"/>
                <w:color w:val="auto"/>
              </w:rPr>
            </w:pPr>
            <w:r>
              <w:rPr>
                <w:rFonts w:ascii="Arial" w:cs="Arial" w:eastAsia="Arial" w:hAnsi="Arial"/>
                <w:sz w:val="18"/>
                <w:szCs w:val="18"/>
                <w:color w:val="auto"/>
              </w:rPr>
              <w:t>2013</w:t>
            </w:r>
          </w:p>
        </w:tc>
        <w:tc>
          <w:tcPr>
            <w:tcW w:w="1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89</w:t>
            </w:r>
          </w:p>
        </w:tc>
        <w:tc>
          <w:tcPr>
            <w:tcW w:w="180" w:type="dxa"/>
            <w:vAlign w:val="bottom"/>
            <w:shd w:val="clear" w:color="auto" w:fill="CCFFCC"/>
          </w:tcPr>
          <w:p>
            <w:pPr>
              <w:spacing w:after="0"/>
              <w:rPr>
                <w:sz w:val="21"/>
                <w:szCs w:val="21"/>
                <w:color w:val="auto"/>
              </w:rPr>
            </w:pPr>
          </w:p>
        </w:tc>
      </w:tr>
      <w:tr>
        <w:trPr>
          <w:trHeight w:val="215"/>
        </w:trPr>
        <w:tc>
          <w:tcPr>
            <w:tcW w:w="3520" w:type="dxa"/>
            <w:vAlign w:val="bottom"/>
          </w:tcPr>
          <w:p>
            <w:pPr>
              <w:ind w:left="240"/>
              <w:spacing w:after="0"/>
              <w:rPr>
                <w:sz w:val="20"/>
                <w:szCs w:val="20"/>
                <w:color w:val="auto"/>
              </w:rPr>
            </w:pPr>
            <w:r>
              <w:rPr>
                <w:rFonts w:ascii="Arial" w:cs="Arial" w:eastAsia="Arial" w:hAnsi="Arial"/>
                <w:sz w:val="18"/>
                <w:szCs w:val="18"/>
                <w:color w:val="auto"/>
              </w:rPr>
              <w:t>Enernoc</w:t>
            </w:r>
          </w:p>
        </w:tc>
        <w:tc>
          <w:tcPr>
            <w:tcW w:w="1620" w:type="dxa"/>
            <w:vAlign w:val="bottom"/>
          </w:tcPr>
          <w:p>
            <w:pPr>
              <w:ind w:left="60"/>
              <w:spacing w:after="0"/>
              <w:rPr>
                <w:sz w:val="20"/>
                <w:szCs w:val="20"/>
                <w:color w:val="auto"/>
              </w:rPr>
            </w:pPr>
            <w:r>
              <w:rPr>
                <w:rFonts w:ascii="Arial" w:cs="Arial" w:eastAsia="Arial" w:hAnsi="Arial"/>
                <w:sz w:val="18"/>
                <w:szCs w:val="18"/>
                <w:color w:val="auto"/>
              </w:rPr>
              <w:t>Demand</w:t>
            </w:r>
          </w:p>
        </w:tc>
        <w:tc>
          <w:tcPr>
            <w:tcW w:w="1760" w:type="dxa"/>
            <w:vAlign w:val="bottom"/>
          </w:tcPr>
          <w:p>
            <w:pPr>
              <w:ind w:left="300"/>
              <w:spacing w:after="0"/>
              <w:rPr>
                <w:sz w:val="20"/>
                <w:szCs w:val="20"/>
                <w:color w:val="auto"/>
              </w:rPr>
            </w:pPr>
            <w:r>
              <w:rPr>
                <w:rFonts w:ascii="Arial" w:cs="Arial" w:eastAsia="Arial" w:hAnsi="Arial"/>
                <w:sz w:val="18"/>
                <w:szCs w:val="18"/>
                <w:color w:val="auto"/>
              </w:rPr>
              <w:t>2016</w:t>
            </w:r>
          </w:p>
        </w:tc>
        <w:tc>
          <w:tcPr>
            <w:tcW w:w="1280" w:type="dxa"/>
            <w:vAlign w:val="bottom"/>
          </w:tcPr>
          <w:p>
            <w:pPr>
              <w:jc w:val="right"/>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18"/>
                <w:szCs w:val="18"/>
                <w:color w:val="auto"/>
              </w:rPr>
            </w:pPr>
          </w:p>
        </w:tc>
      </w:tr>
      <w:tr>
        <w:trPr>
          <w:trHeight w:val="216"/>
        </w:trPr>
        <w:tc>
          <w:tcPr>
            <w:tcW w:w="3520" w:type="dxa"/>
            <w:vAlign w:val="bottom"/>
          </w:tcPr>
          <w:p>
            <w:pPr>
              <w:spacing w:after="0"/>
              <w:rPr>
                <w:sz w:val="18"/>
                <w:szCs w:val="18"/>
                <w:color w:val="auto"/>
              </w:rPr>
            </w:pPr>
          </w:p>
        </w:tc>
        <w:tc>
          <w:tcPr>
            <w:tcW w:w="1620" w:type="dxa"/>
            <w:vAlign w:val="bottom"/>
          </w:tcPr>
          <w:p>
            <w:pPr>
              <w:ind w:left="60"/>
              <w:spacing w:after="0"/>
              <w:rPr>
                <w:sz w:val="20"/>
                <w:szCs w:val="20"/>
                <w:color w:val="auto"/>
              </w:rPr>
            </w:pPr>
            <w:r>
              <w:rPr>
                <w:rFonts w:ascii="Arial" w:cs="Arial" w:eastAsia="Arial" w:hAnsi="Arial"/>
                <w:sz w:val="18"/>
                <w:szCs w:val="18"/>
                <w:color w:val="auto"/>
              </w:rPr>
              <w:t>Response/Dist.</w:t>
            </w:r>
          </w:p>
        </w:tc>
        <w:tc>
          <w:tcPr>
            <w:tcW w:w="17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3520" w:type="dxa"/>
            <w:vAlign w:val="bottom"/>
          </w:tcPr>
          <w:p>
            <w:pPr>
              <w:spacing w:after="0"/>
              <w:rPr>
                <w:sz w:val="20"/>
                <w:szCs w:val="20"/>
                <w:color w:val="auto"/>
              </w:rPr>
            </w:pPr>
          </w:p>
        </w:tc>
        <w:tc>
          <w:tcPr>
            <w:tcW w:w="1620" w:type="dxa"/>
            <w:vAlign w:val="bottom"/>
          </w:tcPr>
          <w:p>
            <w:pPr>
              <w:ind w:left="60"/>
              <w:spacing w:after="0"/>
              <w:rPr>
                <w:sz w:val="20"/>
                <w:szCs w:val="20"/>
                <w:color w:val="auto"/>
              </w:rPr>
            </w:pPr>
            <w:r>
              <w:rPr>
                <w:rFonts w:ascii="Arial" w:cs="Arial" w:eastAsia="Arial" w:hAnsi="Arial"/>
                <w:sz w:val="18"/>
                <w:szCs w:val="18"/>
                <w:color w:val="auto"/>
              </w:rPr>
              <w:t>Generation</w:t>
            </w:r>
          </w:p>
        </w:tc>
        <w:tc>
          <w:tcPr>
            <w:tcW w:w="1760" w:type="dxa"/>
            <w:vAlign w:val="bottom"/>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r>
      <w:tr>
        <w:trPr>
          <w:trHeight w:val="237"/>
        </w:trPr>
        <w:tc>
          <w:tcPr>
            <w:tcW w:w="3520" w:type="dxa"/>
            <w:vAlign w:val="bottom"/>
            <w:tcBorders>
              <w:bottom w:val="single" w:sz="8" w:color="CCFFCC"/>
            </w:tcBorders>
            <w:shd w:val="clear" w:color="auto" w:fill="CCFFCC"/>
          </w:tcPr>
          <w:p>
            <w:pPr>
              <w:ind w:left="520"/>
              <w:spacing w:after="0"/>
              <w:rPr>
                <w:sz w:val="20"/>
                <w:szCs w:val="20"/>
                <w:color w:val="auto"/>
              </w:rPr>
            </w:pPr>
            <w:r>
              <w:rPr>
                <w:rFonts w:ascii="Arial" w:cs="Arial" w:eastAsia="Arial" w:hAnsi="Arial"/>
                <w:sz w:val="18"/>
                <w:szCs w:val="18"/>
                <w:color w:val="auto"/>
              </w:rPr>
              <w:t>Total</w:t>
            </w:r>
          </w:p>
        </w:tc>
        <w:tc>
          <w:tcPr>
            <w:tcW w:w="1620" w:type="dxa"/>
            <w:vAlign w:val="bottom"/>
            <w:tcBorders>
              <w:bottom w:val="single" w:sz="8" w:color="CCFFCC"/>
            </w:tcBorders>
            <w:shd w:val="clear" w:color="auto" w:fill="CCFFCC"/>
          </w:tcPr>
          <w:p>
            <w:pPr>
              <w:spacing w:after="0"/>
              <w:rPr>
                <w:sz w:val="20"/>
                <w:szCs w:val="20"/>
                <w:color w:val="auto"/>
              </w:rPr>
            </w:pPr>
          </w:p>
        </w:tc>
        <w:tc>
          <w:tcPr>
            <w:tcW w:w="1760" w:type="dxa"/>
            <w:vAlign w:val="bottom"/>
            <w:tcBorders>
              <w:bottom w:val="single" w:sz="8" w:color="CCFFCC"/>
            </w:tcBorders>
            <w:shd w:val="clear" w:color="auto" w:fill="CCFFCC"/>
          </w:tcPr>
          <w:p>
            <w:pPr>
              <w:spacing w:after="0"/>
              <w:rPr>
                <w:sz w:val="20"/>
                <w:szCs w:val="20"/>
                <w:color w:val="auto"/>
              </w:rPr>
            </w:pPr>
          </w:p>
        </w:tc>
        <w:tc>
          <w:tcPr>
            <w:tcW w:w="12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1,782</w:t>
            </w:r>
          </w:p>
        </w:tc>
        <w:tc>
          <w:tcPr>
            <w:tcW w:w="180" w:type="dxa"/>
            <w:vAlign w:val="bottom"/>
            <w:tcBorders>
              <w:bottom w:val="single" w:sz="8" w:color="auto"/>
            </w:tcBorders>
            <w:shd w:val="clear" w:color="auto" w:fill="CCFFCC"/>
          </w:tcPr>
          <w:p>
            <w:pPr>
              <w:spacing w:after="0"/>
              <w:rPr>
                <w:sz w:val="20"/>
                <w:szCs w:val="20"/>
                <w:color w:val="auto"/>
              </w:rPr>
            </w:pPr>
          </w:p>
        </w:tc>
      </w:tr>
      <w:tr>
        <w:trPr>
          <w:trHeight w:val="237"/>
        </w:trPr>
        <w:tc>
          <w:tcPr>
            <w:tcW w:w="3520" w:type="dxa"/>
            <w:vAlign w:val="bottom"/>
          </w:tcPr>
          <w:p>
            <w:pPr>
              <w:ind w:left="20"/>
              <w:spacing w:after="0"/>
              <w:rPr>
                <w:sz w:val="20"/>
                <w:szCs w:val="20"/>
                <w:color w:val="auto"/>
              </w:rPr>
            </w:pPr>
            <w:r>
              <w:rPr>
                <w:rFonts w:ascii="Arial" w:cs="Arial" w:eastAsia="Arial" w:hAnsi="Arial"/>
                <w:sz w:val="18"/>
                <w:szCs w:val="18"/>
                <w:color w:val="auto"/>
              </w:rPr>
              <w:t>Total contracted</w:t>
            </w:r>
          </w:p>
        </w:tc>
        <w:tc>
          <w:tcPr>
            <w:tcW w:w="16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3,819</w:t>
            </w:r>
          </w:p>
        </w:tc>
        <w:tc>
          <w:tcPr>
            <w:tcW w:w="180" w:type="dxa"/>
            <w:vAlign w:val="bottom"/>
            <w:tcBorders>
              <w:bottom w:val="single" w:sz="8" w:color="auto"/>
            </w:tcBorders>
          </w:tcPr>
          <w:p>
            <w:pPr>
              <w:spacing w:after="0"/>
              <w:rPr>
                <w:sz w:val="20"/>
                <w:szCs w:val="20"/>
                <w:color w:val="auto"/>
              </w:rPr>
            </w:pPr>
          </w:p>
        </w:tc>
      </w:tr>
      <w:tr>
        <w:trPr>
          <w:trHeight w:val="473"/>
        </w:trPr>
        <w:tc>
          <w:tcPr>
            <w:tcW w:w="3520" w:type="dxa"/>
            <w:vAlign w:val="bottom"/>
          </w:tcPr>
          <w:p>
            <w:pPr>
              <w:ind w:left="20"/>
              <w:spacing w:after="0"/>
              <w:rPr>
                <w:sz w:val="20"/>
                <w:szCs w:val="20"/>
                <w:color w:val="auto"/>
              </w:rPr>
            </w:pPr>
            <w:r>
              <w:rPr>
                <w:rFonts w:ascii="Arial" w:cs="Arial" w:eastAsia="Arial" w:hAnsi="Arial"/>
                <w:sz w:val="18"/>
                <w:szCs w:val="18"/>
                <w:color w:val="auto"/>
              </w:rPr>
              <w:t>GENERATION:</w:t>
            </w:r>
          </w:p>
        </w:tc>
        <w:tc>
          <w:tcPr>
            <w:tcW w:w="16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50"/>
        </w:trPr>
        <w:tc>
          <w:tcPr>
            <w:tcW w:w="3520" w:type="dxa"/>
            <w:vAlign w:val="bottom"/>
            <w:shd w:val="clear" w:color="auto" w:fill="CCFFCC"/>
          </w:tcPr>
          <w:p>
            <w:pPr>
              <w:ind w:left="240"/>
              <w:spacing w:after="0"/>
              <w:rPr>
                <w:sz w:val="20"/>
                <w:szCs w:val="20"/>
                <w:color w:val="auto"/>
              </w:rPr>
            </w:pPr>
            <w:r>
              <w:rPr>
                <w:rFonts w:ascii="Arial" w:cs="Arial" w:eastAsia="Arial" w:hAnsi="Arial"/>
                <w:sz w:val="18"/>
                <w:szCs w:val="18"/>
                <w:color w:val="auto"/>
              </w:rPr>
              <w:t>Palomar</w:t>
            </w:r>
          </w:p>
        </w:tc>
        <w:tc>
          <w:tcPr>
            <w:tcW w:w="1620" w:type="dxa"/>
            <w:vAlign w:val="bottom"/>
            <w:shd w:val="clear" w:color="auto" w:fill="CCFFCC"/>
          </w:tcPr>
          <w:p>
            <w:pPr>
              <w:ind w:left="60"/>
              <w:spacing w:after="0"/>
              <w:rPr>
                <w:sz w:val="20"/>
                <w:szCs w:val="20"/>
                <w:color w:val="auto"/>
              </w:rPr>
            </w:pPr>
            <w:r>
              <w:rPr>
                <w:rFonts w:ascii="Arial" w:cs="Arial" w:eastAsia="Arial" w:hAnsi="Arial"/>
                <w:sz w:val="18"/>
                <w:szCs w:val="18"/>
                <w:color w:val="auto"/>
              </w:rPr>
              <w:t>Natural Gas</w:t>
            </w:r>
          </w:p>
        </w:tc>
        <w:tc>
          <w:tcPr>
            <w:tcW w:w="1760" w:type="dxa"/>
            <w:vAlign w:val="bottom"/>
            <w:shd w:val="clear" w:color="auto" w:fill="CCFFCC"/>
          </w:tcPr>
          <w:p>
            <w:pPr>
              <w:spacing w:after="0"/>
              <w:rPr>
                <w:sz w:val="21"/>
                <w:szCs w:val="21"/>
                <w:color w:val="auto"/>
              </w:rPr>
            </w:pPr>
          </w:p>
        </w:tc>
        <w:tc>
          <w:tcPr>
            <w:tcW w:w="1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550</w:t>
            </w:r>
          </w:p>
        </w:tc>
        <w:tc>
          <w:tcPr>
            <w:tcW w:w="180" w:type="dxa"/>
            <w:vAlign w:val="bottom"/>
            <w:shd w:val="clear" w:color="auto" w:fill="CCFFCC"/>
          </w:tcPr>
          <w:p>
            <w:pPr>
              <w:spacing w:after="0"/>
              <w:rPr>
                <w:sz w:val="21"/>
                <w:szCs w:val="21"/>
                <w:color w:val="auto"/>
              </w:rPr>
            </w:pPr>
          </w:p>
        </w:tc>
      </w:tr>
      <w:tr>
        <w:trPr>
          <w:trHeight w:val="237"/>
        </w:trPr>
        <w:tc>
          <w:tcPr>
            <w:tcW w:w="3520" w:type="dxa"/>
            <w:vAlign w:val="bottom"/>
          </w:tcPr>
          <w:p>
            <w:pPr>
              <w:ind w:left="240"/>
              <w:spacing w:after="0"/>
              <w:rPr>
                <w:sz w:val="20"/>
                <w:szCs w:val="20"/>
                <w:color w:val="auto"/>
              </w:rPr>
            </w:pPr>
            <w:r>
              <w:rPr>
                <w:rFonts w:ascii="Arial" w:cs="Arial" w:eastAsia="Arial" w:hAnsi="Arial"/>
                <w:sz w:val="18"/>
                <w:szCs w:val="18"/>
                <w:color w:val="auto"/>
              </w:rPr>
              <w:t>SONGS</w:t>
            </w:r>
          </w:p>
        </w:tc>
        <w:tc>
          <w:tcPr>
            <w:tcW w:w="1620" w:type="dxa"/>
            <w:vAlign w:val="bottom"/>
          </w:tcPr>
          <w:p>
            <w:pPr>
              <w:ind w:left="60"/>
              <w:spacing w:after="0"/>
              <w:rPr>
                <w:sz w:val="20"/>
                <w:szCs w:val="20"/>
                <w:color w:val="auto"/>
              </w:rPr>
            </w:pPr>
            <w:r>
              <w:rPr>
                <w:rFonts w:ascii="Arial" w:cs="Arial" w:eastAsia="Arial" w:hAnsi="Arial"/>
                <w:sz w:val="18"/>
                <w:szCs w:val="18"/>
                <w:color w:val="auto"/>
              </w:rPr>
              <w:t>Nuclear</w:t>
            </w:r>
          </w:p>
        </w:tc>
        <w:tc>
          <w:tcPr>
            <w:tcW w:w="17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430</w:t>
            </w:r>
          </w:p>
        </w:tc>
        <w:tc>
          <w:tcPr>
            <w:tcW w:w="180" w:type="dxa"/>
            <w:vAlign w:val="bottom"/>
          </w:tcPr>
          <w:p>
            <w:pPr>
              <w:spacing w:after="0"/>
              <w:rPr>
                <w:sz w:val="20"/>
                <w:szCs w:val="20"/>
                <w:color w:val="auto"/>
              </w:rPr>
            </w:pPr>
          </w:p>
        </w:tc>
      </w:tr>
      <w:tr>
        <w:trPr>
          <w:trHeight w:val="249"/>
        </w:trPr>
        <w:tc>
          <w:tcPr>
            <w:tcW w:w="3520" w:type="dxa"/>
            <w:vAlign w:val="bottom"/>
            <w:tcBorders>
              <w:bottom w:val="single" w:sz="8" w:color="CCFFCC"/>
            </w:tcBorders>
            <w:shd w:val="clear" w:color="auto" w:fill="CCFFCC"/>
          </w:tcPr>
          <w:p>
            <w:pPr>
              <w:ind w:left="240"/>
              <w:spacing w:after="0"/>
              <w:rPr>
                <w:sz w:val="20"/>
                <w:szCs w:val="20"/>
                <w:color w:val="auto"/>
              </w:rPr>
            </w:pPr>
            <w:r>
              <w:rPr>
                <w:rFonts w:ascii="Arial" w:cs="Arial" w:eastAsia="Arial" w:hAnsi="Arial"/>
                <w:sz w:val="18"/>
                <w:szCs w:val="18"/>
                <w:color w:val="auto"/>
              </w:rPr>
              <w:t>Miramar</w:t>
            </w:r>
          </w:p>
        </w:tc>
        <w:tc>
          <w:tcPr>
            <w:tcW w:w="1620" w:type="dxa"/>
            <w:vAlign w:val="bottom"/>
            <w:tcBorders>
              <w:bottom w:val="single" w:sz="8" w:color="CCFFCC"/>
            </w:tcBorders>
            <w:shd w:val="clear" w:color="auto" w:fill="CCFFCC"/>
          </w:tcPr>
          <w:p>
            <w:pPr>
              <w:ind w:left="60"/>
              <w:spacing w:after="0"/>
              <w:rPr>
                <w:sz w:val="20"/>
                <w:szCs w:val="20"/>
                <w:color w:val="auto"/>
              </w:rPr>
            </w:pPr>
            <w:r>
              <w:rPr>
                <w:rFonts w:ascii="Arial" w:cs="Arial" w:eastAsia="Arial" w:hAnsi="Arial"/>
                <w:sz w:val="18"/>
                <w:szCs w:val="18"/>
                <w:color w:val="auto"/>
              </w:rPr>
              <w:t>Natural Gas</w:t>
            </w:r>
          </w:p>
        </w:tc>
        <w:tc>
          <w:tcPr>
            <w:tcW w:w="1760" w:type="dxa"/>
            <w:vAlign w:val="bottom"/>
            <w:tcBorders>
              <w:bottom w:val="single" w:sz="8" w:color="CCFFCC"/>
            </w:tcBorders>
            <w:shd w:val="clear" w:color="auto" w:fill="CCFFCC"/>
          </w:tcPr>
          <w:p>
            <w:pPr>
              <w:spacing w:after="0"/>
              <w:rPr>
                <w:sz w:val="21"/>
                <w:szCs w:val="21"/>
                <w:color w:val="auto"/>
              </w:rPr>
            </w:pPr>
          </w:p>
        </w:tc>
        <w:tc>
          <w:tcPr>
            <w:tcW w:w="12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45</w:t>
            </w:r>
          </w:p>
        </w:tc>
        <w:tc>
          <w:tcPr>
            <w:tcW w:w="180" w:type="dxa"/>
            <w:vAlign w:val="bottom"/>
            <w:tcBorders>
              <w:bottom w:val="single" w:sz="8" w:color="auto"/>
            </w:tcBorders>
            <w:shd w:val="clear" w:color="auto" w:fill="CCFFCC"/>
          </w:tcPr>
          <w:p>
            <w:pPr>
              <w:spacing w:after="0"/>
              <w:rPr>
                <w:sz w:val="21"/>
                <w:szCs w:val="21"/>
                <w:color w:val="auto"/>
              </w:rPr>
            </w:pPr>
          </w:p>
        </w:tc>
      </w:tr>
      <w:tr>
        <w:trPr>
          <w:trHeight w:val="237"/>
        </w:trPr>
        <w:tc>
          <w:tcPr>
            <w:tcW w:w="3520" w:type="dxa"/>
            <w:vAlign w:val="bottom"/>
          </w:tcPr>
          <w:p>
            <w:pPr>
              <w:ind w:left="20"/>
              <w:spacing w:after="0"/>
              <w:rPr>
                <w:sz w:val="20"/>
                <w:szCs w:val="20"/>
                <w:color w:val="auto"/>
              </w:rPr>
            </w:pPr>
            <w:r>
              <w:rPr>
                <w:rFonts w:ascii="Arial" w:cs="Arial" w:eastAsia="Arial" w:hAnsi="Arial"/>
                <w:sz w:val="18"/>
                <w:szCs w:val="18"/>
                <w:color w:val="auto"/>
              </w:rPr>
              <w:t>Total generation</w:t>
            </w:r>
          </w:p>
        </w:tc>
        <w:tc>
          <w:tcPr>
            <w:tcW w:w="16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1,025</w:t>
            </w:r>
          </w:p>
        </w:tc>
        <w:tc>
          <w:tcPr>
            <w:tcW w:w="180" w:type="dxa"/>
            <w:vAlign w:val="bottom"/>
            <w:tcBorders>
              <w:bottom w:val="single" w:sz="8" w:color="auto"/>
            </w:tcBorders>
          </w:tcPr>
          <w:p>
            <w:pPr>
              <w:spacing w:after="0"/>
              <w:rPr>
                <w:sz w:val="20"/>
                <w:szCs w:val="20"/>
                <w:color w:val="auto"/>
              </w:rPr>
            </w:pPr>
          </w:p>
        </w:tc>
      </w:tr>
      <w:tr>
        <w:trPr>
          <w:trHeight w:val="257"/>
        </w:trPr>
        <w:tc>
          <w:tcPr>
            <w:tcW w:w="3520" w:type="dxa"/>
            <w:vAlign w:val="bottom"/>
            <w:tcBorders>
              <w:bottom w:val="single" w:sz="8" w:color="auto"/>
            </w:tcBorders>
            <w:shd w:val="clear" w:color="auto" w:fill="CCFFCC"/>
          </w:tcPr>
          <w:p>
            <w:pPr>
              <w:ind w:left="20"/>
              <w:spacing w:after="0"/>
              <w:rPr>
                <w:sz w:val="20"/>
                <w:szCs w:val="20"/>
                <w:color w:val="auto"/>
              </w:rPr>
            </w:pPr>
            <w:r>
              <w:rPr>
                <w:rFonts w:ascii="Arial" w:cs="Arial" w:eastAsia="Arial" w:hAnsi="Arial"/>
                <w:sz w:val="18"/>
                <w:szCs w:val="18"/>
                <w:color w:val="auto"/>
                <w:w w:val="98"/>
              </w:rPr>
              <w:t>TOTAL CONTRACTED AND GENERATION</w:t>
            </w:r>
          </w:p>
        </w:tc>
        <w:tc>
          <w:tcPr>
            <w:tcW w:w="1620" w:type="dxa"/>
            <w:vAlign w:val="bottom"/>
            <w:tcBorders>
              <w:bottom w:val="single" w:sz="8" w:color="auto"/>
            </w:tcBorders>
            <w:shd w:val="clear" w:color="auto" w:fill="CCFFCC"/>
          </w:tcPr>
          <w:p>
            <w:pPr>
              <w:spacing w:after="0"/>
              <w:rPr>
                <w:sz w:val="22"/>
                <w:szCs w:val="22"/>
                <w:color w:val="auto"/>
              </w:rPr>
            </w:pPr>
          </w:p>
        </w:tc>
        <w:tc>
          <w:tcPr>
            <w:tcW w:w="1760" w:type="dxa"/>
            <w:vAlign w:val="bottom"/>
            <w:tcBorders>
              <w:bottom w:val="single" w:sz="8" w:color="auto"/>
            </w:tcBorders>
            <w:shd w:val="clear" w:color="auto" w:fill="CCFFCC"/>
          </w:tcPr>
          <w:p>
            <w:pPr>
              <w:spacing w:after="0"/>
              <w:rPr>
                <w:sz w:val="22"/>
                <w:szCs w:val="22"/>
                <w:color w:val="auto"/>
              </w:rPr>
            </w:pPr>
          </w:p>
        </w:tc>
        <w:tc>
          <w:tcPr>
            <w:tcW w:w="12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4,844</w:t>
            </w:r>
          </w:p>
        </w:tc>
        <w:tc>
          <w:tcPr>
            <w:tcW w:w="180" w:type="dxa"/>
            <w:vAlign w:val="bottom"/>
            <w:tcBorders>
              <w:bottom w:val="single" w:sz="8" w:color="auto"/>
            </w:tcBorders>
            <w:shd w:val="clear" w:color="auto" w:fill="CCFFCC"/>
          </w:tcPr>
          <w:p>
            <w:pPr>
              <w:spacing w:after="0"/>
              <w:rPr>
                <w:sz w:val="22"/>
                <w:szCs w:val="22"/>
                <w:color w:val="auto"/>
              </w:rPr>
            </w:pPr>
          </w:p>
        </w:tc>
      </w:tr>
    </w:tbl>
    <w:p>
      <w:pPr>
        <w:ind w:left="2060" w:hanging="506"/>
        <w:spacing w:after="0"/>
        <w:tabs>
          <w:tab w:leader="none" w:pos="2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Effective January 1, 2008, the quantity will decrease to 325 MW.</w:t>
      </w:r>
    </w:p>
    <w:p>
      <w:pPr>
        <w:spacing w:after="0" w:line="262" w:lineRule="exact"/>
        <w:rPr>
          <w:sz w:val="20"/>
          <w:szCs w:val="20"/>
          <w:color w:val="auto"/>
        </w:rPr>
      </w:pPr>
    </w:p>
    <w:p>
      <w:pPr>
        <w:spacing w:after="0" w:line="263" w:lineRule="auto"/>
        <w:rPr>
          <w:sz w:val="20"/>
          <w:szCs w:val="20"/>
          <w:color w:val="auto"/>
        </w:rPr>
      </w:pPr>
      <w:r>
        <w:rPr>
          <w:rFonts w:ascii="Arial" w:cs="Arial" w:eastAsia="Arial" w:hAnsi="Arial"/>
          <w:sz w:val="19"/>
          <w:szCs w:val="19"/>
          <w:color w:val="auto"/>
        </w:rPr>
        <w:t>Under the contract with PGE, SDG&amp;E pays a capacity charge plus a charge based on the amount of energy received and/or PGE's non-fuel costs. Costs under most of the contracts with QFs are based on SDG&amp;E's avoided cost. Charges under the remaining contracts are for firm and as-available energy and are based on the amount of energy received, or are tolls based on available capacity. The prices under these contracts are at the market value at the time the contracts were negotiated.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0"/>
          <w:szCs w:val="20"/>
          <w:color w:val="auto"/>
        </w:rPr>
        <w:t>20</w:t>
      </w:r>
    </w:p>
    <w:p>
      <w:pPr>
        <w:sectPr>
          <w:pgSz w:w="11900" w:h="16838" w:orient="portrait"/>
          <w:cols w:equalWidth="0" w:num="1">
            <w:col w:w="10620"/>
          </w:cols>
          <w:pgMar w:left="240" w:top="409" w:right="1039" w:bottom="1440" w:gutter="0" w:footer="0" w:header="0"/>
        </w:sectPr>
      </w:pPr>
    </w:p>
    <w:bookmarkStart w:id="20" w:name="page21"/>
    <w:bookmarkEnd w:id="20"/>
    <w:p>
      <w:pPr>
        <w:spacing w:after="0"/>
        <w:rPr>
          <w:sz w:val="20"/>
          <w:szCs w:val="20"/>
          <w:color w:val="auto"/>
        </w:rPr>
      </w:pPr>
      <w:r>
        <w:rPr>
          <w:rFonts w:ascii="Arial" w:cs="Arial" w:eastAsia="Arial" w:hAnsi="Arial"/>
          <w:sz w:val="20"/>
          <w:szCs w:val="20"/>
          <w:b w:val="1"/>
          <w:bCs w:val="1"/>
          <w:color w:val="auto"/>
        </w:rPr>
        <w:t>Natural Gas Supply</w:t>
      </w:r>
    </w:p>
    <w:p>
      <w:pPr>
        <w:spacing w:after="0" w:line="250" w:lineRule="exact"/>
        <w:rPr>
          <w:sz w:val="20"/>
          <w:szCs w:val="20"/>
          <w:color w:val="auto"/>
        </w:rPr>
      </w:pPr>
    </w:p>
    <w:p>
      <w:pPr>
        <w:jc w:val="both"/>
        <w:ind w:right="140"/>
        <w:spacing w:after="0" w:line="246" w:lineRule="auto"/>
        <w:rPr>
          <w:sz w:val="20"/>
          <w:szCs w:val="20"/>
          <w:color w:val="auto"/>
        </w:rPr>
      </w:pPr>
      <w:r>
        <w:rPr>
          <w:rFonts w:ascii="Arial" w:cs="Arial" w:eastAsia="Arial" w:hAnsi="Arial"/>
          <w:sz w:val="20"/>
          <w:szCs w:val="20"/>
          <w:color w:val="auto"/>
        </w:rPr>
        <w:t>SDG&amp;E buys natural gas under short-term contracts for its Palomar and Miramar generating facilities and for the Cabrillo Power I, LLC and LSP South Bay, LLC tolling contracts. Purchases are from various southwestern U.S. suppliers and are primarily based on monthly and spot-market prices. All of SDG&amp;E's natural gas is delivered through SoCalGas' pipelines under a two-year transportation agreement which expires on March 31, 2008.</w:t>
      </w:r>
    </w:p>
    <w:p>
      <w:pPr>
        <w:spacing w:after="0" w:line="219" w:lineRule="exact"/>
        <w:rPr>
          <w:sz w:val="20"/>
          <w:szCs w:val="20"/>
          <w:color w:val="auto"/>
        </w:rPr>
      </w:pPr>
    </w:p>
    <w:p>
      <w:pPr>
        <w:ind w:right="240"/>
        <w:spacing w:after="0" w:line="250" w:lineRule="auto"/>
        <w:rPr>
          <w:sz w:val="20"/>
          <w:szCs w:val="20"/>
          <w:color w:val="auto"/>
        </w:rPr>
      </w:pPr>
      <w:r>
        <w:rPr>
          <w:rFonts w:ascii="Arial" w:cs="Arial" w:eastAsia="Arial" w:hAnsi="Arial"/>
          <w:sz w:val="20"/>
          <w:szCs w:val="20"/>
          <w:color w:val="auto"/>
        </w:rPr>
        <w:t>SDG&amp;E also buys natural gas as the DWR’s limited agent for the DWR-allocated contracts. Most of the natural gas deliveries for the DWR-allocated contracts are transported through the Kern River Gas Transmission under a long-term transportation agreement. The DWR is financially responsible for the costs of gas and transportation.</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SONGS</w:t>
      </w:r>
    </w:p>
    <w:p>
      <w:pPr>
        <w:spacing w:after="0" w:line="249" w:lineRule="exact"/>
        <w:rPr>
          <w:sz w:val="20"/>
          <w:szCs w:val="20"/>
          <w:color w:val="auto"/>
        </w:rPr>
      </w:pPr>
    </w:p>
    <w:p>
      <w:pPr>
        <w:jc w:val="both"/>
        <w:ind w:right="20"/>
        <w:spacing w:after="0" w:line="269" w:lineRule="auto"/>
        <w:rPr>
          <w:sz w:val="20"/>
          <w:szCs w:val="20"/>
          <w:color w:val="auto"/>
        </w:rPr>
      </w:pPr>
      <w:r>
        <w:rPr>
          <w:rFonts w:ascii="Arial" w:cs="Arial" w:eastAsia="Arial" w:hAnsi="Arial"/>
          <w:sz w:val="19"/>
          <w:szCs w:val="19"/>
          <w:color w:val="auto"/>
        </w:rPr>
        <w:t>SDG&amp;E has a 20-percent ownership interest in SONGS, which is located south of San Clemente, California. SONGS consists of two operating nuclear generating units and one that is permanently shut down and is being decommissioned. The city of Riverside owns 1.79 percent of Units 2 and 3, and Southern California Edison (Edison), the operator of SONGS, owns the remaining interests.</w:t>
      </w:r>
    </w:p>
    <w:p>
      <w:pPr>
        <w:spacing w:after="0" w:line="197" w:lineRule="exact"/>
        <w:rPr>
          <w:sz w:val="20"/>
          <w:szCs w:val="20"/>
          <w:color w:val="auto"/>
        </w:rPr>
      </w:pPr>
    </w:p>
    <w:p>
      <w:pPr>
        <w:ind w:right="180"/>
        <w:spacing w:after="0" w:line="260" w:lineRule="auto"/>
        <w:rPr>
          <w:sz w:val="20"/>
          <w:szCs w:val="20"/>
          <w:color w:val="auto"/>
        </w:rPr>
      </w:pPr>
      <w:r>
        <w:rPr>
          <w:rFonts w:ascii="Arial" w:cs="Arial" w:eastAsia="Arial" w:hAnsi="Arial"/>
          <w:sz w:val="20"/>
          <w:szCs w:val="20"/>
          <w:color w:val="auto"/>
        </w:rPr>
        <w:t>Units 2 and 3 began commercial operation in August 1983 and April 1984, respectively. SDG&amp;E's share of the capacity is 214 MW of Unit 2 and 216 MW of Unit 3.</w:t>
      </w:r>
    </w:p>
    <w:p>
      <w:pPr>
        <w:spacing w:after="0" w:line="204" w:lineRule="exact"/>
        <w:rPr>
          <w:sz w:val="20"/>
          <w:szCs w:val="20"/>
          <w:color w:val="auto"/>
        </w:rPr>
      </w:pPr>
    </w:p>
    <w:p>
      <w:pPr>
        <w:ind w:right="40"/>
        <w:spacing w:after="0" w:line="250" w:lineRule="auto"/>
        <w:rPr>
          <w:sz w:val="20"/>
          <w:szCs w:val="20"/>
          <w:color w:val="auto"/>
        </w:rPr>
      </w:pPr>
      <w:r>
        <w:rPr>
          <w:rFonts w:ascii="Arial" w:cs="Arial" w:eastAsia="Arial" w:hAnsi="Arial"/>
          <w:sz w:val="20"/>
          <w:szCs w:val="20"/>
          <w:color w:val="auto"/>
        </w:rPr>
        <w:t>Unit 1 was removed from service in November 1992 when the CPUC issued a decision to permanently shut it down. Decommissioning of Unit 1 is now in progress and its spent nuclear fuel is being stored on site in an independent spent fuel storage installation (ISFSI) licensed by the NRC.</w:t>
      </w:r>
    </w:p>
    <w:p>
      <w:pPr>
        <w:spacing w:after="0" w:line="213"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SDG&amp;E has fully recovered its SONGS capital investment through December 31, 2003 and earns a return only on subsequent capital additions, including the company's share of costs associated with planned steam generator replacements.</w:t>
      </w:r>
    </w:p>
    <w:p>
      <w:pPr>
        <w:spacing w:after="0" w:line="204" w:lineRule="exact"/>
        <w:rPr>
          <w:sz w:val="20"/>
          <w:szCs w:val="20"/>
          <w:color w:val="auto"/>
        </w:rPr>
      </w:pPr>
    </w:p>
    <w:p>
      <w:pPr>
        <w:ind w:right="220"/>
        <w:spacing w:after="0" w:line="250" w:lineRule="auto"/>
        <w:rPr>
          <w:sz w:val="20"/>
          <w:szCs w:val="20"/>
          <w:color w:val="auto"/>
        </w:rPr>
      </w:pPr>
      <w:r>
        <w:rPr>
          <w:rFonts w:ascii="Arial" w:cs="Arial" w:eastAsia="Arial" w:hAnsi="Arial"/>
          <w:sz w:val="20"/>
          <w:szCs w:val="20"/>
          <w:color w:val="auto"/>
        </w:rPr>
        <w:t>Additional information concerning the SONGS units and nuclear decommissioning is provided below, in "Environmental Matters" herein, in "Management's Discussion and Analysis of Financial Condition and Results of Operations" and in Notes 7, 14 and 16 of the 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Nuclear Fuel Supply</w:t>
      </w:r>
    </w:p>
    <w:p>
      <w:pPr>
        <w:spacing w:after="0" w:line="249" w:lineRule="exact"/>
        <w:rPr>
          <w:sz w:val="20"/>
          <w:szCs w:val="20"/>
          <w:color w:val="auto"/>
        </w:rPr>
      </w:pPr>
    </w:p>
    <w:p>
      <w:pPr>
        <w:ind w:right="160"/>
        <w:spacing w:after="0" w:line="246" w:lineRule="auto"/>
        <w:rPr>
          <w:sz w:val="20"/>
          <w:szCs w:val="20"/>
          <w:color w:val="auto"/>
        </w:rPr>
      </w:pPr>
      <w:r>
        <w:rPr>
          <w:rFonts w:ascii="Arial" w:cs="Arial" w:eastAsia="Arial" w:hAnsi="Arial"/>
          <w:sz w:val="20"/>
          <w:szCs w:val="20"/>
          <w:color w:val="auto"/>
        </w:rPr>
        <w:t>The nuclear fuel supply cycle includes materials and services (uranium oxide, conversion of uranium oxide to uranium hexafluoride, uranium enrichment services, and fabrication of fuel assemblies) performed by others under various contracts which extend through 2012. The availability and the cost of the various components of the nuclear fuel cycle for SDG&amp;E's 20-percent ownership interest in SONGS in subsequent years cannot be estimated at this time.</w:t>
      </w:r>
    </w:p>
    <w:p>
      <w:pPr>
        <w:spacing w:after="0" w:line="219"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Spent fuel from SONGS is being stored on site in both the ISFSI and spent fuel pools. Upon completion of the current phase of Unit 1 decommissioning, the site will have adequate space to build ISFSI storage capacity through 2022, the expiration date of the units' NRC operating license. Pursuant to the Nuclear Waste Policy Act of 1982, SDG&amp;E entered into a contract with the U.S. Department of Energy (DOE) for spent-fuel disposal. Under the agreement, the DOE is responsible for the ultimate disposal of spent fuel from SONGS. SDG&amp;E pays the DOE a disposal fee of $1.00 per megawatt-hour of net nuclear generation, or $3 million per year. The DOE projects that it will not begin accepting spent fuel until 2017 at the earliest.</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20"/>
          <w:szCs w:val="20"/>
          <w:color w:val="auto"/>
        </w:rPr>
        <w:t>21</w:t>
      </w:r>
    </w:p>
    <w:p>
      <w:pPr>
        <w:sectPr>
          <w:pgSz w:w="11900" w:h="16838" w:orient="portrait"/>
          <w:cols w:equalWidth="0" w:num="1">
            <w:col w:w="11380"/>
          </w:cols>
          <w:pgMar w:left="240" w:top="115" w:right="279" w:bottom="1440" w:gutter="0" w:footer="0" w:header="0"/>
        </w:sectPr>
      </w:pPr>
    </w:p>
    <w:bookmarkStart w:id="21" w:name="page22"/>
    <w:bookmarkEnd w:id="21"/>
    <w:p>
      <w:pPr>
        <w:ind w:right="100"/>
        <w:spacing w:after="0" w:line="260" w:lineRule="auto"/>
        <w:rPr>
          <w:sz w:val="20"/>
          <w:szCs w:val="20"/>
          <w:color w:val="auto"/>
        </w:rPr>
      </w:pPr>
      <w:r>
        <w:rPr>
          <w:rFonts w:ascii="Arial" w:cs="Arial" w:eastAsia="Arial" w:hAnsi="Arial"/>
          <w:sz w:val="20"/>
          <w:szCs w:val="20"/>
          <w:color w:val="auto"/>
        </w:rPr>
        <w:t>Additional information concerning nuclear-fuel costs and the storage and movement of spent fuel is provided in Notes 14 and 16, respectively, of the Notes to Consolidated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Power Pools</w:t>
      </w:r>
    </w:p>
    <w:p>
      <w:pPr>
        <w:spacing w:after="0" w:line="249"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color w:val="auto"/>
        </w:rPr>
        <w:t>SDG&amp;E is a participant in the Western Systems Power Pool, which includes an electric-power and transmission-rate agreement with utilities and power agencies located throughout the United States and Canada. More than 300 investor-owned and municipal utilities, state and federal power agencies, energy brokers and power marketers share power and information in order to increase efficiency and competition in the bulk power market. Participants are able to make power transactions on standardized terms that have been preapproved by the FERC.</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Transmission Arrangements</w:t>
      </w:r>
    </w:p>
    <w:p>
      <w:pPr>
        <w:spacing w:after="0" w:line="249" w:lineRule="exact"/>
        <w:rPr>
          <w:sz w:val="20"/>
          <w:szCs w:val="20"/>
          <w:color w:val="auto"/>
        </w:rPr>
      </w:pPr>
    </w:p>
    <w:p>
      <w:pPr>
        <w:ind w:right="60"/>
        <w:spacing w:after="0" w:line="250" w:lineRule="auto"/>
        <w:rPr>
          <w:sz w:val="20"/>
          <w:szCs w:val="20"/>
          <w:color w:val="auto"/>
        </w:rPr>
      </w:pPr>
      <w:r>
        <w:rPr>
          <w:rFonts w:ascii="Arial" w:cs="Arial" w:eastAsia="Arial" w:hAnsi="Arial"/>
          <w:sz w:val="20"/>
          <w:szCs w:val="20"/>
          <w:color w:val="auto"/>
        </w:rPr>
        <w:t>SDG&amp;E's 500-kV Southwest Powerlink transmission line, which is shared with Arizona Public Service Company and Imperial Irrigation District, extends from Palo Verde, Arizona, to San Diego. SDG&amp;E's share of the line is 1,163 MW, although it can be less under certain system conditions.</w:t>
      </w:r>
    </w:p>
    <w:p>
      <w:pPr>
        <w:spacing w:after="0" w:line="213" w:lineRule="exact"/>
        <w:rPr>
          <w:sz w:val="20"/>
          <w:szCs w:val="20"/>
          <w:color w:val="auto"/>
        </w:rPr>
      </w:pPr>
    </w:p>
    <w:p>
      <w:pPr>
        <w:ind w:right="200"/>
        <w:spacing w:after="0" w:line="260" w:lineRule="auto"/>
        <w:rPr>
          <w:sz w:val="20"/>
          <w:szCs w:val="20"/>
          <w:color w:val="auto"/>
        </w:rPr>
      </w:pPr>
      <w:r>
        <w:rPr>
          <w:rFonts w:ascii="Arial" w:cs="Arial" w:eastAsia="Arial" w:hAnsi="Arial"/>
          <w:sz w:val="20"/>
          <w:szCs w:val="20"/>
          <w:color w:val="auto"/>
        </w:rPr>
        <w:t>Mexico's Baja California Norte system is connected to SDG&amp;E's system via two 230-kV interconnections with firm capability of 408 MW in the north to south direction and 800 MW in the south to north direction.</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SDG&amp;E is in the approval phase for the Sunrise Powerlink, a new 500-kV transmission line between the existing Imperial Valley</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Substation and a new central substation to be located within the SDG&amp;E system. The proposed rating of the Sunrise Powerlink is 1,000 MW.</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The project is subject to CPUC approval. Further discussion is provided in Note 14 of the Notes to Consolidated Financial Statements.</w:t>
      </w: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Transmission Access</w:t>
      </w:r>
    </w:p>
    <w:p>
      <w:pPr>
        <w:spacing w:after="0" w:line="249" w:lineRule="exact"/>
        <w:rPr>
          <w:sz w:val="20"/>
          <w:szCs w:val="20"/>
          <w:color w:val="auto"/>
        </w:rPr>
      </w:pPr>
    </w:p>
    <w:p>
      <w:pPr>
        <w:spacing w:after="0" w:line="291" w:lineRule="auto"/>
        <w:rPr>
          <w:sz w:val="20"/>
          <w:szCs w:val="20"/>
          <w:color w:val="auto"/>
        </w:rPr>
      </w:pPr>
      <w:r>
        <w:rPr>
          <w:rFonts w:ascii="Arial" w:cs="Arial" w:eastAsia="Arial" w:hAnsi="Arial"/>
          <w:sz w:val="18"/>
          <w:szCs w:val="18"/>
          <w:color w:val="auto"/>
        </w:rPr>
        <w:t>The National Energy Policy Act governs procedures for others' requests for transmission service. The FERC approved the California investor-owned utilities' (IOUs) transfer of operation and control of their transmission facilities to the Independent System Operator (ISO) in 1998. Additional information regarding FERC, ISO and transmission issues is provided in Note 14 of the Notes to Consolidated Financial Statements.</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RATES AND REGULATION -- SEMPRA UTILITIES</w:t>
      </w:r>
    </w:p>
    <w:p>
      <w:pPr>
        <w:spacing w:after="0" w:line="249" w:lineRule="exact"/>
        <w:rPr>
          <w:sz w:val="20"/>
          <w:szCs w:val="20"/>
          <w:color w:val="auto"/>
        </w:rPr>
      </w:pPr>
    </w:p>
    <w:p>
      <w:pPr>
        <w:ind w:right="580"/>
        <w:spacing w:after="0" w:line="316" w:lineRule="auto"/>
        <w:rPr>
          <w:sz w:val="20"/>
          <w:szCs w:val="20"/>
          <w:color w:val="auto"/>
        </w:rPr>
      </w:pPr>
      <w:r>
        <w:rPr>
          <w:rFonts w:ascii="Arial" w:cs="Arial" w:eastAsia="Arial" w:hAnsi="Arial"/>
          <w:sz w:val="18"/>
          <w:szCs w:val="18"/>
          <w:color w:val="auto"/>
        </w:rPr>
        <w:t>Information concerning rates and regulation applicable to the Sempra Utilities is provided in "Management's Discussion and Analysis of Financial Condition and Results of Operations" and in Notes 1, 14 and 15 of the Notes to Consolidated Financial Statements.</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SEMPRA GLOBAL</w:t>
      </w:r>
    </w:p>
    <w:p>
      <w:pPr>
        <w:spacing w:after="0" w:line="249"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Sempra Global consists of most of the businesses of Sempra Energy other than the Sempra Utilities, and serves a broad range of customers' energy and other needs. Sempra Global includes Sempra Commodities, Sempra Generation, Sempra LNG and Sempra Pipelines &amp; Storage. Descriptions of these business units and information concerning their operations are provided under "Management's Discussion and Analysis of Financial Condition and Results of Operations" and in Notes 3, 4, 5, 16 and 17 of the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20"/>
          <w:szCs w:val="20"/>
          <w:color w:val="auto"/>
        </w:rPr>
        <w:t>22</w:t>
      </w:r>
    </w:p>
    <w:p>
      <w:pPr>
        <w:sectPr>
          <w:pgSz w:w="11900" w:h="16838" w:orient="portrait"/>
          <w:cols w:equalWidth="0" w:num="1">
            <w:col w:w="11400"/>
          </w:cols>
          <w:pgMar w:left="240" w:top="366" w:right="259" w:bottom="1440" w:gutter="0" w:footer="0" w:header="0"/>
        </w:sectPr>
      </w:pPr>
    </w:p>
    <w:bookmarkStart w:id="22" w:name="page23"/>
    <w:bookmarkEnd w:id="22"/>
    <w:p>
      <w:pPr>
        <w:spacing w:after="0"/>
        <w:rPr>
          <w:sz w:val="20"/>
          <w:szCs w:val="20"/>
          <w:color w:val="auto"/>
        </w:rPr>
      </w:pPr>
      <w:r>
        <w:rPr>
          <w:rFonts w:ascii="Arial" w:cs="Arial" w:eastAsia="Arial" w:hAnsi="Arial"/>
          <w:sz w:val="20"/>
          <w:szCs w:val="20"/>
          <w:b w:val="1"/>
          <w:bCs w:val="1"/>
          <w:color w:val="auto"/>
        </w:rPr>
        <w:t>Joint Venture Partnership with RBS</w:t>
      </w:r>
    </w:p>
    <w:p>
      <w:pPr>
        <w:spacing w:after="0" w:line="250" w:lineRule="exact"/>
        <w:rPr>
          <w:sz w:val="20"/>
          <w:szCs w:val="20"/>
          <w:color w:val="auto"/>
        </w:rPr>
      </w:pPr>
    </w:p>
    <w:p>
      <w:pPr>
        <w:ind w:right="20"/>
        <w:spacing w:after="0" w:line="242" w:lineRule="auto"/>
        <w:rPr>
          <w:sz w:val="20"/>
          <w:szCs w:val="20"/>
          <w:color w:val="auto"/>
        </w:rPr>
      </w:pPr>
      <w:r>
        <w:rPr>
          <w:rFonts w:ascii="Arial" w:cs="Arial" w:eastAsia="Arial" w:hAnsi="Arial"/>
          <w:sz w:val="20"/>
          <w:szCs w:val="20"/>
          <w:color w:val="auto"/>
        </w:rPr>
        <w:t>In July 2007, the company and RBS entered into an agreement to form a partnership, RBS Sempra Commodities LLP (RBS Sempra Commodities), to purchase and operate the company's commodity-marketing businesses, which generally comprise the company’s Sempra Commodities segment. RBS Sempra Commodities has been formed as a United Kingdom limited liability partnership. Due to increased regulatory capital requirements for the partnership, Sempra Energy's expected equity investment in the partnership has increased from $1.3 billion - $1.5 billion to $1.6 billion - $1.7 billion. The partnership concurrently will purchase Sempra Energy’s commodity-marketing subsidiaries at a price (after deducting certain expenses to be paid by Sempra Energy in terminating pre-existing contractual arrangements) equal to their book value computed on the basis of International Financial Reporting Standards (IFRS) as adopted by the European Union. The company expects t he transaction to close in April 2008, and to receive proceeds of approximately $1 billion in cash, net of its investment in the partnership, upon closing.</w:t>
      </w:r>
    </w:p>
    <w:p>
      <w:pPr>
        <w:spacing w:after="0" w:line="222"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RBS will provide any additional funding required for the ongoing operating expenses of the partnership’s businesses. RBS will also provide all growth capital, credit and liquidity for the partnership, replacing the trading guarantees and credit support currently maintained for these businesses by the company. RBS will terminate or replace Sempra Energy’s credit support arrangements for the commodity-marketing businesses acquired by RBS Sempra Commodities that are reasonably capable of being terminated or replaced. To the extent that Sempra Energy’s credit support arrangements have not been terminated or replaced, RBS will indemnify Sempra Energy for any claims or losses arising in connection with those arrangements.</w:t>
      </w:r>
    </w:p>
    <w:p>
      <w:pPr>
        <w:spacing w:after="0" w:line="224" w:lineRule="exact"/>
        <w:rPr>
          <w:sz w:val="20"/>
          <w:szCs w:val="20"/>
          <w:color w:val="auto"/>
        </w:rPr>
      </w:pPr>
    </w:p>
    <w:p>
      <w:pPr>
        <w:ind w:right="520"/>
        <w:spacing w:after="0" w:line="250" w:lineRule="auto"/>
        <w:rPr>
          <w:sz w:val="20"/>
          <w:szCs w:val="20"/>
          <w:color w:val="auto"/>
        </w:rPr>
      </w:pPr>
      <w:r>
        <w:rPr>
          <w:rFonts w:ascii="Arial" w:cs="Arial" w:eastAsia="Arial" w:hAnsi="Arial"/>
          <w:sz w:val="20"/>
          <w:szCs w:val="20"/>
          <w:color w:val="auto"/>
        </w:rPr>
        <w:t>Sempra Energy and RBS intend that RBS Sempra Commodities will distribute all of its net income on an annual basis, although the distributions are within the discretion of the board of directors of the partnership. Subject to certain limited exceptions, partnership pretax income, calculated in accordance with IFRS, will be allocated as follows:</w:t>
      </w:r>
    </w:p>
    <w:p>
      <w:pPr>
        <w:spacing w:after="0" w:line="213" w:lineRule="exact"/>
        <w:rPr>
          <w:sz w:val="20"/>
          <w:szCs w:val="20"/>
          <w:color w:val="auto"/>
        </w:rPr>
      </w:pPr>
    </w:p>
    <w:p>
      <w:pPr>
        <w:ind w:left="1300" w:hanging="320"/>
        <w:spacing w:after="0"/>
        <w:tabs>
          <w:tab w:leader="none" w:pos="1300" w:val="left"/>
        </w:tabs>
        <w:numPr>
          <w:ilvl w:val="0"/>
          <w:numId w:val="6"/>
        </w:numPr>
        <w:rPr>
          <w:rFonts w:ascii="Arial" w:cs="Arial" w:eastAsia="Arial" w:hAnsi="Arial"/>
          <w:sz w:val="20"/>
          <w:szCs w:val="20"/>
          <w:color w:val="auto"/>
        </w:rPr>
      </w:pPr>
      <w:r>
        <w:rPr>
          <w:rFonts w:ascii="Arial" w:cs="Arial" w:eastAsia="Arial" w:hAnsi="Arial"/>
          <w:sz w:val="20"/>
          <w:szCs w:val="20"/>
          <w:color w:val="auto"/>
        </w:rPr>
        <w:t>Sempra Energy will receive a preferred 15-percent return on its adjusted equity capital;</w:t>
      </w:r>
    </w:p>
    <w:p>
      <w:pPr>
        <w:spacing w:after="0" w:line="2" w:lineRule="exact"/>
        <w:rPr>
          <w:rFonts w:ascii="Arial" w:cs="Arial" w:eastAsia="Arial" w:hAnsi="Arial"/>
          <w:sz w:val="20"/>
          <w:szCs w:val="20"/>
          <w:color w:val="auto"/>
        </w:rPr>
      </w:pPr>
    </w:p>
    <w:p>
      <w:pPr>
        <w:ind w:left="1300" w:right="60" w:hanging="320"/>
        <w:spacing w:after="0" w:line="239" w:lineRule="auto"/>
        <w:tabs>
          <w:tab w:leader="none" w:pos="1300" w:val="left"/>
        </w:tabs>
        <w:numPr>
          <w:ilvl w:val="0"/>
          <w:numId w:val="6"/>
        </w:numPr>
        <w:rPr>
          <w:rFonts w:ascii="Arial" w:cs="Arial" w:eastAsia="Arial" w:hAnsi="Arial"/>
          <w:sz w:val="20"/>
          <w:szCs w:val="20"/>
          <w:color w:val="auto"/>
        </w:rPr>
      </w:pPr>
      <w:r>
        <w:rPr>
          <w:rFonts w:ascii="Arial" w:cs="Arial" w:eastAsia="Arial" w:hAnsi="Arial"/>
          <w:sz w:val="20"/>
          <w:szCs w:val="20"/>
          <w:color w:val="auto"/>
        </w:rPr>
        <w:t>RBS will receive a preferred 15-percent return on any capital in excess of capital attributable to Sempra Energy that is required by the FSA to be maintained by RBS in respect of the operations of the partnership;</w:t>
      </w:r>
    </w:p>
    <w:p>
      <w:pPr>
        <w:spacing w:after="0" w:line="1" w:lineRule="exact"/>
        <w:rPr>
          <w:rFonts w:ascii="Arial" w:cs="Arial" w:eastAsia="Arial" w:hAnsi="Arial"/>
          <w:sz w:val="20"/>
          <w:szCs w:val="20"/>
          <w:color w:val="auto"/>
        </w:rPr>
      </w:pPr>
    </w:p>
    <w:p>
      <w:pPr>
        <w:ind w:left="1300" w:right="640" w:hanging="320"/>
        <w:spacing w:after="0" w:line="239" w:lineRule="auto"/>
        <w:tabs>
          <w:tab w:leader="none" w:pos="1300" w:val="left"/>
        </w:tabs>
        <w:numPr>
          <w:ilvl w:val="0"/>
          <w:numId w:val="6"/>
        </w:numPr>
        <w:rPr>
          <w:rFonts w:ascii="Arial" w:cs="Arial" w:eastAsia="Arial" w:hAnsi="Arial"/>
          <w:sz w:val="20"/>
          <w:szCs w:val="20"/>
          <w:color w:val="auto"/>
        </w:rPr>
      </w:pPr>
      <w:r>
        <w:rPr>
          <w:rFonts w:ascii="Arial" w:cs="Arial" w:eastAsia="Arial" w:hAnsi="Arial"/>
          <w:sz w:val="20"/>
          <w:szCs w:val="20"/>
          <w:color w:val="auto"/>
        </w:rPr>
        <w:t>Sempra Energy will receive 70 percent of the next $500 million in pretax income, with RBS receiving the remaining 30 percent; and</w:t>
      </w:r>
    </w:p>
    <w:p>
      <w:pPr>
        <w:spacing w:after="0" w:line="1" w:lineRule="exact"/>
        <w:rPr>
          <w:rFonts w:ascii="Arial" w:cs="Arial" w:eastAsia="Arial" w:hAnsi="Arial"/>
          <w:sz w:val="20"/>
          <w:szCs w:val="20"/>
          <w:color w:val="auto"/>
        </w:rPr>
      </w:pPr>
    </w:p>
    <w:p>
      <w:pPr>
        <w:ind w:left="1300" w:hanging="320"/>
        <w:spacing w:after="0"/>
        <w:tabs>
          <w:tab w:leader="none" w:pos="1300" w:val="left"/>
        </w:tabs>
        <w:numPr>
          <w:ilvl w:val="0"/>
          <w:numId w:val="6"/>
        </w:numPr>
        <w:rPr>
          <w:rFonts w:ascii="Arial" w:cs="Arial" w:eastAsia="Arial" w:hAnsi="Arial"/>
          <w:sz w:val="20"/>
          <w:szCs w:val="20"/>
          <w:color w:val="auto"/>
        </w:rPr>
      </w:pPr>
      <w:r>
        <w:rPr>
          <w:rFonts w:ascii="Arial" w:cs="Arial" w:eastAsia="Arial" w:hAnsi="Arial"/>
          <w:sz w:val="20"/>
          <w:szCs w:val="20"/>
          <w:color w:val="auto"/>
        </w:rPr>
        <w:t>Sempra Energy will receive 30 percent, and RBS 70 percent, of any remaining pretax income.</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Any losses of the partnership would be shared equally between Sempra Energy and RBS.</w:t>
      </w:r>
    </w:p>
    <w:p>
      <w:pPr>
        <w:spacing w:after="0" w:line="243" w:lineRule="exact"/>
        <w:rPr>
          <w:sz w:val="20"/>
          <w:szCs w:val="20"/>
          <w:color w:val="auto"/>
        </w:rPr>
      </w:pPr>
    </w:p>
    <w:p>
      <w:pPr>
        <w:ind w:right="120"/>
        <w:spacing w:after="0" w:line="244" w:lineRule="auto"/>
        <w:rPr>
          <w:sz w:val="20"/>
          <w:szCs w:val="20"/>
          <w:color w:val="auto"/>
        </w:rPr>
      </w:pPr>
      <w:r>
        <w:rPr>
          <w:rFonts w:ascii="Arial" w:cs="Arial" w:eastAsia="Arial" w:hAnsi="Arial"/>
          <w:sz w:val="20"/>
          <w:szCs w:val="20"/>
          <w:color w:val="auto"/>
        </w:rPr>
        <w:t>RBS Sempra Commodities will initially be governed by a board of seven directors, three appointed by Sempra Energy and four by RBS. The consent of Sempra Energy will be required before the partnership may take certain significant actions, including materially changing the scope of the partnership’s businesses, issuing credit support outside the ordinary course, incurring certain types of indebtedness and entering into agreements of significant size or duration. Sempra Energy will indemnify the partnership for liabilities in respect of certain litigation and taxes relating to the businesses to be purchased by the partnership.</w:t>
      </w:r>
    </w:p>
    <w:p>
      <w:pPr>
        <w:spacing w:after="0" w:line="222" w:lineRule="exact"/>
        <w:rPr>
          <w:sz w:val="20"/>
          <w:szCs w:val="20"/>
          <w:color w:val="auto"/>
        </w:rPr>
      </w:pPr>
    </w:p>
    <w:p>
      <w:pPr>
        <w:ind w:right="140"/>
        <w:spacing w:after="0" w:line="287" w:lineRule="auto"/>
        <w:rPr>
          <w:sz w:val="20"/>
          <w:szCs w:val="20"/>
          <w:color w:val="auto"/>
        </w:rPr>
      </w:pPr>
      <w:r>
        <w:rPr>
          <w:rFonts w:ascii="Arial" w:cs="Arial" w:eastAsia="Arial" w:hAnsi="Arial"/>
          <w:sz w:val="19"/>
          <w:szCs w:val="19"/>
          <w:color w:val="auto"/>
        </w:rPr>
        <w:t>The company will not be required to invest additional capital in the partnership beyond its initial capital investment although, in limited cases, earnings allocable to the company may be retained by the partnership to replenish capital depleted through losses.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color w:val="auto"/>
        </w:rPr>
        <w:t>23</w:t>
      </w:r>
    </w:p>
    <w:p>
      <w:pPr>
        <w:sectPr>
          <w:pgSz w:w="11900" w:h="16838" w:orient="portrait"/>
          <w:cols w:equalWidth="0" w:num="1">
            <w:col w:w="11420"/>
          </w:cols>
          <w:pgMar w:left="240" w:top="115" w:right="239" w:bottom="1440" w:gutter="0" w:footer="0" w:header="0"/>
        </w:sectPr>
      </w:pPr>
    </w:p>
    <w:bookmarkStart w:id="23" w:name="page24"/>
    <w:bookmarkEnd w:id="23"/>
    <w:p>
      <w:pPr>
        <w:ind w:right="40"/>
        <w:spacing w:after="0" w:line="256" w:lineRule="auto"/>
        <w:rPr>
          <w:sz w:val="20"/>
          <w:szCs w:val="20"/>
          <w:color w:val="auto"/>
        </w:rPr>
      </w:pPr>
      <w:r>
        <w:rPr>
          <w:rFonts w:ascii="Arial" w:cs="Arial" w:eastAsia="Arial" w:hAnsi="Arial"/>
          <w:sz w:val="19"/>
          <w:szCs w:val="19"/>
          <w:color w:val="auto"/>
        </w:rPr>
        <w:t>For a period of four years, RBS and the company are each subject to certain limitations on their ability to compete with the partnership. RBS will not compete with certain core business activities of the partnership (defined to include trading, processing and tolling of, and derivatives and certain other transactions in, oil and oil byproducts, electricity, natural gas, LNG, base metals, coal, liquefied petroleum gas, biofuels, carbon credits and emissions credits) or acquire an equity interest in any entity whose principal business involves activities that are competitive with the partnership’s core business activities. If RBS were to acquire an equity interest in excess of agreed upon thresholds in entities whose activities include, but are not principally comprised of, those that are competitive with the partnership’s core business activities, RBS and Sempra Energy will engage in good faith negotiations to combine the activities of such com petitor with those of the partnership, and if RBS and Sempra Energy are unable to agree on terms within six months, RBS will be required to offer the partnership an opportunity to act as the counterparty with respect to certain significant commodities hedging, supply and offtake opportunities generated by RBS’s other business activities in the areas of project finance and structured finance.</w:t>
      </w:r>
    </w:p>
    <w:p>
      <w:pPr>
        <w:spacing w:after="0" w:line="208" w:lineRule="exact"/>
        <w:rPr>
          <w:sz w:val="20"/>
          <w:szCs w:val="20"/>
          <w:color w:val="auto"/>
        </w:rPr>
      </w:pPr>
    </w:p>
    <w:p>
      <w:pPr>
        <w:ind w:right="280"/>
        <w:spacing w:after="0" w:line="246" w:lineRule="auto"/>
        <w:rPr>
          <w:sz w:val="20"/>
          <w:szCs w:val="20"/>
          <w:color w:val="auto"/>
        </w:rPr>
      </w:pPr>
      <w:r>
        <w:rPr>
          <w:rFonts w:ascii="Arial" w:cs="Arial" w:eastAsia="Arial" w:hAnsi="Arial"/>
          <w:sz w:val="20"/>
          <w:szCs w:val="20"/>
          <w:color w:val="auto"/>
        </w:rPr>
        <w:t>The company will be subject to limitations, mirroring those to which RBS is subject, on its ability to acquire equity interests in entities competing with the core business activities of RBS Sempra Commodities. Certain Sempra Energy non-utility businesses will be required, subject to risk concentration policies, to offer the partnership an opportunity to act as the counterparty to the company in certain transactions that are competitive with the core business activities of the partnership.</w:t>
      </w:r>
    </w:p>
    <w:p>
      <w:pPr>
        <w:spacing w:after="0" w:line="219" w:lineRule="exact"/>
        <w:rPr>
          <w:sz w:val="20"/>
          <w:szCs w:val="20"/>
          <w:color w:val="auto"/>
        </w:rPr>
      </w:pPr>
    </w:p>
    <w:p>
      <w:pPr>
        <w:ind w:right="80"/>
        <w:spacing w:after="0" w:line="256" w:lineRule="auto"/>
        <w:rPr>
          <w:sz w:val="20"/>
          <w:szCs w:val="20"/>
          <w:color w:val="auto"/>
        </w:rPr>
      </w:pPr>
      <w:r>
        <w:rPr>
          <w:rFonts w:ascii="Arial" w:cs="Arial" w:eastAsia="Arial" w:hAnsi="Arial"/>
          <w:sz w:val="19"/>
          <w:szCs w:val="19"/>
          <w:color w:val="auto"/>
        </w:rPr>
        <w:t>For a period of four years, neither RBS nor the company is permitted to sell or assign its interest in the partnership. Following this four-year period, if the company were to desire to sell its interest, it is required to so notify RBS and, unless RBS notifies the company that it is not interested in purchasing such interest, negotiate with RBS to determine a price at which the interest would be sold to RBS. If the company and RBS were unable to agree upon a price at which the interest would be sold to RBS, either party is permitted to request that the price be submitted for binding arbitration. If the other party assents to that request, the interest will be sold to RBS at a price determined by arbitration subject to a maximum price of $3.5 billion in the fourth year following the creation of the partnership and increasing by 2.5% per year to a maximum of $4 billion. If RBS declines to arbitrate, the company may sell its interest to a third party upon terms no more favorable than those at which the interest was offered to RBS. If the third party purchaser is a bank or broker-dealer, a majority owned or controlled affiliate of a bank or broker-dealer or a hedge fund controlled by such an entity or has a credit rating lower than the company’s, the third party purchaser must also be reasonably acceptable to RBS.</w:t>
      </w:r>
    </w:p>
    <w:p>
      <w:pPr>
        <w:spacing w:after="0" w:line="20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If RBS were to desire to sell its interest in RBS Sempra Commodities after such four-year period, it is required to provide the company with the opportunity to make the first offer to acquire the interest and is prohibited from subsequently selling the interest to a third party upon terms less favorable than those offered by the company. The company also will have the right to "tag-along" in connection with any sale of RBS’s interest in the partnership to a third party.</w:t>
      </w:r>
    </w:p>
    <w:p>
      <w:pPr>
        <w:spacing w:after="0" w:line="219" w:lineRule="exact"/>
        <w:rPr>
          <w:sz w:val="20"/>
          <w:szCs w:val="20"/>
          <w:color w:val="auto"/>
        </w:rPr>
      </w:pPr>
    </w:p>
    <w:p>
      <w:pPr>
        <w:jc w:val="both"/>
        <w:ind w:right="20"/>
        <w:spacing w:after="0" w:line="250" w:lineRule="auto"/>
        <w:rPr>
          <w:sz w:val="20"/>
          <w:szCs w:val="20"/>
          <w:color w:val="auto"/>
        </w:rPr>
      </w:pPr>
      <w:r>
        <w:rPr>
          <w:rFonts w:ascii="Arial" w:cs="Arial" w:eastAsia="Arial" w:hAnsi="Arial"/>
          <w:sz w:val="20"/>
          <w:szCs w:val="20"/>
          <w:color w:val="auto"/>
        </w:rPr>
        <w:t>In addition, if RBS were to fail to fund RBS Sempra Commodities consistent with its commitments and intentions and did not cure that failure within a specified period following notice from the company, the company would have the right to purchase RBS’s interest in the partnership at book value.</w:t>
      </w:r>
    </w:p>
    <w:p>
      <w:pPr>
        <w:spacing w:after="0" w:line="213" w:lineRule="exact"/>
        <w:rPr>
          <w:sz w:val="20"/>
          <w:szCs w:val="20"/>
          <w:color w:val="auto"/>
        </w:rPr>
      </w:pPr>
    </w:p>
    <w:p>
      <w:pPr>
        <w:ind w:right="120"/>
        <w:spacing w:after="0" w:line="260" w:lineRule="auto"/>
        <w:rPr>
          <w:sz w:val="20"/>
          <w:szCs w:val="20"/>
          <w:color w:val="auto"/>
        </w:rPr>
      </w:pPr>
      <w:r>
        <w:rPr>
          <w:rFonts w:ascii="Arial" w:cs="Arial" w:eastAsia="Arial" w:hAnsi="Arial"/>
          <w:sz w:val="20"/>
          <w:szCs w:val="20"/>
          <w:color w:val="auto"/>
        </w:rPr>
        <w:t>After closing the transaction, the company will account for its investment in the partnership under the equity method, and the company's share of partnership earnings will be reported in the Sempra Commodities segment.</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0"/>
          <w:szCs w:val="20"/>
          <w:color w:val="auto"/>
        </w:rPr>
        <w:t>24</w:t>
      </w:r>
    </w:p>
    <w:p>
      <w:pPr>
        <w:sectPr>
          <w:pgSz w:w="11900" w:h="16838" w:orient="portrait"/>
          <w:cols w:equalWidth="0" w:num="1">
            <w:col w:w="11400"/>
          </w:cols>
          <w:pgMar w:left="240" w:top="366" w:right="259" w:bottom="1440" w:gutter="0" w:footer="0" w:header="0"/>
        </w:sectPr>
      </w:pPr>
    </w:p>
    <w:bookmarkStart w:id="24" w:name="page25"/>
    <w:bookmarkEnd w:id="24"/>
    <w:p>
      <w:pPr>
        <w:spacing w:after="0"/>
        <w:rPr>
          <w:sz w:val="20"/>
          <w:szCs w:val="20"/>
          <w:color w:val="auto"/>
        </w:rPr>
      </w:pPr>
      <w:r>
        <w:rPr>
          <w:rFonts w:ascii="Arial" w:cs="Arial" w:eastAsia="Arial" w:hAnsi="Arial"/>
          <w:sz w:val="20"/>
          <w:szCs w:val="20"/>
          <w:b w:val="1"/>
          <w:bCs w:val="1"/>
          <w:color w:val="auto"/>
        </w:rPr>
        <w:t>Competition</w:t>
      </w:r>
    </w:p>
    <w:p>
      <w:pPr>
        <w:spacing w:after="0" w:line="250" w:lineRule="exact"/>
        <w:rPr>
          <w:sz w:val="20"/>
          <w:szCs w:val="20"/>
          <w:color w:val="auto"/>
        </w:rPr>
      </w:pPr>
    </w:p>
    <w:p>
      <w:pPr>
        <w:spacing w:after="0" w:line="291" w:lineRule="auto"/>
        <w:rPr>
          <w:sz w:val="20"/>
          <w:szCs w:val="20"/>
          <w:color w:val="auto"/>
        </w:rPr>
      </w:pPr>
      <w:r>
        <w:rPr>
          <w:rFonts w:ascii="Arial" w:cs="Arial" w:eastAsia="Arial" w:hAnsi="Arial"/>
          <w:sz w:val="18"/>
          <w:szCs w:val="18"/>
          <w:color w:val="auto"/>
        </w:rPr>
        <w:t>Sempra Energy’s non-utility businesses are among many others in the energy industry providing similar products and services. Most activities in which the company is engaged are very competitive and require significant capital investments and highly skilled and experienced personnel to compete. Many of Sempra Global’s competitors may have significantly greater financial, personnel and other resources than the company.</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Sempra Commodities</w:t>
      </w:r>
    </w:p>
    <w:p>
      <w:pPr>
        <w:spacing w:after="0" w:line="243"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All aspects of Sempra Commodities’ business are intensely competitive and are expected to remain so. Sempra Commodities’ competitors are other brokers and dealers, investment banking firms, energy companies and other companies that offer similar products and services in the U.S. and globally. Sempra Commodities’ competition is based on a number of factors, including transaction execution, products and services, innovation, reputation and price.</w:t>
      </w:r>
    </w:p>
    <w:p>
      <w:pPr>
        <w:spacing w:after="0" w:line="219" w:lineRule="exact"/>
        <w:rPr>
          <w:sz w:val="20"/>
          <w:szCs w:val="20"/>
          <w:color w:val="auto"/>
        </w:rPr>
      </w:pPr>
    </w:p>
    <w:p>
      <w:pPr>
        <w:ind w:right="100"/>
        <w:spacing w:after="0" w:line="260" w:lineRule="auto"/>
        <w:rPr>
          <w:sz w:val="20"/>
          <w:szCs w:val="20"/>
          <w:color w:val="auto"/>
        </w:rPr>
      </w:pPr>
      <w:r>
        <w:rPr>
          <w:rFonts w:ascii="Arial" w:cs="Arial" w:eastAsia="Arial" w:hAnsi="Arial"/>
          <w:sz w:val="20"/>
          <w:szCs w:val="20"/>
          <w:color w:val="auto"/>
        </w:rPr>
        <w:t>Sempra Commodities also faces intense competition in attracting and retaining qualified employees. Sempra Commodities’ ability to compete effectively will depend upon the ability to attract new employees and retain and motivate existing employees.</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Sempra Commodities' competitors include Goldman Sachs, JP Morgan and Morgan Stanley.</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Sempra Generation</w:t>
      </w:r>
    </w:p>
    <w:p>
      <w:pPr>
        <w:spacing w:after="0" w:line="243" w:lineRule="exact"/>
        <w:rPr>
          <w:sz w:val="20"/>
          <w:szCs w:val="20"/>
          <w:color w:val="auto"/>
        </w:rPr>
      </w:pPr>
    </w:p>
    <w:p>
      <w:pPr>
        <w:ind w:right="80"/>
        <w:spacing w:after="0" w:line="243" w:lineRule="auto"/>
        <w:rPr>
          <w:sz w:val="20"/>
          <w:szCs w:val="20"/>
          <w:color w:val="auto"/>
        </w:rPr>
      </w:pPr>
      <w:r>
        <w:rPr>
          <w:rFonts w:ascii="Arial" w:cs="Arial" w:eastAsia="Arial" w:hAnsi="Arial"/>
          <w:sz w:val="20"/>
          <w:szCs w:val="20"/>
          <w:color w:val="auto"/>
        </w:rPr>
        <w:t>For sales of non-contracted power, Sempra Generation is subject to intense competition from energy marketers, utilities, industrial companies and other independent power producers. For a number of years, natural gas has been the fuel of choice for new power generation facilities for economic, operational and environmental reasons. While natural gas-fired facilities will continue to be an important part of the nation’s generation portfolio, some regulated utilities are now constructing units powered by renewable resources, often with subsidies or under legislative mandate. These utilities generally have a lower cost of capital than most independent power producers and often are able to recover fixed costs through rate base mechanisms, allowing them to build, buy and upgrade generation without relying exclusively on market clearing prices to recover their investments.</w:t>
      </w:r>
    </w:p>
    <w:p>
      <w:pPr>
        <w:spacing w:after="0" w:line="220" w:lineRule="exact"/>
        <w:rPr>
          <w:sz w:val="20"/>
          <w:szCs w:val="20"/>
          <w:color w:val="auto"/>
        </w:rPr>
      </w:pPr>
    </w:p>
    <w:p>
      <w:pPr>
        <w:ind w:right="60"/>
        <w:spacing w:after="0" w:line="260" w:lineRule="auto"/>
        <w:rPr>
          <w:sz w:val="20"/>
          <w:szCs w:val="20"/>
          <w:color w:val="auto"/>
        </w:rPr>
      </w:pPr>
      <w:r>
        <w:rPr>
          <w:rFonts w:ascii="Arial" w:cs="Arial" w:eastAsia="Arial" w:hAnsi="Arial"/>
          <w:sz w:val="19"/>
          <w:szCs w:val="19"/>
          <w:color w:val="auto"/>
        </w:rPr>
        <w:t>When Sempra Generation sells power not subject to long-term contract commitments, it is exposed to market fluctuations in prices based on a number of factors, including the amount of capacity available to meet demand, the price and availability of fuel and the presence of transmission constraints. Some of Sempra Generation’s competitors, such as electric utilities and distribution companies, have their own generation capacity, including nuclear generation. These companies, generally larger than Sempra Generation, have a lower cost of capital and may have competitive advantages as a result of their scale and location of their generation facilities.</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auto"/>
        </w:rPr>
        <w:t>Sempra Generation’s competitors include Edison Mission Energy and FPL Energy LLC.</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Sempra LNG</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New supplies to meet North America’s natural gas demand may be developed from a combination of the following sources:</w:t>
      </w:r>
    </w:p>
    <w:p>
      <w:pPr>
        <w:spacing w:after="0" w:line="243" w:lineRule="exact"/>
        <w:rPr>
          <w:sz w:val="20"/>
          <w:szCs w:val="20"/>
          <w:color w:val="auto"/>
        </w:rPr>
      </w:pPr>
    </w:p>
    <w:p>
      <w:pPr>
        <w:ind w:left="1140" w:hanging="322"/>
        <w:spacing w:after="0"/>
        <w:tabs>
          <w:tab w:leader="none" w:pos="1140" w:val="left"/>
        </w:tabs>
        <w:numPr>
          <w:ilvl w:val="0"/>
          <w:numId w:val="7"/>
        </w:numPr>
        <w:rPr>
          <w:rFonts w:ascii="Arial" w:cs="Arial" w:eastAsia="Arial" w:hAnsi="Arial"/>
          <w:sz w:val="20"/>
          <w:szCs w:val="20"/>
          <w:color w:val="auto"/>
        </w:rPr>
      </w:pPr>
      <w:r>
        <w:rPr>
          <w:rFonts w:ascii="Arial" w:cs="Arial" w:eastAsia="Arial" w:hAnsi="Arial"/>
          <w:sz w:val="20"/>
          <w:szCs w:val="20"/>
          <w:color w:val="auto"/>
        </w:rPr>
        <w:t>existing producing basins in the United States, Canada, and Mexico;</w:t>
      </w:r>
    </w:p>
    <w:p>
      <w:pPr>
        <w:spacing w:after="0" w:line="2" w:lineRule="exact"/>
        <w:rPr>
          <w:rFonts w:ascii="Arial" w:cs="Arial" w:eastAsia="Arial" w:hAnsi="Arial"/>
          <w:sz w:val="20"/>
          <w:szCs w:val="20"/>
          <w:color w:val="auto"/>
        </w:rPr>
      </w:pPr>
    </w:p>
    <w:p>
      <w:pPr>
        <w:ind w:left="1140" w:hanging="322"/>
        <w:spacing w:after="0"/>
        <w:tabs>
          <w:tab w:leader="none" w:pos="1140" w:val="left"/>
        </w:tabs>
        <w:numPr>
          <w:ilvl w:val="0"/>
          <w:numId w:val="7"/>
        </w:numPr>
        <w:rPr>
          <w:rFonts w:ascii="Arial" w:cs="Arial" w:eastAsia="Arial" w:hAnsi="Arial"/>
          <w:sz w:val="20"/>
          <w:szCs w:val="20"/>
          <w:color w:val="auto"/>
        </w:rPr>
      </w:pPr>
      <w:r>
        <w:rPr>
          <w:rFonts w:ascii="Arial" w:cs="Arial" w:eastAsia="Arial" w:hAnsi="Arial"/>
          <w:sz w:val="20"/>
          <w:szCs w:val="20"/>
          <w:color w:val="auto"/>
        </w:rPr>
        <w:t>frontier basins in Alaska, northern Canada and offshore deepwater;</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25</w:t>
      </w:r>
    </w:p>
    <w:p>
      <w:pPr>
        <w:sectPr>
          <w:pgSz w:w="11900" w:h="16838" w:orient="portrait"/>
          <w:cols w:equalWidth="0" w:num="1">
            <w:col w:w="11360"/>
          </w:cols>
          <w:pgMar w:left="240" w:top="115" w:right="299" w:bottom="1440" w:gutter="0" w:footer="0" w:header="0"/>
        </w:sectPr>
      </w:pPr>
    </w:p>
    <w:bookmarkStart w:id="25" w:name="page26"/>
    <w:bookmarkEnd w:id="25"/>
    <w:p>
      <w:pPr>
        <w:ind w:left="1140" w:right="340" w:hanging="322"/>
        <w:spacing w:after="0" w:line="248" w:lineRule="auto"/>
        <w:tabs>
          <w:tab w:leader="none" w:pos="1140" w:val="left"/>
        </w:tabs>
        <w:numPr>
          <w:ilvl w:val="0"/>
          <w:numId w:val="8"/>
        </w:numPr>
        <w:rPr>
          <w:rFonts w:ascii="Arial" w:cs="Arial" w:eastAsia="Arial" w:hAnsi="Arial"/>
          <w:sz w:val="20"/>
          <w:szCs w:val="20"/>
          <w:color w:val="auto"/>
        </w:rPr>
      </w:pPr>
      <w:r>
        <w:rPr>
          <w:rFonts w:ascii="Arial" w:cs="Arial" w:eastAsia="Arial" w:hAnsi="Arial"/>
          <w:sz w:val="20"/>
          <w:szCs w:val="20"/>
          <w:color w:val="auto"/>
        </w:rPr>
        <w:t>areas currently restricted from exploration and development due to public policies, such as areas in the Rocky Mountains and offshore Atlantic, Pacific and Gulf of Mexico coasts; and</w:t>
      </w:r>
    </w:p>
    <w:p>
      <w:pPr>
        <w:spacing w:after="0" w:line="1" w:lineRule="exact"/>
        <w:rPr>
          <w:rFonts w:ascii="Arial" w:cs="Arial" w:eastAsia="Arial" w:hAnsi="Arial"/>
          <w:sz w:val="20"/>
          <w:szCs w:val="20"/>
          <w:color w:val="auto"/>
        </w:rPr>
      </w:pPr>
    </w:p>
    <w:p>
      <w:pPr>
        <w:ind w:left="1140" w:hanging="322"/>
        <w:spacing w:after="0"/>
        <w:tabs>
          <w:tab w:leader="none" w:pos="1140" w:val="left"/>
        </w:tabs>
        <w:numPr>
          <w:ilvl w:val="0"/>
          <w:numId w:val="8"/>
        </w:numPr>
        <w:rPr>
          <w:rFonts w:ascii="Arial" w:cs="Arial" w:eastAsia="Arial" w:hAnsi="Arial"/>
          <w:sz w:val="20"/>
          <w:szCs w:val="20"/>
          <w:color w:val="auto"/>
        </w:rPr>
      </w:pPr>
      <w:r>
        <w:rPr>
          <w:rFonts w:ascii="Arial" w:cs="Arial" w:eastAsia="Arial" w:hAnsi="Arial"/>
          <w:sz w:val="20"/>
          <w:szCs w:val="20"/>
          <w:color w:val="auto"/>
        </w:rPr>
        <w:t>imported LNG.</w:t>
      </w:r>
    </w:p>
    <w:p>
      <w:pPr>
        <w:spacing w:after="0" w:line="227" w:lineRule="exact"/>
        <w:rPr>
          <w:sz w:val="20"/>
          <w:szCs w:val="20"/>
          <w:color w:val="auto"/>
        </w:rPr>
      </w:pPr>
    </w:p>
    <w:p>
      <w:pPr>
        <w:ind w:right="260"/>
        <w:spacing w:after="0" w:line="260" w:lineRule="auto"/>
        <w:rPr>
          <w:sz w:val="20"/>
          <w:szCs w:val="20"/>
          <w:color w:val="auto"/>
        </w:rPr>
      </w:pPr>
      <w:r>
        <w:rPr>
          <w:rFonts w:ascii="Arial" w:cs="Arial" w:eastAsia="Arial" w:hAnsi="Arial"/>
          <w:sz w:val="20"/>
          <w:szCs w:val="20"/>
          <w:color w:val="auto"/>
        </w:rPr>
        <w:t>In addition, demand for energy currently met by natural gas could alternatively be met by other energy forms such as coal, hydroelectric, oil, wind, solar and nuclear energy. Sempra LNG will face competition from each of these energy sources.</w:t>
      </w:r>
    </w:p>
    <w:p>
      <w:pPr>
        <w:spacing w:after="0" w:line="204" w:lineRule="exact"/>
        <w:rPr>
          <w:sz w:val="20"/>
          <w:szCs w:val="20"/>
          <w:color w:val="auto"/>
        </w:rPr>
      </w:pPr>
    </w:p>
    <w:p>
      <w:pPr>
        <w:ind w:right="40"/>
        <w:spacing w:after="0" w:line="278" w:lineRule="auto"/>
        <w:rPr>
          <w:sz w:val="20"/>
          <w:szCs w:val="20"/>
          <w:color w:val="auto"/>
        </w:rPr>
      </w:pPr>
      <w:r>
        <w:rPr>
          <w:rFonts w:ascii="Arial" w:cs="Arial" w:eastAsia="Arial" w:hAnsi="Arial"/>
          <w:sz w:val="18"/>
          <w:szCs w:val="18"/>
          <w:color w:val="auto"/>
        </w:rPr>
        <w:t>Sempra LNG competes with other companies to be among the first to construct LNG receiving terminals in economically desirable locations. According to the FERC, as of October 31, 2007, there were five existing LNG terminals in North America, as well as 39 new LNG receiving terminals or expansions approved or proposed to be constructed in the U.S., including six under construction. In addition, as of December 31, 2007, there were 60 LNG receiving terminals in 18 countries and other proposed LNG receiving terminals worldwide with which Sempra LNG will compete to be the most economical delivery point for LNG production of both long-term contracted and spot volumes.</w:t>
      </w:r>
    </w:p>
    <w:p>
      <w:pPr>
        <w:spacing w:after="0" w:line="192" w:lineRule="exact"/>
        <w:rPr>
          <w:sz w:val="20"/>
          <w:szCs w:val="20"/>
          <w:color w:val="auto"/>
        </w:rPr>
      </w:pPr>
    </w:p>
    <w:p>
      <w:pPr>
        <w:ind w:right="780"/>
        <w:spacing w:after="0" w:line="260" w:lineRule="auto"/>
        <w:rPr>
          <w:sz w:val="20"/>
          <w:szCs w:val="20"/>
          <w:color w:val="auto"/>
        </w:rPr>
      </w:pPr>
      <w:r>
        <w:rPr>
          <w:rFonts w:ascii="Arial" w:cs="Arial" w:eastAsia="Arial" w:hAnsi="Arial"/>
          <w:sz w:val="20"/>
          <w:szCs w:val="20"/>
          <w:color w:val="auto"/>
        </w:rPr>
        <w:t>Sempra LNG’s U.S. competitors include Cheniere Energy, Dominion Resources, El Paso Corporation, Southern Union, Exxon Mobil, Occidental Energy Ventures, Chevron Texaco and Hess LNG.</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Sempra Pipelines &amp; Storage</w:t>
      </w:r>
    </w:p>
    <w:p>
      <w:pPr>
        <w:spacing w:after="0" w:line="243" w:lineRule="exact"/>
        <w:rPr>
          <w:sz w:val="20"/>
          <w:szCs w:val="20"/>
          <w:color w:val="auto"/>
        </w:rPr>
      </w:pPr>
    </w:p>
    <w:p>
      <w:pPr>
        <w:jc w:val="both"/>
        <w:ind w:right="540"/>
        <w:spacing w:after="0" w:line="250" w:lineRule="auto"/>
        <w:rPr>
          <w:sz w:val="20"/>
          <w:szCs w:val="20"/>
          <w:color w:val="auto"/>
        </w:rPr>
      </w:pPr>
      <w:r>
        <w:rPr>
          <w:rFonts w:ascii="Arial" w:cs="Arial" w:eastAsia="Arial" w:hAnsi="Arial"/>
          <w:sz w:val="20"/>
          <w:szCs w:val="20"/>
          <w:color w:val="auto"/>
        </w:rPr>
        <w:t>Within its market area, Sempra Pipelines &amp; Storage’s natural gas storage facilities and pipelines compete with other storage facilities and pipelines (both regulated and unregulated systems) primarily on the basis of price (in terms of storage and transportation fees), available capacity and connections to downstream markets.</w:t>
      </w:r>
    </w:p>
    <w:p>
      <w:pPr>
        <w:spacing w:after="0" w:line="213" w:lineRule="exact"/>
        <w:rPr>
          <w:sz w:val="20"/>
          <w:szCs w:val="20"/>
          <w:color w:val="auto"/>
        </w:rPr>
      </w:pPr>
    </w:p>
    <w:p>
      <w:pPr>
        <w:ind w:right="400"/>
        <w:spacing w:after="0" w:line="260" w:lineRule="auto"/>
        <w:rPr>
          <w:sz w:val="20"/>
          <w:szCs w:val="20"/>
          <w:color w:val="auto"/>
        </w:rPr>
      </w:pPr>
      <w:r>
        <w:rPr>
          <w:rFonts w:ascii="Arial" w:cs="Arial" w:eastAsia="Arial" w:hAnsi="Arial"/>
          <w:sz w:val="20"/>
          <w:szCs w:val="20"/>
          <w:color w:val="auto"/>
        </w:rPr>
        <w:t>Sempra Pipelines &amp; Storage’s competitors include Cheniere Energy, Exxon Mobil, Kinder Morgan, Spectra Energy and Enterprise Product Partners LP.</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ENVIRONMENTAL MATTERS</w:t>
      </w:r>
    </w:p>
    <w:p>
      <w:pPr>
        <w:spacing w:after="0" w:line="249" w:lineRule="exact"/>
        <w:rPr>
          <w:sz w:val="20"/>
          <w:szCs w:val="20"/>
          <w:color w:val="auto"/>
        </w:rPr>
      </w:pPr>
    </w:p>
    <w:p>
      <w:pPr>
        <w:ind w:right="760"/>
        <w:spacing w:after="0" w:line="287" w:lineRule="auto"/>
        <w:rPr>
          <w:sz w:val="20"/>
          <w:szCs w:val="20"/>
          <w:color w:val="auto"/>
        </w:rPr>
      </w:pPr>
      <w:r>
        <w:rPr>
          <w:rFonts w:ascii="Arial" w:cs="Arial" w:eastAsia="Arial" w:hAnsi="Arial"/>
          <w:sz w:val="19"/>
          <w:szCs w:val="19"/>
          <w:color w:val="auto"/>
        </w:rPr>
        <w:t>Discussions about environmental issues affecting the company are included in Notes 14 and 16 of the Notes to Consolidated Financial Statements. The following additional information should be read in conjunction with those discussions.</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Hazardous Substances</w:t>
      </w:r>
    </w:p>
    <w:p>
      <w:pPr>
        <w:spacing w:after="0" w:line="303" w:lineRule="exact"/>
        <w:rPr>
          <w:sz w:val="20"/>
          <w:szCs w:val="20"/>
          <w:color w:val="auto"/>
        </w:rPr>
      </w:pPr>
    </w:p>
    <w:p>
      <w:pPr>
        <w:ind w:right="280"/>
        <w:spacing w:after="0" w:line="328" w:lineRule="auto"/>
        <w:rPr>
          <w:sz w:val="20"/>
          <w:szCs w:val="20"/>
          <w:color w:val="auto"/>
        </w:rPr>
      </w:pPr>
      <w:r>
        <w:rPr>
          <w:rFonts w:ascii="Arial" w:cs="Arial" w:eastAsia="Arial" w:hAnsi="Arial"/>
          <w:sz w:val="16"/>
          <w:szCs w:val="16"/>
          <w:color w:val="auto"/>
        </w:rPr>
        <w:t>In 1994, the CPUC approved the Hazardous Waste Collaborative mechanism, allowing California's IOUs to recover certain hazardous waste cleanup costs, including those related to Superfund sites or similar sites requiring cleanup. Rate recovery of 90 percent of hazardous waste cleanup costs and related third-party litigation costs, and 70 percent of the related insurance-litigation expenses is permitted. In addition, the company has the opportunity to retain a percentage of any insurance recoveries to offset the 10 percent of costs not recovered in rates.</w:t>
      </w:r>
    </w:p>
    <w:p>
      <w:pPr>
        <w:spacing w:after="0" w:line="156" w:lineRule="exact"/>
        <w:rPr>
          <w:sz w:val="20"/>
          <w:szCs w:val="20"/>
          <w:color w:val="auto"/>
        </w:rPr>
      </w:pPr>
    </w:p>
    <w:p>
      <w:pPr>
        <w:spacing w:after="0" w:line="278" w:lineRule="auto"/>
        <w:rPr>
          <w:sz w:val="20"/>
          <w:szCs w:val="20"/>
          <w:color w:val="auto"/>
        </w:rPr>
      </w:pPr>
      <w:r>
        <w:rPr>
          <w:rFonts w:ascii="Arial" w:cs="Arial" w:eastAsia="Arial" w:hAnsi="Arial"/>
          <w:sz w:val="18"/>
          <w:szCs w:val="18"/>
          <w:color w:val="auto"/>
        </w:rPr>
        <w:t>At December 31, 2007, the company had accrued its estimated remaining investigation and remediation liability related to hazardous waste sites, including numerous locations that had been manufactured-gas plants, of $48.4 million, of which 90 percent is authorized to be recovered through the Hazardous Waste Collaborative mechanism. This estimated cost excludes remediation costs of $6 million associated with SDG&amp;E's former fossil-fuel power plants. The company believes that any costs not ultimately recovered through rates, insurance or other means will not have a material adverse effect on the company's consolidated results of operations or financial position.</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26</w:t>
      </w:r>
    </w:p>
    <w:p>
      <w:pPr>
        <w:sectPr>
          <w:pgSz w:w="11900" w:h="16838" w:orient="portrait"/>
          <w:cols w:equalWidth="0" w:num="1">
            <w:col w:w="11400"/>
          </w:cols>
          <w:pgMar w:left="240" w:top="121" w:right="259" w:bottom="1440" w:gutter="0" w:footer="0" w:header="0"/>
        </w:sectPr>
      </w:pPr>
    </w:p>
    <w:bookmarkStart w:id="26" w:name="page27"/>
    <w:bookmarkEnd w:id="26"/>
    <w:p>
      <w:pPr>
        <w:ind w:right="760"/>
        <w:spacing w:after="0" w:line="287" w:lineRule="auto"/>
        <w:rPr>
          <w:sz w:val="20"/>
          <w:szCs w:val="20"/>
          <w:color w:val="auto"/>
        </w:rPr>
      </w:pPr>
      <w:r>
        <w:rPr>
          <w:rFonts w:ascii="Arial" w:cs="Arial" w:eastAsia="Arial" w:hAnsi="Arial"/>
          <w:sz w:val="19"/>
          <w:szCs w:val="19"/>
          <w:color w:val="auto"/>
        </w:rPr>
        <w:t>Estimated liabilities for environmental remediation are recorded when amounts are probable and estimable. Amounts authorized to be recovered in rates under the Hazardous Waste Collaborative mechanism are recorded as a regulatory asset.</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Air and Water Quality</w:t>
      </w:r>
    </w:p>
    <w:p>
      <w:pPr>
        <w:spacing w:after="0" w:line="249" w:lineRule="exact"/>
        <w:rPr>
          <w:sz w:val="20"/>
          <w:szCs w:val="20"/>
          <w:color w:val="auto"/>
        </w:rPr>
      </w:pPr>
    </w:p>
    <w:p>
      <w:pPr>
        <w:ind w:right="100"/>
        <w:spacing w:after="0" w:line="250" w:lineRule="auto"/>
        <w:rPr>
          <w:sz w:val="20"/>
          <w:szCs w:val="20"/>
          <w:color w:val="auto"/>
        </w:rPr>
      </w:pPr>
      <w:r>
        <w:rPr>
          <w:rFonts w:ascii="Arial" w:cs="Arial" w:eastAsia="Arial" w:hAnsi="Arial"/>
          <w:sz w:val="20"/>
          <w:szCs w:val="20"/>
          <w:color w:val="auto"/>
        </w:rPr>
        <w:t>The transmission and distribution of natural gas require the operation of compressor stations, which are subject to increasingly stringent air-quality standards, such as those established by the CARB as discussed under "Government Regulation – California Utility Regulation" herein. Costs to comply with these standards are generally recovered in rates.</w:t>
      </w:r>
    </w:p>
    <w:p>
      <w:pPr>
        <w:spacing w:after="0" w:line="213" w:lineRule="exact"/>
        <w:rPr>
          <w:sz w:val="20"/>
          <w:szCs w:val="20"/>
          <w:color w:val="auto"/>
        </w:rPr>
      </w:pPr>
    </w:p>
    <w:p>
      <w:pPr>
        <w:spacing w:after="0" w:line="278" w:lineRule="auto"/>
        <w:rPr>
          <w:sz w:val="20"/>
          <w:szCs w:val="20"/>
          <w:color w:val="auto"/>
        </w:rPr>
      </w:pPr>
      <w:r>
        <w:rPr>
          <w:rFonts w:ascii="Arial" w:cs="Arial" w:eastAsia="Arial" w:hAnsi="Arial"/>
          <w:sz w:val="18"/>
          <w:szCs w:val="18"/>
          <w:color w:val="auto"/>
        </w:rPr>
        <w:t>In connection with the issuance of operating permits, SDG&amp;E and the other owners of SONGS previously reached an agreement with the California Coastal Commission to mitigate the environmental damage to the marine environment attributed to the cooling-water discharge from SONGS Units 2 and 3. SDG&amp;E's share of the cost is estimated to be $36 million, of which $25 million had been incurred at December 31, 2007, and $11 million is accrued for the remaining costs through 2050. In May 2006, the CPUC adopted a decision in Edison's 2006 General Rate Case, in which decision SDG&amp;E is no longer subject to a 50-percent disallowance of cost recovery going forward.</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MATTERS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Employees of Registrant</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As of December 31, 2007, the company had 14,314 employees, compared to 14,061 at December 31, 2006.</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Labor Relations</w:t>
      </w:r>
    </w:p>
    <w:p>
      <w:pPr>
        <w:spacing w:after="0" w:line="249" w:lineRule="exact"/>
        <w:rPr>
          <w:sz w:val="20"/>
          <w:szCs w:val="20"/>
          <w:color w:val="auto"/>
        </w:rPr>
      </w:pPr>
    </w:p>
    <w:p>
      <w:pPr>
        <w:ind w:right="220"/>
        <w:spacing w:after="0" w:line="250" w:lineRule="auto"/>
        <w:rPr>
          <w:sz w:val="20"/>
          <w:szCs w:val="20"/>
          <w:color w:val="auto"/>
        </w:rPr>
      </w:pPr>
      <w:r>
        <w:rPr>
          <w:rFonts w:ascii="Arial" w:cs="Arial" w:eastAsia="Arial" w:hAnsi="Arial"/>
          <w:sz w:val="20"/>
          <w:szCs w:val="20"/>
          <w:color w:val="auto"/>
        </w:rPr>
        <w:t>Field, technical and most clerical employees at SoCalGas are represented by the Utility Workers Union of America or the International Chemical Workers Union Council. The collective bargaining agreement for these employees covering wages, hours, working conditions, and medical and other benefit plans is in effect through September 30, 2008.</w:t>
      </w:r>
    </w:p>
    <w:p>
      <w:pPr>
        <w:spacing w:after="0" w:line="213" w:lineRule="exact"/>
        <w:rPr>
          <w:sz w:val="20"/>
          <w:szCs w:val="20"/>
          <w:color w:val="auto"/>
        </w:rPr>
      </w:pPr>
    </w:p>
    <w:p>
      <w:pPr>
        <w:ind w:right="120"/>
        <w:spacing w:after="0" w:line="246" w:lineRule="auto"/>
        <w:rPr>
          <w:sz w:val="20"/>
          <w:szCs w:val="20"/>
          <w:color w:val="auto"/>
        </w:rPr>
      </w:pPr>
      <w:r>
        <w:rPr>
          <w:rFonts w:ascii="Arial" w:cs="Arial" w:eastAsia="Arial" w:hAnsi="Arial"/>
          <w:sz w:val="20"/>
          <w:szCs w:val="20"/>
          <w:color w:val="auto"/>
        </w:rPr>
        <w:t>Field, technical and some clerical employees at SDG&amp;E are represented by Local 465 International Brotherhood of Electrical Workers. The collective bargaining agreement for these employees covering wages, hours and working conditions is in effect through August 31, 2008. For these same employees, the agreements covering health and welfare benefits and pension benefits are in effect through December 31, 2010 and December 4, 2009, respectively.</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20"/>
          <w:szCs w:val="20"/>
          <w:color w:val="auto"/>
        </w:rPr>
        <w:t>27</w:t>
      </w:r>
    </w:p>
    <w:p>
      <w:pPr>
        <w:sectPr>
          <w:pgSz w:w="11900" w:h="16838" w:orient="portrait"/>
          <w:cols w:equalWidth="0" w:num="1">
            <w:col w:w="11380"/>
          </w:cols>
          <w:pgMar w:left="240" w:top="366" w:right="279" w:bottom="1440" w:gutter="0" w:footer="0" w:header="0"/>
        </w:sectPr>
      </w:pPr>
    </w:p>
    <w:bookmarkStart w:id="27" w:name="page28"/>
    <w:bookmarkEnd w:id="27"/>
    <w:p>
      <w:pPr>
        <w:spacing w:after="0"/>
        <w:rPr>
          <w:sz w:val="20"/>
          <w:szCs w:val="20"/>
          <w:color w:val="auto"/>
        </w:rPr>
      </w:pPr>
      <w:r>
        <w:rPr>
          <w:rFonts w:ascii="Arial" w:cs="Arial" w:eastAsia="Arial" w:hAnsi="Arial"/>
          <w:sz w:val="20"/>
          <w:szCs w:val="20"/>
          <w:b w:val="1"/>
          <w:bCs w:val="1"/>
          <w:color w:val="auto"/>
        </w:rPr>
        <w:t>ITEM 2. PROPERTIES</w:t>
      </w:r>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Electric Properties - SDG&amp;E</w:t>
      </w:r>
    </w:p>
    <w:p>
      <w:pPr>
        <w:spacing w:after="0" w:line="249" w:lineRule="exact"/>
        <w:rPr>
          <w:sz w:val="20"/>
          <w:szCs w:val="20"/>
          <w:color w:val="auto"/>
        </w:rPr>
      </w:pPr>
    </w:p>
    <w:p>
      <w:pPr>
        <w:ind w:right="20"/>
        <w:spacing w:after="0" w:line="250" w:lineRule="auto"/>
        <w:rPr>
          <w:sz w:val="20"/>
          <w:szCs w:val="20"/>
          <w:color w:val="auto"/>
        </w:rPr>
      </w:pPr>
      <w:r>
        <w:rPr>
          <w:rFonts w:ascii="Arial" w:cs="Arial" w:eastAsia="Arial" w:hAnsi="Arial"/>
          <w:sz w:val="20"/>
          <w:szCs w:val="20"/>
          <w:color w:val="auto"/>
        </w:rPr>
        <w:t>SDG&amp;E owns two natural gas-fired power plants: a 550-MW electric generation facility (the Palomar generation facility) located in Escondido, California, and a 45-MW electric generation facility (the Miramar generation facility) located in San Diego, California. SDG&amp;E's interest in SONGS is described in "Electric Resources" herein.</w:t>
      </w:r>
    </w:p>
    <w:p>
      <w:pPr>
        <w:spacing w:after="0" w:line="213" w:lineRule="exact"/>
        <w:rPr>
          <w:sz w:val="20"/>
          <w:szCs w:val="20"/>
          <w:color w:val="auto"/>
        </w:rPr>
      </w:pPr>
    </w:p>
    <w:p>
      <w:pPr>
        <w:ind w:right="180"/>
        <w:spacing w:after="0" w:line="246" w:lineRule="auto"/>
        <w:rPr>
          <w:sz w:val="20"/>
          <w:szCs w:val="20"/>
          <w:color w:val="auto"/>
        </w:rPr>
      </w:pPr>
      <w:r>
        <w:rPr>
          <w:rFonts w:ascii="Arial" w:cs="Arial" w:eastAsia="Arial" w:hAnsi="Arial"/>
          <w:sz w:val="20"/>
          <w:szCs w:val="20"/>
          <w:color w:val="auto"/>
        </w:rPr>
        <w:t>At December 31, 2007, SDG&amp;E's electric transmission and distribution facilities included substations, and overhead and underground lines. These electric facilities are located in San Diego, Imperial and Orange counties of California and in Arizona, and consist of 1,886 miles of transmission lines and 22,056 miles of distribution lines. Periodically, various areas of the service territory require expansion to accommodate customer growth.</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Natural Gas Properties - Sempra Utilities</w:t>
      </w:r>
    </w:p>
    <w:p>
      <w:pPr>
        <w:spacing w:after="0" w:line="249" w:lineRule="exact"/>
        <w:rPr>
          <w:sz w:val="20"/>
          <w:szCs w:val="20"/>
          <w:color w:val="auto"/>
        </w:rPr>
      </w:pPr>
    </w:p>
    <w:p>
      <w:pPr>
        <w:ind w:right="160"/>
        <w:spacing w:after="0" w:line="250" w:lineRule="auto"/>
        <w:rPr>
          <w:sz w:val="20"/>
          <w:szCs w:val="20"/>
          <w:color w:val="auto"/>
        </w:rPr>
      </w:pPr>
      <w:r>
        <w:rPr>
          <w:rFonts w:ascii="Arial" w:cs="Arial" w:eastAsia="Arial" w:hAnsi="Arial"/>
          <w:sz w:val="20"/>
          <w:szCs w:val="20"/>
          <w:color w:val="auto"/>
        </w:rPr>
        <w:t>At December 31, 2007, the Sempra Utilities' natural gas facilities included 3,053 miles of transmission and storage pipeline, 61,701 miles of distribution pipeline and 53,368 miles of service pipelines. They also included 13 transmission compressor stations and 4 underground natural gas storage reservoirs with a combined working capacity of 131 Bcf.</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Energy Properties – Sempra Global</w:t>
      </w:r>
    </w:p>
    <w:p>
      <w:pPr>
        <w:spacing w:after="0" w:line="249" w:lineRule="exact"/>
        <w:rPr>
          <w:sz w:val="20"/>
          <w:szCs w:val="20"/>
          <w:color w:val="auto"/>
        </w:rPr>
      </w:pPr>
    </w:p>
    <w:p>
      <w:pPr>
        <w:jc w:val="both"/>
        <w:ind w:right="60"/>
        <w:spacing w:after="0" w:line="250" w:lineRule="auto"/>
        <w:rPr>
          <w:sz w:val="20"/>
          <w:szCs w:val="20"/>
          <w:color w:val="auto"/>
        </w:rPr>
      </w:pPr>
      <w:r>
        <w:rPr>
          <w:rFonts w:ascii="Arial" w:cs="Arial" w:eastAsia="Arial" w:hAnsi="Arial"/>
          <w:sz w:val="20"/>
          <w:szCs w:val="20"/>
          <w:color w:val="auto"/>
        </w:rPr>
        <w:t>At December 31, 2007, Sempra Generation operates power plants in California, Arizona, Nevada and Mexico with total capacity of 2,630 MW. Additional information is provided in "Management’s Discussion and Analysis of Financial Condition and Results of Operations" and in Notes 3 and 4 of the Notes to Consolidated Financial Statements.</w:t>
      </w:r>
    </w:p>
    <w:p>
      <w:pPr>
        <w:spacing w:after="0" w:line="213" w:lineRule="exact"/>
        <w:rPr>
          <w:sz w:val="20"/>
          <w:szCs w:val="20"/>
          <w:color w:val="auto"/>
        </w:rPr>
      </w:pPr>
    </w:p>
    <w:p>
      <w:pPr>
        <w:ind w:right="780"/>
        <w:spacing w:after="0" w:line="260" w:lineRule="auto"/>
        <w:rPr>
          <w:sz w:val="20"/>
          <w:szCs w:val="20"/>
          <w:color w:val="auto"/>
        </w:rPr>
      </w:pPr>
      <w:r>
        <w:rPr>
          <w:rFonts w:ascii="Arial" w:cs="Arial" w:eastAsia="Arial" w:hAnsi="Arial"/>
          <w:sz w:val="20"/>
          <w:szCs w:val="20"/>
          <w:color w:val="auto"/>
        </w:rPr>
        <w:t>At December 31, 2007, Sempra Pipelines &amp; Storage's operations in Mexico included 1,806 miles of distribution pipeline, 165 miles of transmission pipeline and two compressor stations.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Properties</w:t>
      </w:r>
    </w:p>
    <w:p>
      <w:pPr>
        <w:spacing w:after="0" w:line="249" w:lineRule="exact"/>
        <w:rPr>
          <w:sz w:val="20"/>
          <w:szCs w:val="20"/>
          <w:color w:val="auto"/>
        </w:rPr>
      </w:pPr>
    </w:p>
    <w:p>
      <w:pPr>
        <w:jc w:val="both"/>
        <w:ind w:right="320"/>
        <w:spacing w:after="0" w:line="250" w:lineRule="auto"/>
        <w:rPr>
          <w:sz w:val="20"/>
          <w:szCs w:val="20"/>
          <w:color w:val="auto"/>
        </w:rPr>
      </w:pPr>
      <w:r>
        <w:rPr>
          <w:rFonts w:ascii="Arial" w:cs="Arial" w:eastAsia="Arial" w:hAnsi="Arial"/>
          <w:sz w:val="20"/>
          <w:szCs w:val="20"/>
          <w:color w:val="auto"/>
        </w:rPr>
        <w:t>Sempra LNG is constructing an LNG receipt terminal on land it owns in Baja California, Mexico. Sempra LNG has a land lease where it is developing its Cameron LNG receipt terminal in Hackberry, Louisiana, and owns land in Jefferson County, Texas, to be used for a proposed Port Arthur LNG receipt terminal.</w:t>
      </w:r>
    </w:p>
    <w:p>
      <w:pPr>
        <w:spacing w:after="0" w:line="213" w:lineRule="exact"/>
        <w:rPr>
          <w:sz w:val="20"/>
          <w:szCs w:val="20"/>
          <w:color w:val="auto"/>
        </w:rPr>
      </w:pPr>
    </w:p>
    <w:p>
      <w:pPr>
        <w:ind w:right="140"/>
        <w:spacing w:after="0" w:line="246" w:lineRule="auto"/>
        <w:rPr>
          <w:sz w:val="20"/>
          <w:szCs w:val="20"/>
          <w:color w:val="auto"/>
        </w:rPr>
      </w:pPr>
      <w:r>
        <w:rPr>
          <w:rFonts w:ascii="Arial" w:cs="Arial" w:eastAsia="Arial" w:hAnsi="Arial"/>
          <w:sz w:val="20"/>
          <w:szCs w:val="20"/>
          <w:color w:val="auto"/>
        </w:rPr>
        <w:t>Sempra Pipelines &amp; Storage leases land in Calcasieu Parish, Louisiana, where its Liberty Gas Storage natural gas storage facility is under construction. In 2006, Sempra Pipelines &amp; Storage and Proliance Transportation and Storage, LLC acquired three existing salt caverns representing 10 Bcf to 12 Bcf of potential natural gas storage capacity and more than 150 acres of property in Cameron Parish, Louisiana, that is currently being developed into a natural gas storage facility.</w:t>
      </w:r>
    </w:p>
    <w:p>
      <w:pPr>
        <w:spacing w:after="0" w:line="219"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The 21-story corporate headquarters building at 101 Ash Street, San Diego, California, is occupied pursuant to an operating lease that expires in 2015. The lease has two separate five-year renewal options.</w:t>
      </w:r>
    </w:p>
    <w:p>
      <w:pPr>
        <w:spacing w:after="0" w:line="204"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SoCalGas leases approximately half of a 52-story office building in downtown Los Angeles through 2011. The operating lease has six five-year renewal options.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0"/>
          <w:szCs w:val="20"/>
          <w:color w:val="auto"/>
        </w:rPr>
        <w:t>28</w:t>
      </w:r>
    </w:p>
    <w:p>
      <w:pPr>
        <w:sectPr>
          <w:pgSz w:w="11900" w:h="16838" w:orient="portrait"/>
          <w:cols w:equalWidth="0" w:num="1">
            <w:col w:w="11420"/>
          </w:cols>
          <w:pgMar w:left="240" w:top="115" w:right="239" w:bottom="1440" w:gutter="0" w:footer="0" w:header="0"/>
        </w:sectPr>
      </w:pPr>
    </w:p>
    <w:bookmarkStart w:id="28" w:name="page29"/>
    <w:bookmarkEnd w:id="28"/>
    <w:p>
      <w:pPr>
        <w:spacing w:after="0" w:line="262" w:lineRule="auto"/>
        <w:rPr>
          <w:sz w:val="20"/>
          <w:szCs w:val="20"/>
          <w:color w:val="auto"/>
        </w:rPr>
      </w:pPr>
      <w:r>
        <w:rPr>
          <w:rFonts w:ascii="Arial" w:cs="Arial" w:eastAsia="Arial" w:hAnsi="Arial"/>
          <w:sz w:val="20"/>
          <w:szCs w:val="20"/>
          <w:color w:val="auto"/>
        </w:rPr>
        <w:t>SDG&amp;E occupies an office complex in San Diego pursuant to two separate operating leases, both ending in December 2017. One lease has four five-year renewal options and the other lease has three five-year renewal options.</w:t>
      </w:r>
    </w:p>
    <w:p>
      <w:pPr>
        <w:spacing w:after="0" w:line="201" w:lineRule="exact"/>
        <w:rPr>
          <w:sz w:val="20"/>
          <w:szCs w:val="20"/>
          <w:color w:val="auto"/>
        </w:rPr>
      </w:pPr>
    </w:p>
    <w:p>
      <w:pPr>
        <w:spacing w:after="0"/>
        <w:rPr>
          <w:sz w:val="20"/>
          <w:szCs w:val="20"/>
          <w:color w:val="auto"/>
        </w:rPr>
      </w:pPr>
      <w:r>
        <w:rPr>
          <w:rFonts w:ascii="Arial" w:cs="Arial" w:eastAsia="Arial" w:hAnsi="Arial"/>
          <w:sz w:val="19"/>
          <w:szCs w:val="19"/>
          <w:color w:val="auto"/>
        </w:rPr>
        <w:t>Sempra Global leases office facilities at various locations in the U.S., Mexico and Europe with the leases ending from 2008 to 2035.</w:t>
      </w:r>
    </w:p>
    <w:p>
      <w:pPr>
        <w:spacing w:after="0" w:line="254" w:lineRule="exact"/>
        <w:rPr>
          <w:sz w:val="20"/>
          <w:szCs w:val="20"/>
          <w:color w:val="auto"/>
        </w:rPr>
      </w:pPr>
    </w:p>
    <w:p>
      <w:pPr>
        <w:ind w:right="500"/>
        <w:spacing w:after="0" w:line="260" w:lineRule="auto"/>
        <w:rPr>
          <w:sz w:val="20"/>
          <w:szCs w:val="20"/>
          <w:color w:val="auto"/>
        </w:rPr>
      </w:pPr>
      <w:r>
        <w:rPr>
          <w:rFonts w:ascii="Arial" w:cs="Arial" w:eastAsia="Arial" w:hAnsi="Arial"/>
          <w:sz w:val="20"/>
          <w:szCs w:val="20"/>
          <w:color w:val="auto"/>
        </w:rPr>
        <w:t>The company owns or leases other land, easements, rights of way, warehouses, offices, operating and maintenance centers, shops, service facilities and equipment necessary in the conduct of its business.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3. LEGAL PROCEEDINGS</w:t>
      </w:r>
    </w:p>
    <w:p>
      <w:pPr>
        <w:spacing w:after="0" w:line="249" w:lineRule="exact"/>
        <w:rPr>
          <w:sz w:val="20"/>
          <w:szCs w:val="20"/>
          <w:color w:val="auto"/>
        </w:rPr>
      </w:pPr>
    </w:p>
    <w:p>
      <w:pPr>
        <w:ind w:right="260"/>
        <w:spacing w:after="0" w:line="250" w:lineRule="auto"/>
        <w:rPr>
          <w:sz w:val="20"/>
          <w:szCs w:val="20"/>
          <w:color w:val="auto"/>
        </w:rPr>
      </w:pPr>
      <w:r>
        <w:rPr>
          <w:rFonts w:ascii="Arial" w:cs="Arial" w:eastAsia="Arial" w:hAnsi="Arial"/>
          <w:sz w:val="20"/>
          <w:szCs w:val="20"/>
          <w:color w:val="auto"/>
        </w:rPr>
        <w:t>Except for the matters described in Notes 14, 15 and 16 of the Notes to Consolidated Financial Statements or referred to in "Management's Discussion and Analysis of Financial Condition and Results of Operations," neither the company nor its subsidiaries are party to, nor is their property the subject of, any material pending legal proceedings.</w:t>
      </w:r>
    </w:p>
    <w:p>
      <w:pPr>
        <w:spacing w:after="0" w:line="213" w:lineRule="exact"/>
        <w:rPr>
          <w:sz w:val="20"/>
          <w:szCs w:val="20"/>
          <w:color w:val="auto"/>
        </w:rPr>
      </w:pPr>
    </w:p>
    <w:p>
      <w:pPr>
        <w:ind w:right="40"/>
        <w:spacing w:after="0" w:line="244" w:lineRule="auto"/>
        <w:rPr>
          <w:sz w:val="20"/>
          <w:szCs w:val="20"/>
          <w:color w:val="auto"/>
        </w:rPr>
      </w:pPr>
      <w:r>
        <w:rPr>
          <w:rFonts w:ascii="Arial" w:cs="Arial" w:eastAsia="Arial" w:hAnsi="Arial"/>
          <w:sz w:val="20"/>
          <w:szCs w:val="20"/>
          <w:color w:val="auto"/>
        </w:rPr>
        <w:t>On July 13, 2007, SDG&amp;E, one of its employees, and an SDG&amp;E contractor were convicted in a federal jury trial on criminal charges of environmental violations in connection with the 2000 - 2001 dismantlement of a natural gas storage facility. SDG&amp;E was also convicted of a related charge of making a false statement to a government agency. SDG&amp;E is subject to a maximum fine of $2 million. On December 7, 2007, the trial court set aside all of the convictions and granted all of the defendants a new trial on all counts. The government has filed a notice of appeal.</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4. SUBMISSION OF MATTERS TO A VOTE OF SECURITY HOLDERS</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pacing w:after="0" w:line="200" w:lineRule="exact"/>
        <w:rPr>
          <w:sz w:val="20"/>
          <w:szCs w:val="20"/>
          <w:color w:val="auto"/>
        </w:rPr>
      </w:pPr>
    </w:p>
    <w:p>
      <w:pPr>
        <w:spacing w:after="0" w:line="280" w:lineRule="exact"/>
        <w:rPr>
          <w:sz w:val="20"/>
          <w:szCs w:val="20"/>
          <w:color w:val="auto"/>
        </w:rPr>
      </w:pPr>
    </w:p>
    <w:p>
      <w:pPr>
        <w:ind w:left="4980"/>
        <w:spacing w:after="0"/>
        <w:rPr>
          <w:sz w:val="20"/>
          <w:szCs w:val="20"/>
          <w:color w:val="auto"/>
        </w:rPr>
      </w:pPr>
      <w:r>
        <w:rPr>
          <w:rFonts w:ascii="Arial" w:cs="Arial" w:eastAsia="Arial" w:hAnsi="Arial"/>
          <w:sz w:val="20"/>
          <w:szCs w:val="20"/>
          <w:b w:val="1"/>
          <w:bCs w:val="1"/>
          <w:color w:val="auto"/>
        </w:rPr>
        <w:t>PART II</w:t>
      </w:r>
    </w:p>
    <w:p>
      <w:pPr>
        <w:spacing w:after="0" w:line="200" w:lineRule="exact"/>
        <w:rPr>
          <w:sz w:val="20"/>
          <w:szCs w:val="20"/>
          <w:color w:val="auto"/>
        </w:rPr>
      </w:pPr>
    </w:p>
    <w:p>
      <w:pPr>
        <w:spacing w:after="0" w:line="286" w:lineRule="exact"/>
        <w:rPr>
          <w:sz w:val="20"/>
          <w:szCs w:val="20"/>
          <w:color w:val="auto"/>
        </w:rPr>
      </w:pPr>
    </w:p>
    <w:p>
      <w:pPr>
        <w:ind w:right="1020"/>
        <w:spacing w:after="0" w:line="267" w:lineRule="auto"/>
        <w:rPr>
          <w:sz w:val="20"/>
          <w:szCs w:val="20"/>
          <w:color w:val="auto"/>
        </w:rPr>
      </w:pPr>
      <w:r>
        <w:rPr>
          <w:rFonts w:ascii="Arial" w:cs="Arial" w:eastAsia="Arial" w:hAnsi="Arial"/>
          <w:sz w:val="20"/>
          <w:szCs w:val="20"/>
          <w:b w:val="1"/>
          <w:bCs w:val="1"/>
          <w:color w:val="auto"/>
        </w:rPr>
        <w:t>ITEM 5. MARKET FOR REGISTRANT'S COMMON EQUITY, RELATED STOCKHOLDER MATTERS AND ISSUER PURCHASES OF EQUITY SECURITIES</w:t>
      </w:r>
    </w:p>
    <w:p>
      <w:pPr>
        <w:spacing w:after="0" w:line="197" w:lineRule="exact"/>
        <w:rPr>
          <w:sz w:val="20"/>
          <w:szCs w:val="20"/>
          <w:color w:val="auto"/>
        </w:rPr>
      </w:pPr>
    </w:p>
    <w:p>
      <w:pPr>
        <w:spacing w:after="0" w:line="269" w:lineRule="auto"/>
        <w:rPr>
          <w:sz w:val="20"/>
          <w:szCs w:val="20"/>
          <w:color w:val="auto"/>
        </w:rPr>
      </w:pPr>
      <w:r>
        <w:rPr>
          <w:rFonts w:ascii="Arial" w:cs="Arial" w:eastAsia="Arial" w:hAnsi="Arial"/>
          <w:sz w:val="19"/>
          <w:szCs w:val="19"/>
          <w:color w:val="auto"/>
        </w:rPr>
        <w:t>Sempra Energy common stock is traded on the New York Stock Exchange. At January 31, 2008, there were 48,000 record holders of the company's common stock. The quarterly common stock information required by Item 5 is included in the schedule of Quarterly Common Stock Data provided in "Management's Discussion and Analysis of Financial Condition and Results of Operations."</w:t>
      </w:r>
    </w:p>
    <w:p>
      <w:pPr>
        <w:spacing w:after="0" w:line="197" w:lineRule="exact"/>
        <w:rPr>
          <w:sz w:val="20"/>
          <w:szCs w:val="20"/>
          <w:color w:val="auto"/>
        </w:rPr>
      </w:pPr>
    </w:p>
    <w:p>
      <w:pPr>
        <w:ind w:right="260"/>
        <w:spacing w:after="0" w:line="260" w:lineRule="auto"/>
        <w:rPr>
          <w:sz w:val="20"/>
          <w:szCs w:val="20"/>
          <w:color w:val="auto"/>
        </w:rPr>
      </w:pPr>
      <w:r>
        <w:rPr>
          <w:rFonts w:ascii="Arial" w:cs="Arial" w:eastAsia="Arial" w:hAnsi="Arial"/>
          <w:sz w:val="20"/>
          <w:szCs w:val="20"/>
          <w:color w:val="auto"/>
        </w:rPr>
        <w:t>The information required by Item 5 concerning dividend declarations is included in the "Statements of Consolidated Comprehensive Income and Changes in Shareholders' Equity" set forth in Item 8 of the 2007 Annual Report to Shareholders.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Dividend Restrictions</w:t>
      </w:r>
    </w:p>
    <w:p>
      <w:pPr>
        <w:spacing w:after="0" w:line="249" w:lineRule="exact"/>
        <w:rPr>
          <w:sz w:val="20"/>
          <w:szCs w:val="20"/>
          <w:color w:val="auto"/>
        </w:rPr>
      </w:pPr>
    </w:p>
    <w:p>
      <w:pPr>
        <w:ind w:right="140"/>
        <w:spacing w:after="0" w:line="246" w:lineRule="auto"/>
        <w:rPr>
          <w:sz w:val="20"/>
          <w:szCs w:val="20"/>
          <w:color w:val="auto"/>
        </w:rPr>
      </w:pPr>
      <w:r>
        <w:rPr>
          <w:rFonts w:ascii="Arial" w:cs="Arial" w:eastAsia="Arial" w:hAnsi="Arial"/>
          <w:sz w:val="20"/>
          <w:szCs w:val="20"/>
          <w:color w:val="auto"/>
        </w:rPr>
        <w:t>The payment and amount of future dividends are within the discretion of the company's board of directors. The CPUC's regulation of the Sempra Utilities' capital structure limits the amounts that are available for loans and dividends to the company from the Sempra Utilities. Additional information regarding these restrictions is provided in "Management's Discussion and Analysis of Financial Condition and Results of Operations" under "Capital Resources and Liquidity – Dividends."</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20"/>
          <w:szCs w:val="20"/>
          <w:color w:val="auto"/>
        </w:rPr>
        <w:t>29</w:t>
      </w:r>
    </w:p>
    <w:p>
      <w:pPr>
        <w:sectPr>
          <w:pgSz w:w="11900" w:h="16838" w:orient="portrait"/>
          <w:cols w:equalWidth="0" w:num="1">
            <w:col w:w="11400"/>
          </w:cols>
          <w:pgMar w:left="240" w:top="121" w:right="259" w:bottom="1440" w:gutter="0" w:footer="0" w:header="0"/>
        </w:sectPr>
      </w:pPr>
    </w:p>
    <w:bookmarkStart w:id="29" w:name="page30"/>
    <w:bookmarkEnd w:id="29"/>
    <w:p>
      <w:pPr>
        <w:spacing w:after="0"/>
        <w:rPr>
          <w:sz w:val="20"/>
          <w:szCs w:val="20"/>
          <w:color w:val="auto"/>
        </w:rPr>
      </w:pPr>
      <w:r>
        <w:rPr>
          <w:rFonts w:ascii="Arial" w:cs="Arial" w:eastAsia="Arial" w:hAnsi="Arial"/>
          <w:sz w:val="20"/>
          <w:szCs w:val="20"/>
          <w:b w:val="1"/>
          <w:bCs w:val="1"/>
          <w:color w:val="auto"/>
        </w:rPr>
        <w:t>Performance Graph -- Comparative Total Shareholder Returns</w:t>
      </w:r>
    </w:p>
    <w:p>
      <w:pPr>
        <w:spacing w:after="0" w:line="249" w:lineRule="exact"/>
        <w:rPr>
          <w:sz w:val="20"/>
          <w:szCs w:val="20"/>
          <w:color w:val="auto"/>
        </w:rPr>
      </w:pPr>
    </w:p>
    <w:p>
      <w:pPr>
        <w:ind w:right="600"/>
        <w:spacing w:after="0" w:line="260" w:lineRule="auto"/>
        <w:rPr>
          <w:sz w:val="20"/>
          <w:szCs w:val="20"/>
          <w:color w:val="auto"/>
        </w:rPr>
      </w:pPr>
      <w:r>
        <w:rPr>
          <w:rFonts w:ascii="Arial" w:cs="Arial" w:eastAsia="Arial" w:hAnsi="Arial"/>
          <w:sz w:val="20"/>
          <w:szCs w:val="20"/>
          <w:color w:val="auto"/>
        </w:rPr>
        <w:t>The performance graph required by Item 5 is provided in "Management's Discussion and Analysis of Financial Condition and 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Equity Compensation Plans</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The equity compensation plan information required by Item 5 is incorporated by reference from "Proposals To Be Voted On - Proposal 3:</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Approval of 2008 Long Term Incentive Plan" in the Proxy Statement prepared for the May 2008 annual meeting of shareholders.</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Additional discussion of stock-based compensation is provided in Note 10 of the Notes to Consolidated Financial Statements.</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Unregistered Sales of Equity Securities and Use of Proceeds</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Purchases of Equity Securities:</w:t>
      </w:r>
    </w:p>
    <w:p>
      <w:pPr>
        <w:spacing w:after="0" w:line="243" w:lineRule="exact"/>
        <w:rPr>
          <w:sz w:val="20"/>
          <w:szCs w:val="20"/>
          <w:color w:val="auto"/>
        </w:rPr>
      </w:pPr>
    </w:p>
    <w:p>
      <w:pPr>
        <w:ind w:right="820"/>
        <w:spacing w:after="0" w:line="287" w:lineRule="auto"/>
        <w:rPr>
          <w:sz w:val="20"/>
          <w:szCs w:val="20"/>
          <w:color w:val="auto"/>
        </w:rPr>
      </w:pPr>
      <w:r>
        <w:rPr>
          <w:rFonts w:ascii="Arial" w:cs="Arial" w:eastAsia="Arial" w:hAnsi="Arial"/>
          <w:sz w:val="19"/>
          <w:szCs w:val="19"/>
          <w:color w:val="auto"/>
        </w:rPr>
        <w:t>On April 6, 2005, the board of directors authorized the expenditure of up to $250 million for the purchase of shares of common stock, substantially all of which has been utilized for the repurchase of 5,232,630 shares through September 2007.</w:t>
      </w:r>
    </w:p>
    <w:p>
      <w:pPr>
        <w:spacing w:after="0" w:line="180"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On September 11, 2007, the board of directors authorized the repurchase of additional shares of the company's common stock provided that the amounts expended for such purposes do not exceed the greater of $2 billion or amounts expended to purchase no more than 40 million shares. Purchases may include open market and negotiated transactions, structured purchase arrangements and tender offers. After the completion of the joint venture transaction with RBS, the company intends to begin a $1 billion purchase program of the company's common stock. Following the expected completion of this purchase program in 2008, the company intends to continue purchasing common shares in 2009, up to a total of $1.5 billion to $2 billion in purchases.</w:t>
      </w:r>
    </w:p>
    <w:p>
      <w:pPr>
        <w:spacing w:after="0" w:line="224" w:lineRule="exact"/>
        <w:rPr>
          <w:sz w:val="20"/>
          <w:szCs w:val="20"/>
          <w:color w:val="auto"/>
        </w:rPr>
      </w:pPr>
    </w:p>
    <w:p>
      <w:pPr>
        <w:ind w:right="100"/>
        <w:spacing w:after="0" w:line="260" w:lineRule="auto"/>
        <w:rPr>
          <w:sz w:val="20"/>
          <w:szCs w:val="20"/>
          <w:color w:val="auto"/>
        </w:rPr>
      </w:pPr>
      <w:r>
        <w:rPr>
          <w:rFonts w:ascii="Arial" w:cs="Arial" w:eastAsia="Arial" w:hAnsi="Arial"/>
          <w:sz w:val="20"/>
          <w:szCs w:val="20"/>
          <w:color w:val="auto"/>
        </w:rPr>
        <w:t>In addition to the programs discussed above, the company may, from time to time, repurchase shares of its common stock from restricted stock program participants who elect to sell enough shares to meet minimum statutory tax withholding requirements.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On December 31, 2007, the company purchased 374,820 shares, at a price of $62.12 per share, from restricted stock program participants.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color w:val="auto"/>
        </w:rPr>
        <w:t>30</w:t>
      </w:r>
    </w:p>
    <w:p>
      <w:pPr>
        <w:sectPr>
          <w:pgSz w:w="11900" w:h="16838" w:orient="portrait"/>
          <w:cols w:equalWidth="0" w:num="1">
            <w:col w:w="11420"/>
          </w:cols>
          <w:pgMar w:left="240" w:top="360" w:right="239" w:bottom="1440" w:gutter="0" w:footer="0" w:header="0"/>
        </w:sectPr>
      </w:pPr>
    </w:p>
    <w:bookmarkStart w:id="30" w:name="page31"/>
    <w:bookmarkEnd w:id="30"/>
    <w:p>
      <w:pPr>
        <w:spacing w:after="0"/>
        <w:rPr>
          <w:sz w:val="20"/>
          <w:szCs w:val="20"/>
          <w:color w:val="auto"/>
        </w:rPr>
      </w:pPr>
      <w:r>
        <w:rPr>
          <w:rFonts w:ascii="Arial" w:cs="Arial" w:eastAsia="Arial" w:hAnsi="Arial"/>
          <w:sz w:val="20"/>
          <w:szCs w:val="20"/>
          <w:b w:val="1"/>
          <w:bCs w:val="1"/>
          <w:color w:val="auto"/>
        </w:rPr>
        <w:t>ITEM 6. SELECTED FINANCIAL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720" w:type="dxa"/>
        <w:tblCellMar>
          <w:top w:w="0" w:type="dxa"/>
          <w:left w:w="0" w:type="dxa"/>
          <w:bottom w:w="0" w:type="dxa"/>
          <w:right w:w="0" w:type="dxa"/>
        </w:tblCellMar>
      </w:tblPr>
      <w:tr>
        <w:trPr>
          <w:trHeight w:val="237"/>
        </w:trPr>
        <w:tc>
          <w:tcPr>
            <w:tcW w:w="37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3560" w:type="dxa"/>
            <w:vAlign w:val="bottom"/>
            <w:tcBorders>
              <w:bottom w:val="single" w:sz="8" w:color="auto"/>
            </w:tcBorders>
            <w:gridSpan w:val="6"/>
          </w:tcPr>
          <w:p>
            <w:pPr>
              <w:jc w:val="right"/>
              <w:ind w:right="150"/>
              <w:spacing w:after="0"/>
              <w:rPr>
                <w:sz w:val="20"/>
                <w:szCs w:val="20"/>
                <w:color w:val="auto"/>
              </w:rPr>
            </w:pPr>
            <w:r>
              <w:rPr>
                <w:rFonts w:ascii="Arial" w:cs="Arial" w:eastAsia="Arial" w:hAnsi="Arial"/>
                <w:sz w:val="18"/>
                <w:szCs w:val="18"/>
                <w:color w:val="auto"/>
                <w:w w:val="92"/>
              </w:rPr>
              <w:t>At December 31, or for the years then ended</w:t>
            </w:r>
          </w:p>
        </w:tc>
        <w:tc>
          <w:tcPr>
            <w:tcW w:w="3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r>
      <w:tr>
        <w:trPr>
          <w:trHeight w:val="237"/>
        </w:trPr>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(Dollars in millions, except per share amounts)</w:t>
            </w: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2007</w:t>
            </w:r>
          </w:p>
        </w:tc>
        <w:tc>
          <w:tcPr>
            <w:tcW w:w="4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2006</w:t>
            </w:r>
          </w:p>
        </w:tc>
        <w:tc>
          <w:tcPr>
            <w:tcW w:w="4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2005</w:t>
            </w:r>
          </w:p>
        </w:tc>
        <w:tc>
          <w:tcPr>
            <w:tcW w:w="4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2004</w:t>
            </w:r>
          </w:p>
        </w:tc>
        <w:tc>
          <w:tcPr>
            <w:tcW w:w="3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2003</w:t>
            </w: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Income Statement Data:</w:t>
            </w: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42"/>
        </w:trPr>
        <w:tc>
          <w:tcPr>
            <w:tcW w:w="3780" w:type="dxa"/>
            <w:vAlign w:val="bottom"/>
          </w:tcPr>
          <w:p>
            <w:pPr>
              <w:ind w:left="260"/>
              <w:spacing w:after="0"/>
              <w:rPr>
                <w:sz w:val="20"/>
                <w:szCs w:val="20"/>
                <w:color w:val="auto"/>
              </w:rPr>
            </w:pPr>
            <w:r>
              <w:rPr>
                <w:rFonts w:ascii="Arial" w:cs="Arial" w:eastAsia="Arial" w:hAnsi="Arial"/>
                <w:sz w:val="18"/>
                <w:szCs w:val="18"/>
                <w:color w:val="auto"/>
              </w:rPr>
              <w:t>Operating revenues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70"/>
              <w:spacing w:after="0"/>
              <w:rPr>
                <w:sz w:val="20"/>
                <w:szCs w:val="20"/>
                <w:color w:val="auto"/>
              </w:rPr>
            </w:pPr>
            <w:r>
              <w:rPr>
                <w:rFonts w:ascii="Arial" w:cs="Arial" w:eastAsia="Arial" w:hAnsi="Arial"/>
                <w:sz w:val="18"/>
                <w:szCs w:val="18"/>
                <w:color w:val="auto"/>
              </w:rPr>
              <w:t>11,438</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70"/>
              <w:spacing w:after="0"/>
              <w:rPr>
                <w:sz w:val="20"/>
                <w:szCs w:val="20"/>
                <w:color w:val="auto"/>
              </w:rPr>
            </w:pPr>
            <w:r>
              <w:rPr>
                <w:rFonts w:ascii="Arial" w:cs="Arial" w:eastAsia="Arial" w:hAnsi="Arial"/>
                <w:sz w:val="18"/>
                <w:szCs w:val="18"/>
                <w:color w:val="auto"/>
              </w:rPr>
              <w:t>11,761</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90"/>
              <w:spacing w:after="0"/>
              <w:rPr>
                <w:sz w:val="20"/>
                <w:szCs w:val="20"/>
                <w:color w:val="auto"/>
              </w:rPr>
            </w:pPr>
            <w:r>
              <w:rPr>
                <w:rFonts w:ascii="Arial" w:cs="Arial" w:eastAsia="Arial" w:hAnsi="Arial"/>
                <w:sz w:val="18"/>
                <w:szCs w:val="18"/>
                <w:color w:val="auto"/>
              </w:rPr>
              <w:t>11,512</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9,234</w:t>
            </w:r>
          </w:p>
        </w:tc>
        <w:tc>
          <w:tcPr>
            <w:tcW w:w="360" w:type="dxa"/>
            <w:vAlign w:val="bottom"/>
          </w:tcPr>
          <w:p>
            <w:pPr>
              <w:spacing w:after="0"/>
              <w:rPr>
                <w:sz w:val="21"/>
                <w:szCs w:val="21"/>
                <w:color w:val="auto"/>
              </w:rPr>
            </w:pP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90"/>
              <w:spacing w:after="0"/>
              <w:rPr>
                <w:sz w:val="20"/>
                <w:szCs w:val="20"/>
                <w:color w:val="auto"/>
              </w:rPr>
            </w:pPr>
            <w:r>
              <w:rPr>
                <w:rFonts w:ascii="Arial" w:cs="Arial" w:eastAsia="Arial" w:hAnsi="Arial"/>
                <w:sz w:val="18"/>
                <w:szCs w:val="18"/>
                <w:color w:val="auto"/>
              </w:rPr>
              <w:t>7,697</w:t>
            </w:r>
          </w:p>
        </w:tc>
      </w:tr>
      <w:tr>
        <w:trPr>
          <w:trHeight w:val="243"/>
        </w:trPr>
        <w:tc>
          <w:tcPr>
            <w:tcW w:w="3780" w:type="dxa"/>
            <w:vAlign w:val="bottom"/>
          </w:tcPr>
          <w:p>
            <w:pPr>
              <w:ind w:left="260"/>
              <w:spacing w:after="0"/>
              <w:rPr>
                <w:sz w:val="20"/>
                <w:szCs w:val="20"/>
                <w:color w:val="auto"/>
              </w:rPr>
            </w:pPr>
            <w:r>
              <w:rPr>
                <w:rFonts w:ascii="Arial" w:cs="Arial" w:eastAsia="Arial" w:hAnsi="Arial"/>
                <w:sz w:val="18"/>
                <w:szCs w:val="18"/>
                <w:color w:val="auto"/>
              </w:rPr>
              <w:t>Operating income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70"/>
              <w:spacing w:after="0"/>
              <w:rPr>
                <w:sz w:val="20"/>
                <w:szCs w:val="20"/>
                <w:color w:val="auto"/>
              </w:rPr>
            </w:pPr>
            <w:r>
              <w:rPr>
                <w:rFonts w:ascii="Arial" w:cs="Arial" w:eastAsia="Arial" w:hAnsi="Arial"/>
                <w:sz w:val="18"/>
                <w:szCs w:val="18"/>
                <w:color w:val="auto"/>
              </w:rPr>
              <w:t>1,679</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70"/>
              <w:spacing w:after="0"/>
              <w:rPr>
                <w:sz w:val="20"/>
                <w:szCs w:val="20"/>
                <w:color w:val="auto"/>
              </w:rPr>
            </w:pPr>
            <w:r>
              <w:rPr>
                <w:rFonts w:ascii="Arial" w:cs="Arial" w:eastAsia="Arial" w:hAnsi="Arial"/>
                <w:sz w:val="18"/>
                <w:szCs w:val="18"/>
                <w:color w:val="auto"/>
              </w:rPr>
              <w:t>1,785</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90"/>
              <w:spacing w:after="0"/>
              <w:rPr>
                <w:sz w:val="20"/>
                <w:szCs w:val="20"/>
                <w:color w:val="auto"/>
              </w:rPr>
            </w:pPr>
            <w:r>
              <w:rPr>
                <w:rFonts w:ascii="Arial" w:cs="Arial" w:eastAsia="Arial" w:hAnsi="Arial"/>
                <w:sz w:val="18"/>
                <w:szCs w:val="18"/>
                <w:color w:val="auto"/>
              </w:rPr>
              <w:t>1,089</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1,272</w:t>
            </w:r>
          </w:p>
        </w:tc>
        <w:tc>
          <w:tcPr>
            <w:tcW w:w="360" w:type="dxa"/>
            <w:vAlign w:val="bottom"/>
          </w:tcPr>
          <w:p>
            <w:pPr>
              <w:spacing w:after="0"/>
              <w:rPr>
                <w:sz w:val="21"/>
                <w:szCs w:val="21"/>
                <w:color w:val="auto"/>
              </w:rPr>
            </w:pP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90"/>
              <w:spacing w:after="0"/>
              <w:rPr>
                <w:sz w:val="20"/>
                <w:szCs w:val="20"/>
                <w:color w:val="auto"/>
              </w:rPr>
            </w:pPr>
            <w:r>
              <w:rPr>
                <w:rFonts w:ascii="Arial" w:cs="Arial" w:eastAsia="Arial" w:hAnsi="Arial"/>
                <w:sz w:val="18"/>
                <w:szCs w:val="18"/>
                <w:color w:val="auto"/>
              </w:rPr>
              <w:t>1,012</w:t>
            </w:r>
          </w:p>
        </w:tc>
      </w:tr>
      <w:tr>
        <w:trPr>
          <w:trHeight w:val="472"/>
        </w:trPr>
        <w:tc>
          <w:tcPr>
            <w:tcW w:w="3780" w:type="dxa"/>
            <w:vAlign w:val="bottom"/>
          </w:tcPr>
          <w:p>
            <w:pPr>
              <w:ind w:left="260"/>
              <w:spacing w:after="0"/>
              <w:rPr>
                <w:sz w:val="20"/>
                <w:szCs w:val="20"/>
                <w:color w:val="auto"/>
              </w:rPr>
            </w:pPr>
            <w:r>
              <w:rPr>
                <w:rFonts w:ascii="Arial" w:cs="Arial" w:eastAsia="Arial" w:hAnsi="Arial"/>
                <w:sz w:val="18"/>
                <w:szCs w:val="18"/>
                <w:color w:val="auto"/>
              </w:rPr>
              <w:t>Income from continuing operations before</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16"/>
        </w:trPr>
        <w:tc>
          <w:tcPr>
            <w:tcW w:w="3780" w:type="dxa"/>
            <w:vAlign w:val="bottom"/>
          </w:tcPr>
          <w:p>
            <w:pPr>
              <w:ind w:left="380"/>
              <w:spacing w:after="0"/>
              <w:rPr>
                <w:sz w:val="20"/>
                <w:szCs w:val="20"/>
                <w:color w:val="auto"/>
              </w:rPr>
            </w:pPr>
            <w:r>
              <w:rPr>
                <w:rFonts w:ascii="Arial" w:cs="Arial" w:eastAsia="Arial" w:hAnsi="Arial"/>
                <w:sz w:val="18"/>
                <w:szCs w:val="18"/>
                <w:color w:val="auto"/>
              </w:rPr>
              <w:t>cumulative effect of changes in</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0"/>
        </w:trPr>
        <w:tc>
          <w:tcPr>
            <w:tcW w:w="3780" w:type="dxa"/>
            <w:vAlign w:val="bottom"/>
          </w:tcPr>
          <w:p>
            <w:pPr>
              <w:ind w:left="380"/>
              <w:spacing w:after="0"/>
              <w:rPr>
                <w:sz w:val="20"/>
                <w:szCs w:val="20"/>
                <w:color w:val="auto"/>
              </w:rPr>
            </w:pPr>
            <w:r>
              <w:rPr>
                <w:rFonts w:ascii="Arial" w:cs="Arial" w:eastAsia="Arial" w:hAnsi="Arial"/>
                <w:sz w:val="18"/>
                <w:szCs w:val="18"/>
                <w:color w:val="auto"/>
              </w:rPr>
              <w:t>accounting principles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70"/>
              <w:spacing w:after="0"/>
              <w:rPr>
                <w:sz w:val="20"/>
                <w:szCs w:val="20"/>
                <w:color w:val="auto"/>
              </w:rPr>
            </w:pPr>
            <w:r>
              <w:rPr>
                <w:rFonts w:ascii="Arial" w:cs="Arial" w:eastAsia="Arial" w:hAnsi="Arial"/>
                <w:sz w:val="18"/>
                <w:szCs w:val="18"/>
                <w:color w:val="auto"/>
              </w:rPr>
              <w:t>1,125</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70"/>
              <w:spacing w:after="0"/>
              <w:rPr>
                <w:sz w:val="20"/>
                <w:szCs w:val="20"/>
                <w:color w:val="auto"/>
              </w:rPr>
            </w:pPr>
            <w:r>
              <w:rPr>
                <w:rFonts w:ascii="Arial" w:cs="Arial" w:eastAsia="Arial" w:hAnsi="Arial"/>
                <w:sz w:val="18"/>
                <w:szCs w:val="18"/>
                <w:color w:val="auto"/>
              </w:rPr>
              <w:t>1,091</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90"/>
              <w:spacing w:after="0"/>
              <w:rPr>
                <w:sz w:val="20"/>
                <w:szCs w:val="20"/>
                <w:color w:val="auto"/>
              </w:rPr>
            </w:pPr>
            <w:r>
              <w:rPr>
                <w:rFonts w:ascii="Arial" w:cs="Arial" w:eastAsia="Arial" w:hAnsi="Arial"/>
                <w:sz w:val="18"/>
                <w:szCs w:val="18"/>
                <w:color w:val="auto"/>
              </w:rPr>
              <w:t>913</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915</w:t>
            </w:r>
          </w:p>
        </w:tc>
        <w:tc>
          <w:tcPr>
            <w:tcW w:w="360" w:type="dxa"/>
            <w:vAlign w:val="bottom"/>
          </w:tcPr>
          <w:p>
            <w:pPr>
              <w:spacing w:after="0"/>
              <w:rPr>
                <w:sz w:val="20"/>
                <w:szCs w:val="20"/>
                <w:color w:val="auto"/>
              </w:rPr>
            </w:pP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90"/>
              <w:spacing w:after="0"/>
              <w:rPr>
                <w:sz w:val="20"/>
                <w:szCs w:val="20"/>
                <w:color w:val="auto"/>
              </w:rPr>
            </w:pPr>
            <w:r>
              <w:rPr>
                <w:rFonts w:ascii="Arial" w:cs="Arial" w:eastAsia="Arial" w:hAnsi="Arial"/>
                <w:sz w:val="18"/>
                <w:szCs w:val="18"/>
                <w:color w:val="auto"/>
              </w:rPr>
              <w:t>745</w:t>
            </w:r>
          </w:p>
        </w:tc>
      </w:tr>
      <w:tr>
        <w:trPr>
          <w:trHeight w:val="243"/>
        </w:trPr>
        <w:tc>
          <w:tcPr>
            <w:tcW w:w="3780" w:type="dxa"/>
            <w:vAlign w:val="bottom"/>
          </w:tcPr>
          <w:p>
            <w:pPr>
              <w:ind w:left="260"/>
              <w:spacing w:after="0"/>
              <w:rPr>
                <w:sz w:val="20"/>
                <w:szCs w:val="20"/>
                <w:color w:val="auto"/>
              </w:rPr>
            </w:pPr>
            <w:r>
              <w:rPr>
                <w:rFonts w:ascii="Arial" w:cs="Arial" w:eastAsia="Arial" w:hAnsi="Arial"/>
                <w:sz w:val="18"/>
                <w:szCs w:val="18"/>
                <w:color w:val="auto"/>
              </w:rPr>
              <w:t>Net income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70"/>
              <w:spacing w:after="0"/>
              <w:rPr>
                <w:sz w:val="20"/>
                <w:szCs w:val="20"/>
                <w:color w:val="auto"/>
              </w:rPr>
            </w:pPr>
            <w:r>
              <w:rPr>
                <w:rFonts w:ascii="Arial" w:cs="Arial" w:eastAsia="Arial" w:hAnsi="Arial"/>
                <w:sz w:val="18"/>
                <w:szCs w:val="18"/>
                <w:color w:val="auto"/>
              </w:rPr>
              <w:t>1,099</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70"/>
              <w:spacing w:after="0"/>
              <w:rPr>
                <w:sz w:val="20"/>
                <w:szCs w:val="20"/>
                <w:color w:val="auto"/>
              </w:rPr>
            </w:pPr>
            <w:r>
              <w:rPr>
                <w:rFonts w:ascii="Arial" w:cs="Arial" w:eastAsia="Arial" w:hAnsi="Arial"/>
                <w:sz w:val="18"/>
                <w:szCs w:val="18"/>
                <w:color w:val="auto"/>
              </w:rPr>
              <w:t>1,406</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90"/>
              <w:spacing w:after="0"/>
              <w:rPr>
                <w:sz w:val="20"/>
                <w:szCs w:val="20"/>
                <w:color w:val="auto"/>
              </w:rPr>
            </w:pPr>
            <w:r>
              <w:rPr>
                <w:rFonts w:ascii="Arial" w:cs="Arial" w:eastAsia="Arial" w:hAnsi="Arial"/>
                <w:sz w:val="18"/>
                <w:szCs w:val="18"/>
                <w:color w:val="auto"/>
              </w:rPr>
              <w:t>920</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895</w:t>
            </w:r>
          </w:p>
        </w:tc>
        <w:tc>
          <w:tcPr>
            <w:tcW w:w="360" w:type="dxa"/>
            <w:vAlign w:val="bottom"/>
          </w:tcPr>
          <w:p>
            <w:pPr>
              <w:spacing w:after="0"/>
              <w:rPr>
                <w:sz w:val="21"/>
                <w:szCs w:val="21"/>
                <w:color w:val="auto"/>
              </w:rPr>
            </w:pP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90"/>
              <w:spacing w:after="0"/>
              <w:rPr>
                <w:sz w:val="20"/>
                <w:szCs w:val="20"/>
                <w:color w:val="auto"/>
              </w:rPr>
            </w:pPr>
            <w:r>
              <w:rPr>
                <w:rFonts w:ascii="Arial" w:cs="Arial" w:eastAsia="Arial" w:hAnsi="Arial"/>
                <w:sz w:val="18"/>
                <w:szCs w:val="18"/>
                <w:color w:val="auto"/>
              </w:rPr>
              <w:t>649</w:t>
            </w:r>
          </w:p>
        </w:tc>
      </w:tr>
      <w:tr>
        <w:trPr>
          <w:trHeight w:val="486"/>
        </w:trPr>
        <w:tc>
          <w:tcPr>
            <w:tcW w:w="3780" w:type="dxa"/>
            <w:vAlign w:val="bottom"/>
          </w:tcPr>
          <w:p>
            <w:pPr>
              <w:spacing w:after="0"/>
              <w:rPr>
                <w:sz w:val="20"/>
                <w:szCs w:val="20"/>
                <w:color w:val="auto"/>
              </w:rPr>
            </w:pPr>
            <w:r>
              <w:rPr>
                <w:rFonts w:ascii="Arial" w:cs="Arial" w:eastAsia="Arial" w:hAnsi="Arial"/>
                <w:sz w:val="18"/>
                <w:szCs w:val="18"/>
                <w:color w:val="auto"/>
              </w:rPr>
              <w:t>Balance Sheet Data:</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43"/>
        </w:trPr>
        <w:tc>
          <w:tcPr>
            <w:tcW w:w="3780" w:type="dxa"/>
            <w:vAlign w:val="bottom"/>
          </w:tcPr>
          <w:p>
            <w:pPr>
              <w:ind w:left="260"/>
              <w:spacing w:after="0"/>
              <w:rPr>
                <w:sz w:val="20"/>
                <w:szCs w:val="20"/>
                <w:color w:val="auto"/>
              </w:rPr>
            </w:pPr>
            <w:r>
              <w:rPr>
                <w:rFonts w:ascii="Arial" w:cs="Arial" w:eastAsia="Arial" w:hAnsi="Arial"/>
                <w:sz w:val="18"/>
                <w:szCs w:val="18"/>
                <w:color w:val="auto"/>
              </w:rPr>
              <w:t>Total assets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70"/>
              <w:spacing w:after="0"/>
              <w:rPr>
                <w:sz w:val="20"/>
                <w:szCs w:val="20"/>
                <w:color w:val="auto"/>
              </w:rPr>
            </w:pPr>
            <w:r>
              <w:rPr>
                <w:rFonts w:ascii="Arial" w:cs="Arial" w:eastAsia="Arial" w:hAnsi="Arial"/>
                <w:sz w:val="18"/>
                <w:szCs w:val="18"/>
                <w:color w:val="auto"/>
              </w:rPr>
              <w:t>30,091</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70"/>
              <w:spacing w:after="0"/>
              <w:rPr>
                <w:sz w:val="20"/>
                <w:szCs w:val="20"/>
                <w:color w:val="auto"/>
              </w:rPr>
            </w:pPr>
            <w:r>
              <w:rPr>
                <w:rFonts w:ascii="Arial" w:cs="Arial" w:eastAsia="Arial" w:hAnsi="Arial"/>
                <w:sz w:val="18"/>
                <w:szCs w:val="18"/>
                <w:color w:val="auto"/>
              </w:rPr>
              <w:t>28,949</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90"/>
              <w:spacing w:after="0"/>
              <w:rPr>
                <w:sz w:val="20"/>
                <w:szCs w:val="20"/>
                <w:color w:val="auto"/>
              </w:rPr>
            </w:pPr>
            <w:r>
              <w:rPr>
                <w:rFonts w:ascii="Arial" w:cs="Arial" w:eastAsia="Arial" w:hAnsi="Arial"/>
                <w:sz w:val="18"/>
                <w:szCs w:val="18"/>
                <w:color w:val="auto"/>
              </w:rPr>
              <w:t>29,246</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23,847</w:t>
            </w:r>
          </w:p>
        </w:tc>
        <w:tc>
          <w:tcPr>
            <w:tcW w:w="360" w:type="dxa"/>
            <w:vAlign w:val="bottom"/>
          </w:tcPr>
          <w:p>
            <w:pPr>
              <w:spacing w:after="0"/>
              <w:rPr>
                <w:sz w:val="21"/>
                <w:szCs w:val="21"/>
                <w:color w:val="auto"/>
              </w:rPr>
            </w:pP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90"/>
              <w:spacing w:after="0"/>
              <w:rPr>
                <w:sz w:val="20"/>
                <w:szCs w:val="20"/>
                <w:color w:val="auto"/>
              </w:rPr>
            </w:pPr>
            <w:r>
              <w:rPr>
                <w:rFonts w:ascii="Arial" w:cs="Arial" w:eastAsia="Arial" w:hAnsi="Arial"/>
                <w:sz w:val="18"/>
                <w:szCs w:val="18"/>
                <w:color w:val="auto"/>
              </w:rPr>
              <w:t>22,053</w:t>
            </w:r>
          </w:p>
        </w:tc>
      </w:tr>
      <w:tr>
        <w:trPr>
          <w:trHeight w:val="243"/>
        </w:trPr>
        <w:tc>
          <w:tcPr>
            <w:tcW w:w="3780" w:type="dxa"/>
            <w:vAlign w:val="bottom"/>
          </w:tcPr>
          <w:p>
            <w:pPr>
              <w:ind w:left="260"/>
              <w:spacing w:after="0"/>
              <w:rPr>
                <w:sz w:val="20"/>
                <w:szCs w:val="20"/>
                <w:color w:val="auto"/>
              </w:rPr>
            </w:pPr>
            <w:r>
              <w:rPr>
                <w:rFonts w:ascii="Arial" w:cs="Arial" w:eastAsia="Arial" w:hAnsi="Arial"/>
                <w:sz w:val="18"/>
                <w:szCs w:val="18"/>
                <w:color w:val="auto"/>
              </w:rPr>
              <w:t>Long-term debt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70"/>
              <w:spacing w:after="0"/>
              <w:rPr>
                <w:sz w:val="20"/>
                <w:szCs w:val="20"/>
                <w:color w:val="auto"/>
              </w:rPr>
            </w:pPr>
            <w:r>
              <w:rPr>
                <w:rFonts w:ascii="Arial" w:cs="Arial" w:eastAsia="Arial" w:hAnsi="Arial"/>
                <w:sz w:val="18"/>
                <w:szCs w:val="18"/>
                <w:color w:val="auto"/>
              </w:rPr>
              <w:t>4,553</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70"/>
              <w:spacing w:after="0"/>
              <w:rPr>
                <w:sz w:val="20"/>
                <w:szCs w:val="20"/>
                <w:color w:val="auto"/>
              </w:rPr>
            </w:pPr>
            <w:r>
              <w:rPr>
                <w:rFonts w:ascii="Arial" w:cs="Arial" w:eastAsia="Arial" w:hAnsi="Arial"/>
                <w:sz w:val="18"/>
                <w:szCs w:val="18"/>
                <w:color w:val="auto"/>
              </w:rPr>
              <w:t>4,525</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90"/>
              <w:spacing w:after="0"/>
              <w:rPr>
                <w:sz w:val="20"/>
                <w:szCs w:val="20"/>
                <w:color w:val="auto"/>
              </w:rPr>
            </w:pPr>
            <w:r>
              <w:rPr>
                <w:rFonts w:ascii="Arial" w:cs="Arial" w:eastAsia="Arial" w:hAnsi="Arial"/>
                <w:sz w:val="18"/>
                <w:szCs w:val="18"/>
                <w:color w:val="auto"/>
              </w:rPr>
              <w:t>4,815</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4,182</w:t>
            </w:r>
          </w:p>
        </w:tc>
        <w:tc>
          <w:tcPr>
            <w:tcW w:w="360" w:type="dxa"/>
            <w:vAlign w:val="bottom"/>
          </w:tcPr>
          <w:p>
            <w:pPr>
              <w:spacing w:after="0"/>
              <w:rPr>
                <w:sz w:val="21"/>
                <w:szCs w:val="21"/>
                <w:color w:val="auto"/>
              </w:rPr>
            </w:pP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90"/>
              <w:spacing w:after="0"/>
              <w:rPr>
                <w:sz w:val="20"/>
                <w:szCs w:val="20"/>
                <w:color w:val="auto"/>
              </w:rPr>
            </w:pPr>
            <w:r>
              <w:rPr>
                <w:rFonts w:ascii="Arial" w:cs="Arial" w:eastAsia="Arial" w:hAnsi="Arial"/>
                <w:sz w:val="18"/>
                <w:szCs w:val="18"/>
                <w:color w:val="auto"/>
              </w:rPr>
              <w:t>3,828</w:t>
            </w:r>
          </w:p>
        </w:tc>
      </w:tr>
      <w:tr>
        <w:trPr>
          <w:trHeight w:val="243"/>
        </w:trPr>
        <w:tc>
          <w:tcPr>
            <w:tcW w:w="3780" w:type="dxa"/>
            <w:vAlign w:val="bottom"/>
          </w:tcPr>
          <w:p>
            <w:pPr>
              <w:ind w:left="260"/>
              <w:spacing w:after="0"/>
              <w:rPr>
                <w:sz w:val="20"/>
                <w:szCs w:val="20"/>
                <w:color w:val="auto"/>
              </w:rPr>
            </w:pPr>
            <w:r>
              <w:rPr>
                <w:rFonts w:ascii="Arial" w:cs="Arial" w:eastAsia="Arial" w:hAnsi="Arial"/>
                <w:sz w:val="18"/>
                <w:szCs w:val="18"/>
                <w:color w:val="auto"/>
              </w:rPr>
              <w:t>Short-term debt*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70"/>
              <w:spacing w:after="0"/>
              <w:rPr>
                <w:sz w:val="20"/>
                <w:szCs w:val="20"/>
                <w:color w:val="auto"/>
              </w:rPr>
            </w:pPr>
            <w:r>
              <w:rPr>
                <w:rFonts w:ascii="Arial" w:cs="Arial" w:eastAsia="Arial" w:hAnsi="Arial"/>
                <w:sz w:val="18"/>
                <w:szCs w:val="18"/>
                <w:color w:val="auto"/>
              </w:rPr>
              <w:t>1,071</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70"/>
              <w:spacing w:after="0"/>
              <w:rPr>
                <w:sz w:val="20"/>
                <w:szCs w:val="20"/>
                <w:color w:val="auto"/>
              </w:rPr>
            </w:pPr>
            <w:r>
              <w:rPr>
                <w:rFonts w:ascii="Arial" w:cs="Arial" w:eastAsia="Arial" w:hAnsi="Arial"/>
                <w:sz w:val="18"/>
                <w:szCs w:val="18"/>
                <w:color w:val="auto"/>
              </w:rPr>
              <w:t>933</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90"/>
              <w:spacing w:after="0"/>
              <w:rPr>
                <w:sz w:val="20"/>
                <w:szCs w:val="20"/>
                <w:color w:val="auto"/>
              </w:rPr>
            </w:pPr>
            <w:r>
              <w:rPr>
                <w:rFonts w:ascii="Arial" w:cs="Arial" w:eastAsia="Arial" w:hAnsi="Arial"/>
                <w:sz w:val="18"/>
                <w:szCs w:val="18"/>
                <w:color w:val="auto"/>
              </w:rPr>
              <w:t>1,141</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783</w:t>
            </w:r>
          </w:p>
        </w:tc>
        <w:tc>
          <w:tcPr>
            <w:tcW w:w="360" w:type="dxa"/>
            <w:vAlign w:val="bottom"/>
          </w:tcPr>
          <w:p>
            <w:pPr>
              <w:spacing w:after="0"/>
              <w:rPr>
                <w:sz w:val="21"/>
                <w:szCs w:val="21"/>
                <w:color w:val="auto"/>
              </w:rPr>
            </w:pP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90"/>
              <w:spacing w:after="0"/>
              <w:rPr>
                <w:sz w:val="20"/>
                <w:szCs w:val="20"/>
                <w:color w:val="auto"/>
              </w:rPr>
            </w:pPr>
            <w:r>
              <w:rPr>
                <w:rFonts w:ascii="Arial" w:cs="Arial" w:eastAsia="Arial" w:hAnsi="Arial"/>
                <w:sz w:val="18"/>
                <w:szCs w:val="18"/>
                <w:color w:val="auto"/>
              </w:rPr>
              <w:t>1,429</w:t>
            </w:r>
          </w:p>
        </w:tc>
      </w:tr>
      <w:tr>
        <w:trPr>
          <w:trHeight w:val="243"/>
        </w:trPr>
        <w:tc>
          <w:tcPr>
            <w:tcW w:w="3780" w:type="dxa"/>
            <w:vAlign w:val="bottom"/>
          </w:tcPr>
          <w:p>
            <w:pPr>
              <w:ind w:left="260"/>
              <w:spacing w:after="0"/>
              <w:rPr>
                <w:sz w:val="20"/>
                <w:szCs w:val="20"/>
                <w:color w:val="auto"/>
              </w:rPr>
            </w:pPr>
            <w:r>
              <w:rPr>
                <w:rFonts w:ascii="Arial" w:cs="Arial" w:eastAsia="Arial" w:hAnsi="Arial"/>
                <w:sz w:val="18"/>
                <w:szCs w:val="18"/>
                <w:color w:val="auto"/>
              </w:rPr>
              <w:t>Trust preferred securities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200</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90"/>
              <w:spacing w:after="0"/>
              <w:rPr>
                <w:sz w:val="20"/>
                <w:szCs w:val="20"/>
                <w:color w:val="auto"/>
              </w:rPr>
            </w:pPr>
            <w:r>
              <w:rPr>
                <w:rFonts w:ascii="Arial" w:cs="Arial" w:eastAsia="Arial" w:hAnsi="Arial"/>
                <w:sz w:val="18"/>
                <w:szCs w:val="18"/>
                <w:color w:val="auto"/>
              </w:rPr>
              <w:t>200</w:t>
            </w:r>
          </w:p>
        </w:tc>
      </w:tr>
      <w:tr>
        <w:trPr>
          <w:trHeight w:val="243"/>
        </w:trPr>
        <w:tc>
          <w:tcPr>
            <w:tcW w:w="3780" w:type="dxa"/>
            <w:vAlign w:val="bottom"/>
          </w:tcPr>
          <w:p>
            <w:pPr>
              <w:ind w:left="260"/>
              <w:spacing w:after="0"/>
              <w:rPr>
                <w:sz w:val="20"/>
                <w:szCs w:val="20"/>
                <w:color w:val="auto"/>
              </w:rPr>
            </w:pPr>
            <w:r>
              <w:rPr>
                <w:rFonts w:ascii="Arial" w:cs="Arial" w:eastAsia="Arial" w:hAnsi="Arial"/>
                <w:sz w:val="18"/>
                <w:szCs w:val="18"/>
                <w:color w:val="auto"/>
              </w:rPr>
              <w:t>Shareholders’ equity</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70"/>
              <w:spacing w:after="0"/>
              <w:rPr>
                <w:sz w:val="20"/>
                <w:szCs w:val="20"/>
                <w:color w:val="auto"/>
              </w:rPr>
            </w:pPr>
            <w:r>
              <w:rPr>
                <w:rFonts w:ascii="Arial" w:cs="Arial" w:eastAsia="Arial" w:hAnsi="Arial"/>
                <w:sz w:val="18"/>
                <w:szCs w:val="18"/>
                <w:color w:val="auto"/>
              </w:rPr>
              <w:t>8,339</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70"/>
              <w:spacing w:after="0"/>
              <w:rPr>
                <w:sz w:val="20"/>
                <w:szCs w:val="20"/>
                <w:color w:val="auto"/>
              </w:rPr>
            </w:pPr>
            <w:r>
              <w:rPr>
                <w:rFonts w:ascii="Arial" w:cs="Arial" w:eastAsia="Arial" w:hAnsi="Arial"/>
                <w:sz w:val="18"/>
                <w:szCs w:val="18"/>
                <w:color w:val="auto"/>
              </w:rPr>
              <w:t>7,511</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90"/>
              <w:spacing w:after="0"/>
              <w:rPr>
                <w:sz w:val="20"/>
                <w:szCs w:val="20"/>
                <w:color w:val="auto"/>
              </w:rPr>
            </w:pPr>
            <w:r>
              <w:rPr>
                <w:rFonts w:ascii="Arial" w:cs="Arial" w:eastAsia="Arial" w:hAnsi="Arial"/>
                <w:sz w:val="18"/>
                <w:szCs w:val="18"/>
                <w:color w:val="auto"/>
              </w:rPr>
              <w:t>6,160</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4,865</w:t>
            </w:r>
          </w:p>
        </w:tc>
        <w:tc>
          <w:tcPr>
            <w:tcW w:w="360" w:type="dxa"/>
            <w:vAlign w:val="bottom"/>
          </w:tcPr>
          <w:p>
            <w:pPr>
              <w:spacing w:after="0"/>
              <w:rPr>
                <w:sz w:val="21"/>
                <w:szCs w:val="21"/>
                <w:color w:val="auto"/>
              </w:rPr>
            </w:pP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90"/>
              <w:spacing w:after="0"/>
              <w:rPr>
                <w:sz w:val="20"/>
                <w:szCs w:val="20"/>
                <w:color w:val="auto"/>
              </w:rPr>
            </w:pPr>
            <w:r>
              <w:rPr>
                <w:rFonts w:ascii="Arial" w:cs="Arial" w:eastAsia="Arial" w:hAnsi="Arial"/>
                <w:sz w:val="18"/>
                <w:szCs w:val="18"/>
                <w:color w:val="auto"/>
              </w:rPr>
              <w:t>3,890</w:t>
            </w:r>
          </w:p>
        </w:tc>
      </w:tr>
      <w:tr>
        <w:trPr>
          <w:trHeight w:val="486"/>
        </w:trPr>
        <w:tc>
          <w:tcPr>
            <w:tcW w:w="3780" w:type="dxa"/>
            <w:vAlign w:val="bottom"/>
          </w:tcPr>
          <w:p>
            <w:pPr>
              <w:spacing w:after="0"/>
              <w:rPr>
                <w:sz w:val="20"/>
                <w:szCs w:val="20"/>
                <w:color w:val="auto"/>
              </w:rPr>
            </w:pPr>
            <w:r>
              <w:rPr>
                <w:rFonts w:ascii="Arial" w:cs="Arial" w:eastAsia="Arial" w:hAnsi="Arial"/>
                <w:sz w:val="18"/>
                <w:szCs w:val="18"/>
                <w:color w:val="auto"/>
              </w:rPr>
              <w:t>Per Common Share Data:</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29"/>
        </w:trPr>
        <w:tc>
          <w:tcPr>
            <w:tcW w:w="3780" w:type="dxa"/>
            <w:vAlign w:val="bottom"/>
          </w:tcPr>
          <w:p>
            <w:pPr>
              <w:ind w:left="260"/>
              <w:spacing w:after="0"/>
              <w:rPr>
                <w:sz w:val="20"/>
                <w:szCs w:val="20"/>
                <w:color w:val="auto"/>
              </w:rPr>
            </w:pPr>
            <w:r>
              <w:rPr>
                <w:rFonts w:ascii="Arial" w:cs="Arial" w:eastAsia="Arial" w:hAnsi="Arial"/>
                <w:sz w:val="18"/>
                <w:szCs w:val="18"/>
                <w:color w:val="auto"/>
              </w:rPr>
              <w:t>Income from continuing operations before</w:t>
            </w: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16"/>
        </w:trPr>
        <w:tc>
          <w:tcPr>
            <w:tcW w:w="3780" w:type="dxa"/>
            <w:vAlign w:val="bottom"/>
          </w:tcPr>
          <w:p>
            <w:pPr>
              <w:ind w:left="380"/>
              <w:spacing w:after="0"/>
              <w:rPr>
                <w:sz w:val="20"/>
                <w:szCs w:val="20"/>
                <w:color w:val="auto"/>
              </w:rPr>
            </w:pPr>
            <w:r>
              <w:rPr>
                <w:rFonts w:ascii="Arial" w:cs="Arial" w:eastAsia="Arial" w:hAnsi="Arial"/>
                <w:sz w:val="18"/>
                <w:szCs w:val="18"/>
                <w:color w:val="auto"/>
              </w:rPr>
              <w:t>cumulative effect of changes in</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0"/>
        </w:trPr>
        <w:tc>
          <w:tcPr>
            <w:tcW w:w="3780" w:type="dxa"/>
            <w:vAlign w:val="bottom"/>
          </w:tcPr>
          <w:p>
            <w:pPr>
              <w:ind w:left="380"/>
              <w:spacing w:after="0"/>
              <w:rPr>
                <w:sz w:val="20"/>
                <w:szCs w:val="20"/>
                <w:color w:val="auto"/>
              </w:rPr>
            </w:pPr>
            <w:r>
              <w:rPr>
                <w:rFonts w:ascii="Arial" w:cs="Arial" w:eastAsia="Arial" w:hAnsi="Arial"/>
                <w:sz w:val="18"/>
                <w:szCs w:val="18"/>
                <w:color w:val="auto"/>
              </w:rPr>
              <w:t>accounting principles</w:t>
            </w: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43"/>
        </w:trPr>
        <w:tc>
          <w:tcPr>
            <w:tcW w:w="3780" w:type="dxa"/>
            <w:vAlign w:val="bottom"/>
          </w:tcPr>
          <w:p>
            <w:pPr>
              <w:ind w:left="520"/>
              <w:spacing w:after="0"/>
              <w:rPr>
                <w:sz w:val="20"/>
                <w:szCs w:val="20"/>
                <w:color w:val="auto"/>
              </w:rPr>
            </w:pPr>
            <w:r>
              <w:rPr>
                <w:rFonts w:ascii="Arial" w:cs="Arial" w:eastAsia="Arial" w:hAnsi="Arial"/>
                <w:sz w:val="18"/>
                <w:szCs w:val="18"/>
                <w:color w:val="auto"/>
              </w:rPr>
              <w:t>Basic</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70"/>
              <w:spacing w:after="0"/>
              <w:rPr>
                <w:sz w:val="20"/>
                <w:szCs w:val="20"/>
                <w:color w:val="auto"/>
              </w:rPr>
            </w:pPr>
            <w:r>
              <w:rPr>
                <w:rFonts w:ascii="Arial" w:cs="Arial" w:eastAsia="Arial" w:hAnsi="Arial"/>
                <w:sz w:val="18"/>
                <w:szCs w:val="18"/>
                <w:color w:val="auto"/>
              </w:rPr>
              <w:t>4.34</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70"/>
              <w:spacing w:after="0"/>
              <w:rPr>
                <w:sz w:val="20"/>
                <w:szCs w:val="20"/>
                <w:color w:val="auto"/>
              </w:rPr>
            </w:pPr>
            <w:r>
              <w:rPr>
                <w:rFonts w:ascii="Arial" w:cs="Arial" w:eastAsia="Arial" w:hAnsi="Arial"/>
                <w:sz w:val="18"/>
                <w:szCs w:val="18"/>
                <w:color w:val="auto"/>
              </w:rPr>
              <w:t>4.25</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90"/>
              <w:spacing w:after="0"/>
              <w:rPr>
                <w:sz w:val="20"/>
                <w:szCs w:val="20"/>
                <w:color w:val="auto"/>
              </w:rPr>
            </w:pPr>
            <w:r>
              <w:rPr>
                <w:rFonts w:ascii="Arial" w:cs="Arial" w:eastAsia="Arial" w:hAnsi="Arial"/>
                <w:sz w:val="18"/>
                <w:szCs w:val="18"/>
                <w:color w:val="auto"/>
              </w:rPr>
              <w:t>3.71</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4.01</w:t>
            </w:r>
          </w:p>
        </w:tc>
        <w:tc>
          <w:tcPr>
            <w:tcW w:w="360" w:type="dxa"/>
            <w:vAlign w:val="bottom"/>
          </w:tcPr>
          <w:p>
            <w:pPr>
              <w:spacing w:after="0"/>
              <w:rPr>
                <w:sz w:val="21"/>
                <w:szCs w:val="21"/>
                <w:color w:val="auto"/>
              </w:rPr>
            </w:pP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90"/>
              <w:spacing w:after="0"/>
              <w:rPr>
                <w:sz w:val="20"/>
                <w:szCs w:val="20"/>
                <w:color w:val="auto"/>
              </w:rPr>
            </w:pPr>
            <w:r>
              <w:rPr>
                <w:rFonts w:ascii="Arial" w:cs="Arial" w:eastAsia="Arial" w:hAnsi="Arial"/>
                <w:sz w:val="18"/>
                <w:szCs w:val="18"/>
                <w:color w:val="auto"/>
              </w:rPr>
              <w:t>3.53</w:t>
            </w:r>
          </w:p>
        </w:tc>
      </w:tr>
      <w:tr>
        <w:trPr>
          <w:trHeight w:val="243"/>
        </w:trPr>
        <w:tc>
          <w:tcPr>
            <w:tcW w:w="3780" w:type="dxa"/>
            <w:vAlign w:val="bottom"/>
          </w:tcPr>
          <w:p>
            <w:pPr>
              <w:ind w:left="520"/>
              <w:spacing w:after="0"/>
              <w:rPr>
                <w:sz w:val="20"/>
                <w:szCs w:val="20"/>
                <w:color w:val="auto"/>
              </w:rPr>
            </w:pPr>
            <w:r>
              <w:rPr>
                <w:rFonts w:ascii="Arial" w:cs="Arial" w:eastAsia="Arial" w:hAnsi="Arial"/>
                <w:sz w:val="18"/>
                <w:szCs w:val="18"/>
                <w:color w:val="auto"/>
              </w:rPr>
              <w:t>Diluted</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70"/>
              <w:spacing w:after="0"/>
              <w:rPr>
                <w:sz w:val="20"/>
                <w:szCs w:val="20"/>
                <w:color w:val="auto"/>
              </w:rPr>
            </w:pPr>
            <w:r>
              <w:rPr>
                <w:rFonts w:ascii="Arial" w:cs="Arial" w:eastAsia="Arial" w:hAnsi="Arial"/>
                <w:sz w:val="18"/>
                <w:szCs w:val="18"/>
                <w:color w:val="auto"/>
              </w:rPr>
              <w:t>4.26</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70"/>
              <w:spacing w:after="0"/>
              <w:rPr>
                <w:sz w:val="20"/>
                <w:szCs w:val="20"/>
                <w:color w:val="auto"/>
              </w:rPr>
            </w:pPr>
            <w:r>
              <w:rPr>
                <w:rFonts w:ascii="Arial" w:cs="Arial" w:eastAsia="Arial" w:hAnsi="Arial"/>
                <w:sz w:val="18"/>
                <w:szCs w:val="18"/>
                <w:color w:val="auto"/>
              </w:rPr>
              <w:t>4.17</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90"/>
              <w:spacing w:after="0"/>
              <w:rPr>
                <w:sz w:val="20"/>
                <w:szCs w:val="20"/>
                <w:color w:val="auto"/>
              </w:rPr>
            </w:pPr>
            <w:r>
              <w:rPr>
                <w:rFonts w:ascii="Arial" w:cs="Arial" w:eastAsia="Arial" w:hAnsi="Arial"/>
                <w:sz w:val="18"/>
                <w:szCs w:val="18"/>
                <w:color w:val="auto"/>
              </w:rPr>
              <w:t>3.62</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3.92</w:t>
            </w:r>
          </w:p>
        </w:tc>
        <w:tc>
          <w:tcPr>
            <w:tcW w:w="360" w:type="dxa"/>
            <w:vAlign w:val="bottom"/>
          </w:tcPr>
          <w:p>
            <w:pPr>
              <w:spacing w:after="0"/>
              <w:rPr>
                <w:sz w:val="21"/>
                <w:szCs w:val="21"/>
                <w:color w:val="auto"/>
              </w:rPr>
            </w:pP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90"/>
              <w:spacing w:after="0"/>
              <w:rPr>
                <w:sz w:val="20"/>
                <w:szCs w:val="20"/>
                <w:color w:val="auto"/>
              </w:rPr>
            </w:pPr>
            <w:r>
              <w:rPr>
                <w:rFonts w:ascii="Arial" w:cs="Arial" w:eastAsia="Arial" w:hAnsi="Arial"/>
                <w:sz w:val="18"/>
                <w:szCs w:val="18"/>
                <w:color w:val="auto"/>
              </w:rPr>
              <w:t>3.48</w:t>
            </w:r>
          </w:p>
        </w:tc>
      </w:tr>
      <w:tr>
        <w:trPr>
          <w:trHeight w:val="243"/>
        </w:trPr>
        <w:tc>
          <w:tcPr>
            <w:tcW w:w="3780" w:type="dxa"/>
            <w:vAlign w:val="bottom"/>
          </w:tcPr>
          <w:p>
            <w:pPr>
              <w:ind w:left="260"/>
              <w:spacing w:after="0"/>
              <w:rPr>
                <w:sz w:val="20"/>
                <w:szCs w:val="20"/>
                <w:color w:val="auto"/>
              </w:rPr>
            </w:pPr>
            <w:r>
              <w:rPr>
                <w:rFonts w:ascii="Arial" w:cs="Arial" w:eastAsia="Arial" w:hAnsi="Arial"/>
                <w:sz w:val="18"/>
                <w:szCs w:val="18"/>
                <w:color w:val="auto"/>
              </w:rPr>
              <w:t>Net income:</w:t>
            </w: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43"/>
        </w:trPr>
        <w:tc>
          <w:tcPr>
            <w:tcW w:w="3780" w:type="dxa"/>
            <w:vAlign w:val="bottom"/>
          </w:tcPr>
          <w:p>
            <w:pPr>
              <w:ind w:left="520"/>
              <w:spacing w:after="0"/>
              <w:rPr>
                <w:sz w:val="20"/>
                <w:szCs w:val="20"/>
                <w:color w:val="auto"/>
              </w:rPr>
            </w:pPr>
            <w:r>
              <w:rPr>
                <w:rFonts w:ascii="Arial" w:cs="Arial" w:eastAsia="Arial" w:hAnsi="Arial"/>
                <w:sz w:val="18"/>
                <w:szCs w:val="18"/>
                <w:color w:val="auto"/>
              </w:rPr>
              <w:t>Basic</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70"/>
              <w:spacing w:after="0"/>
              <w:rPr>
                <w:sz w:val="20"/>
                <w:szCs w:val="20"/>
                <w:color w:val="auto"/>
              </w:rPr>
            </w:pPr>
            <w:r>
              <w:rPr>
                <w:rFonts w:ascii="Arial" w:cs="Arial" w:eastAsia="Arial" w:hAnsi="Arial"/>
                <w:sz w:val="18"/>
                <w:szCs w:val="18"/>
                <w:color w:val="auto"/>
              </w:rPr>
              <w:t>4.24</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70"/>
              <w:spacing w:after="0"/>
              <w:rPr>
                <w:sz w:val="20"/>
                <w:szCs w:val="20"/>
                <w:color w:val="auto"/>
              </w:rPr>
            </w:pPr>
            <w:r>
              <w:rPr>
                <w:rFonts w:ascii="Arial" w:cs="Arial" w:eastAsia="Arial" w:hAnsi="Arial"/>
                <w:sz w:val="18"/>
                <w:szCs w:val="18"/>
                <w:color w:val="auto"/>
              </w:rPr>
              <w:t>5.48</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90"/>
              <w:spacing w:after="0"/>
              <w:rPr>
                <w:sz w:val="20"/>
                <w:szCs w:val="20"/>
                <w:color w:val="auto"/>
              </w:rPr>
            </w:pPr>
            <w:r>
              <w:rPr>
                <w:rFonts w:ascii="Arial" w:cs="Arial" w:eastAsia="Arial" w:hAnsi="Arial"/>
                <w:sz w:val="18"/>
                <w:szCs w:val="18"/>
                <w:color w:val="auto"/>
              </w:rPr>
              <w:t>3.74</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3.92</w:t>
            </w:r>
          </w:p>
        </w:tc>
        <w:tc>
          <w:tcPr>
            <w:tcW w:w="360" w:type="dxa"/>
            <w:vAlign w:val="bottom"/>
          </w:tcPr>
          <w:p>
            <w:pPr>
              <w:spacing w:after="0"/>
              <w:rPr>
                <w:sz w:val="21"/>
                <w:szCs w:val="21"/>
                <w:color w:val="auto"/>
              </w:rPr>
            </w:pP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90"/>
              <w:spacing w:after="0"/>
              <w:rPr>
                <w:sz w:val="20"/>
                <w:szCs w:val="20"/>
                <w:color w:val="auto"/>
              </w:rPr>
            </w:pPr>
            <w:r>
              <w:rPr>
                <w:rFonts w:ascii="Arial" w:cs="Arial" w:eastAsia="Arial" w:hAnsi="Arial"/>
                <w:sz w:val="18"/>
                <w:szCs w:val="18"/>
                <w:color w:val="auto"/>
              </w:rPr>
              <w:t>3.07</w:t>
            </w:r>
          </w:p>
        </w:tc>
      </w:tr>
      <w:tr>
        <w:trPr>
          <w:trHeight w:val="243"/>
        </w:trPr>
        <w:tc>
          <w:tcPr>
            <w:tcW w:w="3780" w:type="dxa"/>
            <w:vAlign w:val="bottom"/>
          </w:tcPr>
          <w:p>
            <w:pPr>
              <w:ind w:left="520"/>
              <w:spacing w:after="0"/>
              <w:rPr>
                <w:sz w:val="20"/>
                <w:szCs w:val="20"/>
                <w:color w:val="auto"/>
              </w:rPr>
            </w:pPr>
            <w:r>
              <w:rPr>
                <w:rFonts w:ascii="Arial" w:cs="Arial" w:eastAsia="Arial" w:hAnsi="Arial"/>
                <w:sz w:val="18"/>
                <w:szCs w:val="18"/>
                <w:color w:val="auto"/>
              </w:rPr>
              <w:t>Diluted</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70"/>
              <w:spacing w:after="0"/>
              <w:rPr>
                <w:sz w:val="20"/>
                <w:szCs w:val="20"/>
                <w:color w:val="auto"/>
              </w:rPr>
            </w:pPr>
            <w:r>
              <w:rPr>
                <w:rFonts w:ascii="Arial" w:cs="Arial" w:eastAsia="Arial" w:hAnsi="Arial"/>
                <w:sz w:val="18"/>
                <w:szCs w:val="18"/>
                <w:color w:val="auto"/>
              </w:rPr>
              <w:t>4.16</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70"/>
              <w:spacing w:after="0"/>
              <w:rPr>
                <w:sz w:val="20"/>
                <w:szCs w:val="20"/>
                <w:color w:val="auto"/>
              </w:rPr>
            </w:pPr>
            <w:r>
              <w:rPr>
                <w:rFonts w:ascii="Arial" w:cs="Arial" w:eastAsia="Arial" w:hAnsi="Arial"/>
                <w:sz w:val="18"/>
                <w:szCs w:val="18"/>
                <w:color w:val="auto"/>
              </w:rPr>
              <w:t>5.38</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90"/>
              <w:spacing w:after="0"/>
              <w:rPr>
                <w:sz w:val="20"/>
                <w:szCs w:val="20"/>
                <w:color w:val="auto"/>
              </w:rPr>
            </w:pPr>
            <w:r>
              <w:rPr>
                <w:rFonts w:ascii="Arial" w:cs="Arial" w:eastAsia="Arial" w:hAnsi="Arial"/>
                <w:sz w:val="18"/>
                <w:szCs w:val="18"/>
                <w:color w:val="auto"/>
              </w:rPr>
              <w:t>3.65</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3.83</w:t>
            </w:r>
          </w:p>
        </w:tc>
        <w:tc>
          <w:tcPr>
            <w:tcW w:w="360" w:type="dxa"/>
            <w:vAlign w:val="bottom"/>
          </w:tcPr>
          <w:p>
            <w:pPr>
              <w:spacing w:after="0"/>
              <w:rPr>
                <w:sz w:val="21"/>
                <w:szCs w:val="21"/>
                <w:color w:val="auto"/>
              </w:rPr>
            </w:pP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90"/>
              <w:spacing w:after="0"/>
              <w:rPr>
                <w:sz w:val="20"/>
                <w:szCs w:val="20"/>
                <w:color w:val="auto"/>
              </w:rPr>
            </w:pPr>
            <w:r>
              <w:rPr>
                <w:rFonts w:ascii="Arial" w:cs="Arial" w:eastAsia="Arial" w:hAnsi="Arial"/>
                <w:sz w:val="18"/>
                <w:szCs w:val="18"/>
                <w:color w:val="auto"/>
              </w:rPr>
              <w:t>3.03</w:t>
            </w:r>
          </w:p>
        </w:tc>
      </w:tr>
      <w:tr>
        <w:trPr>
          <w:trHeight w:val="243"/>
        </w:trPr>
        <w:tc>
          <w:tcPr>
            <w:tcW w:w="3780" w:type="dxa"/>
            <w:vAlign w:val="bottom"/>
          </w:tcPr>
          <w:p>
            <w:pPr>
              <w:ind w:left="260"/>
              <w:spacing w:after="0"/>
              <w:rPr>
                <w:sz w:val="20"/>
                <w:szCs w:val="20"/>
                <w:color w:val="auto"/>
              </w:rPr>
            </w:pPr>
            <w:r>
              <w:rPr>
                <w:rFonts w:ascii="Arial" w:cs="Arial" w:eastAsia="Arial" w:hAnsi="Arial"/>
                <w:sz w:val="18"/>
                <w:szCs w:val="18"/>
                <w:color w:val="auto"/>
              </w:rPr>
              <w:t>Dividends declared</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70"/>
              <w:spacing w:after="0"/>
              <w:rPr>
                <w:sz w:val="20"/>
                <w:szCs w:val="20"/>
                <w:color w:val="auto"/>
              </w:rPr>
            </w:pPr>
            <w:r>
              <w:rPr>
                <w:rFonts w:ascii="Arial" w:cs="Arial" w:eastAsia="Arial" w:hAnsi="Arial"/>
                <w:sz w:val="18"/>
                <w:szCs w:val="18"/>
                <w:color w:val="auto"/>
              </w:rPr>
              <w:t>1.24</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70"/>
              <w:spacing w:after="0"/>
              <w:rPr>
                <w:sz w:val="20"/>
                <w:szCs w:val="20"/>
                <w:color w:val="auto"/>
              </w:rPr>
            </w:pPr>
            <w:r>
              <w:rPr>
                <w:rFonts w:ascii="Arial" w:cs="Arial" w:eastAsia="Arial" w:hAnsi="Arial"/>
                <w:sz w:val="18"/>
                <w:szCs w:val="18"/>
                <w:color w:val="auto"/>
              </w:rPr>
              <w:t>1.20</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90"/>
              <w:spacing w:after="0"/>
              <w:rPr>
                <w:sz w:val="20"/>
                <w:szCs w:val="20"/>
                <w:color w:val="auto"/>
              </w:rPr>
            </w:pPr>
            <w:r>
              <w:rPr>
                <w:rFonts w:ascii="Arial" w:cs="Arial" w:eastAsia="Arial" w:hAnsi="Arial"/>
                <w:sz w:val="18"/>
                <w:szCs w:val="18"/>
                <w:color w:val="auto"/>
              </w:rPr>
              <w:t>1.16</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1.00</w:t>
            </w:r>
          </w:p>
        </w:tc>
        <w:tc>
          <w:tcPr>
            <w:tcW w:w="360" w:type="dxa"/>
            <w:vAlign w:val="bottom"/>
          </w:tcPr>
          <w:p>
            <w:pPr>
              <w:spacing w:after="0"/>
              <w:rPr>
                <w:sz w:val="21"/>
                <w:szCs w:val="21"/>
                <w:color w:val="auto"/>
              </w:rPr>
            </w:pP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90"/>
              <w:spacing w:after="0"/>
              <w:rPr>
                <w:sz w:val="20"/>
                <w:szCs w:val="20"/>
                <w:color w:val="auto"/>
              </w:rPr>
            </w:pPr>
            <w:r>
              <w:rPr>
                <w:rFonts w:ascii="Arial" w:cs="Arial" w:eastAsia="Arial" w:hAnsi="Arial"/>
                <w:sz w:val="18"/>
                <w:szCs w:val="18"/>
                <w:color w:val="auto"/>
              </w:rPr>
              <w:t>1.00</w:t>
            </w:r>
          </w:p>
        </w:tc>
      </w:tr>
      <w:tr>
        <w:trPr>
          <w:trHeight w:val="277"/>
        </w:trPr>
        <w:tc>
          <w:tcPr>
            <w:tcW w:w="378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Book value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31.93</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28.67</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23.95</w:t>
            </w:r>
          </w:p>
        </w:tc>
        <w:tc>
          <w:tcPr>
            <w:tcW w:w="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20.77</w:t>
            </w:r>
          </w:p>
        </w:tc>
        <w:tc>
          <w:tcPr>
            <w:tcW w:w="3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17.17</w:t>
            </w:r>
          </w:p>
        </w:tc>
      </w:tr>
      <w:tr>
        <w:trPr>
          <w:trHeight w:val="230"/>
        </w:trPr>
        <w:tc>
          <w:tcPr>
            <w:tcW w:w="3780" w:type="dxa"/>
            <w:vAlign w:val="bottom"/>
          </w:tcPr>
          <w:p>
            <w:pPr>
              <w:ind w:left="160"/>
              <w:spacing w:after="0"/>
              <w:rPr>
                <w:sz w:val="20"/>
                <w:szCs w:val="20"/>
                <w:color w:val="auto"/>
              </w:rPr>
            </w:pPr>
            <w:r>
              <w:rPr>
                <w:rFonts w:ascii="Arial" w:cs="Arial" w:eastAsia="Arial" w:hAnsi="Arial"/>
                <w:sz w:val="18"/>
                <w:szCs w:val="18"/>
                <w:color w:val="auto"/>
                <w:w w:val="98"/>
              </w:rPr>
              <w:t>* Includes long-term debt due within one year.</w:t>
            </w: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r>
    </w:tbl>
    <w:p>
      <w:pPr>
        <w:spacing w:after="0" w:line="12" w:lineRule="exact"/>
        <w:rPr>
          <w:sz w:val="20"/>
          <w:szCs w:val="20"/>
          <w:color w:val="auto"/>
        </w:rPr>
      </w:pPr>
    </w:p>
    <w:p>
      <w:pPr>
        <w:ind w:left="780"/>
        <w:spacing w:after="0"/>
        <w:rPr>
          <w:sz w:val="20"/>
          <w:szCs w:val="20"/>
          <w:color w:val="auto"/>
        </w:rPr>
      </w:pPr>
      <w:r>
        <w:rPr>
          <w:rFonts w:ascii="Arial" w:cs="Arial" w:eastAsia="Arial" w:hAnsi="Arial"/>
          <w:sz w:val="18"/>
          <w:szCs w:val="18"/>
          <w:color w:val="auto"/>
        </w:rPr>
        <w:t>** The company redeemed these securities in February 2005.</w:t>
      </w:r>
    </w:p>
    <w:p>
      <w:pPr>
        <w:spacing w:after="0" w:line="263" w:lineRule="exact"/>
        <w:rPr>
          <w:sz w:val="20"/>
          <w:szCs w:val="20"/>
          <w:color w:val="auto"/>
        </w:rPr>
      </w:pPr>
    </w:p>
    <w:p>
      <w:pPr>
        <w:spacing w:after="0" w:line="316" w:lineRule="auto"/>
        <w:rPr>
          <w:sz w:val="20"/>
          <w:szCs w:val="20"/>
          <w:color w:val="auto"/>
        </w:rPr>
      </w:pPr>
      <w:r>
        <w:rPr>
          <w:rFonts w:ascii="Arial" w:cs="Arial" w:eastAsia="Arial" w:hAnsi="Arial"/>
          <w:sz w:val="18"/>
          <w:szCs w:val="18"/>
          <w:color w:val="auto"/>
        </w:rPr>
        <w:t>This data should be read in conjunction with the Consolidated Financial Statements and the Notes to Consolidated Financial Statements. See Note 5 of the Notes to Consolidated Financial Statements for additional information concerning discontinued operations.</w:t>
      </w:r>
    </w:p>
    <w:p>
      <w:pPr>
        <w:spacing w:after="0" w:line="400" w:lineRule="exact"/>
        <w:rPr>
          <w:sz w:val="20"/>
          <w:szCs w:val="20"/>
          <w:color w:val="auto"/>
        </w:rPr>
      </w:pPr>
    </w:p>
    <w:p>
      <w:pPr>
        <w:spacing w:after="0"/>
        <w:rPr>
          <w:sz w:val="20"/>
          <w:szCs w:val="20"/>
          <w:color w:val="auto"/>
        </w:rPr>
      </w:pPr>
      <w:r>
        <w:rPr>
          <w:rFonts w:ascii="Arial" w:cs="Arial" w:eastAsia="Arial" w:hAnsi="Arial"/>
          <w:sz w:val="20"/>
          <w:szCs w:val="20"/>
          <w:color w:val="auto"/>
        </w:rPr>
        <w:t>31</w:t>
      </w:r>
    </w:p>
    <w:p>
      <w:pPr>
        <w:sectPr>
          <w:pgSz w:w="11900" w:h="16838" w:orient="portrait"/>
          <w:cols w:equalWidth="0" w:num="1">
            <w:col w:w="11140"/>
          </w:cols>
          <w:pgMar w:left="240" w:top="115" w:right="519" w:bottom="1440" w:gutter="0" w:footer="0" w:header="0"/>
        </w:sectPr>
      </w:pPr>
    </w:p>
    <w:bookmarkStart w:id="31" w:name="page32"/>
    <w:bookmarkEnd w:id="31"/>
    <w:p>
      <w:pPr>
        <w:spacing w:after="0"/>
        <w:rPr>
          <w:sz w:val="20"/>
          <w:szCs w:val="20"/>
          <w:color w:val="auto"/>
        </w:rPr>
      </w:pPr>
      <w:r>
        <w:rPr>
          <w:rFonts w:ascii="Arial" w:cs="Arial" w:eastAsia="Arial" w:hAnsi="Arial"/>
          <w:sz w:val="20"/>
          <w:szCs w:val="20"/>
          <w:b w:val="1"/>
          <w:bCs w:val="1"/>
          <w:color w:val="auto"/>
        </w:rPr>
        <w:t>ITEM 7. MANAGEMENT'S DISCUSSION AND ANALYSIS OF FINANCIAL CONDITION AND RESULTS OF OPERATIONS</w:t>
      </w:r>
    </w:p>
    <w:p>
      <w:pPr>
        <w:spacing w:after="0" w:line="250" w:lineRule="exact"/>
        <w:rPr>
          <w:sz w:val="20"/>
          <w:szCs w:val="20"/>
          <w:color w:val="auto"/>
        </w:rPr>
      </w:pPr>
    </w:p>
    <w:p>
      <w:pPr>
        <w:ind w:right="820"/>
        <w:spacing w:after="0" w:line="472" w:lineRule="auto"/>
        <w:rPr>
          <w:sz w:val="20"/>
          <w:szCs w:val="20"/>
          <w:color w:val="auto"/>
        </w:rPr>
      </w:pPr>
      <w:r>
        <w:rPr>
          <w:rFonts w:ascii="Arial" w:cs="Arial" w:eastAsia="Arial" w:hAnsi="Arial"/>
          <w:sz w:val="20"/>
          <w:szCs w:val="20"/>
          <w:color w:val="auto"/>
        </w:rPr>
        <w:t xml:space="preserve">The information required by Item 7 is incorporated by reference from pages 1 through 43 of the 2007 Annual Report to Shareholders. </w:t>
      </w:r>
      <w:r>
        <w:rPr>
          <w:rFonts w:ascii="Arial" w:cs="Arial" w:eastAsia="Arial" w:hAnsi="Arial"/>
          <w:sz w:val="20"/>
          <w:szCs w:val="20"/>
          <w:b w:val="1"/>
          <w:bCs w:val="1"/>
          <w:color w:val="auto"/>
        </w:rPr>
        <w:t>ITEM 7A. QUANTITATIVE AND QUALITATIVE DISCLOSURES ABOUT MARKET RISK</w:t>
      </w:r>
    </w:p>
    <w:p>
      <w:pPr>
        <w:spacing w:after="0" w:line="41" w:lineRule="exact"/>
        <w:rPr>
          <w:sz w:val="20"/>
          <w:szCs w:val="20"/>
          <w:color w:val="auto"/>
        </w:rPr>
      </w:pPr>
    </w:p>
    <w:p>
      <w:pPr>
        <w:ind w:right="1700"/>
        <w:spacing w:after="0" w:line="260" w:lineRule="auto"/>
        <w:rPr>
          <w:sz w:val="20"/>
          <w:szCs w:val="20"/>
          <w:color w:val="auto"/>
        </w:rPr>
      </w:pPr>
      <w:r>
        <w:rPr>
          <w:rFonts w:ascii="Arial" w:cs="Arial" w:eastAsia="Arial" w:hAnsi="Arial"/>
          <w:sz w:val="20"/>
          <w:szCs w:val="20"/>
          <w:color w:val="auto"/>
        </w:rPr>
        <w:t>The information required by Item 7A is incorporated by reference from pages 28 through 31 of the 2007 Annual Report to Shareholders.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8. FINANCIAL STATEMENTS AND SUPPLEMENTARY DATA</w:t>
      </w:r>
    </w:p>
    <w:p>
      <w:pPr>
        <w:spacing w:after="0" w:line="249" w:lineRule="exact"/>
        <w:rPr>
          <w:sz w:val="20"/>
          <w:szCs w:val="20"/>
          <w:color w:val="auto"/>
        </w:rPr>
      </w:pPr>
    </w:p>
    <w:p>
      <w:pPr>
        <w:ind w:right="1760"/>
        <w:spacing w:after="0" w:line="316" w:lineRule="auto"/>
        <w:rPr>
          <w:sz w:val="20"/>
          <w:szCs w:val="20"/>
          <w:color w:val="auto"/>
        </w:rPr>
      </w:pPr>
      <w:r>
        <w:rPr>
          <w:rFonts w:ascii="Arial" w:cs="Arial" w:eastAsia="Arial" w:hAnsi="Arial"/>
          <w:sz w:val="18"/>
          <w:szCs w:val="18"/>
          <w:color w:val="auto"/>
        </w:rPr>
        <w:t>The information required by Item 8 is incorporated by reference from pages 44 through 126 of the 2007 Annual Report to Shareholders. Item 15(a)1 includes a listing of financial statements included in the 2007 Annual Report to Shareholders.</w:t>
      </w:r>
    </w:p>
    <w:p>
      <w:pPr>
        <w:spacing w:after="0" w:line="151" w:lineRule="exact"/>
        <w:rPr>
          <w:sz w:val="20"/>
          <w:szCs w:val="20"/>
          <w:color w:val="auto"/>
        </w:rPr>
      </w:pPr>
    </w:p>
    <w:p>
      <w:pPr>
        <w:ind w:right="1500"/>
        <w:spacing w:after="0" w:line="267" w:lineRule="auto"/>
        <w:rPr>
          <w:sz w:val="20"/>
          <w:szCs w:val="20"/>
          <w:color w:val="auto"/>
        </w:rPr>
      </w:pPr>
      <w:r>
        <w:rPr>
          <w:rFonts w:ascii="Arial" w:cs="Arial" w:eastAsia="Arial" w:hAnsi="Arial"/>
          <w:sz w:val="20"/>
          <w:szCs w:val="20"/>
          <w:b w:val="1"/>
          <w:bCs w:val="1"/>
          <w:color w:val="auto"/>
        </w:rPr>
        <w:t>ITEM 9. CHANGES IN AND DISAGREEMENTS WITH ACCOUNTANTS ON ACCOUNTING AND FINANCIAL DISCLOSURES</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9A</w:t>
      </w:r>
      <w:r>
        <w:rPr>
          <w:rFonts w:ascii="Arial" w:cs="Arial" w:eastAsia="Arial" w:hAnsi="Arial"/>
          <w:sz w:val="20"/>
          <w:szCs w:val="20"/>
          <w:color w:val="auto"/>
        </w:rPr>
        <w:t>.</w:t>
      </w:r>
      <w:r>
        <w:rPr>
          <w:rFonts w:ascii="Arial" w:cs="Arial" w:eastAsia="Arial" w:hAnsi="Arial"/>
          <w:sz w:val="20"/>
          <w:szCs w:val="20"/>
          <w:b w:val="1"/>
          <w:bCs w:val="1"/>
          <w:color w:val="auto"/>
        </w:rPr>
        <w:t xml:space="preserve"> CONTROLS AND PROCEDURES</w:t>
      </w:r>
    </w:p>
    <w:p>
      <w:pPr>
        <w:spacing w:after="0" w:line="249"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Company management is responsible for establishing and maintaining adequate internal control over financial reporting, as defined in Exchange Act Rules 13a-15(f). The company has designed and maintains disclosure controls and procedures to ensure that information required to be disclosed in the company's reports is recorded, processed, summarized and reported within the time periods specified in the rules and forms of the Securities and Exchange Commission and is accumulated and communicated to the company's management, including its Chief Executive Officer and Chief Financial Officer, as appropriate, to allow timely decisions regarding required disclosure. In designing and evaluating these controls and procedures, management recognizes that any system of controls and procedures, no matter how well designed and operated, can provide only reasonable assurance of achieving the desired objectives and necessarily applies judgment in evaluating the cost-bene fit relationship of other possible controls and procedures. In addition, the company has investments in unconsolidated entities accounted for using the equity method and consolidates a variable interest entity as defined in Financial Accounting Standards Board Interpretation (FIN) No. 46(R) that it does not control or manage and consequently, its disclosure controls and procedures with respect to these entities are necessarily limited to oversight or monitoring controls that the company has implemented to provide reasonable assurance that the objectives of the company's disclosure controls and procedures as described above are met.</w:t>
      </w:r>
    </w:p>
    <w:p>
      <w:pPr>
        <w:spacing w:after="0" w:line="204" w:lineRule="exact"/>
        <w:rPr>
          <w:sz w:val="20"/>
          <w:szCs w:val="20"/>
          <w:color w:val="auto"/>
        </w:rPr>
      </w:pPr>
    </w:p>
    <w:p>
      <w:pPr>
        <w:ind w:right="20"/>
        <w:spacing w:after="0" w:line="287" w:lineRule="auto"/>
        <w:rPr>
          <w:sz w:val="20"/>
          <w:szCs w:val="20"/>
          <w:color w:val="auto"/>
        </w:rPr>
      </w:pPr>
      <w:r>
        <w:rPr>
          <w:rFonts w:ascii="Arial" w:cs="Arial" w:eastAsia="Arial" w:hAnsi="Arial"/>
          <w:sz w:val="19"/>
          <w:szCs w:val="19"/>
          <w:color w:val="auto"/>
        </w:rPr>
        <w:t>There have been no changes in the company's internal control over financial reporting during the company's most recent fiscal quarter that have materially affected, or are reasonably likely to materially affect, the company's internal control over financial reporting.</w:t>
      </w:r>
    </w:p>
    <w:p>
      <w:pPr>
        <w:spacing w:after="0" w:line="180"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color w:val="auto"/>
        </w:rPr>
        <w:t xml:space="preserve">The company evaluates the effectiveness of its internal control over financial reporting based on the framework in </w:t>
      </w:r>
      <w:r>
        <w:rPr>
          <w:rFonts w:ascii="Arial" w:cs="Arial" w:eastAsia="Arial" w:hAnsi="Arial"/>
          <w:sz w:val="20"/>
          <w:szCs w:val="20"/>
          <w:i w:val="1"/>
          <w:iCs w:val="1"/>
          <w:color w:val="auto"/>
        </w:rPr>
        <w:t>Internal Control--Integrated</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Framework </w:t>
      </w:r>
      <w:r>
        <w:rPr>
          <w:rFonts w:ascii="Arial" w:cs="Arial" w:eastAsia="Arial" w:hAnsi="Arial"/>
          <w:sz w:val="20"/>
          <w:szCs w:val="20"/>
          <w:color w:val="auto"/>
        </w:rPr>
        <w:t>issued by the Committee of Sponsoring Organizations of the Treadway Commission. Under the supervision and with the</w:t>
      </w:r>
      <w:r>
        <w:rPr>
          <w:rFonts w:ascii="Arial" w:cs="Arial" w:eastAsia="Arial" w:hAnsi="Arial"/>
          <w:sz w:val="20"/>
          <w:szCs w:val="20"/>
          <w:i w:val="1"/>
          <w:iCs w:val="1"/>
          <w:color w:val="auto"/>
        </w:rPr>
        <w:t xml:space="preserve"> </w:t>
      </w:r>
      <w:r>
        <w:rPr>
          <w:rFonts w:ascii="Arial" w:cs="Arial" w:eastAsia="Arial" w:hAnsi="Arial"/>
          <w:sz w:val="20"/>
          <w:szCs w:val="20"/>
          <w:color w:val="auto"/>
        </w:rPr>
        <w:t>participation of management, including the Chief Executive Officer and the Chief Financial Officer, the company evaluated the effectiveness of the design and operation of the company's disclosure controls and</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20"/>
          <w:szCs w:val="20"/>
          <w:color w:val="auto"/>
        </w:rPr>
        <w:t>32</w:t>
      </w:r>
    </w:p>
    <w:p>
      <w:pPr>
        <w:sectPr>
          <w:pgSz w:w="11900" w:h="16838" w:orient="portrait"/>
          <w:cols w:equalWidth="0" w:num="1">
            <w:col w:w="11400"/>
          </w:cols>
          <w:pgMar w:left="240" w:top="115" w:right="259" w:bottom="1440" w:gutter="0" w:footer="0" w:header="0"/>
        </w:sectPr>
      </w:pPr>
    </w:p>
    <w:bookmarkStart w:id="32" w:name="page33"/>
    <w:bookmarkEnd w:id="32"/>
    <w:p>
      <w:pPr>
        <w:ind w:right="40"/>
        <w:spacing w:after="0" w:line="250" w:lineRule="auto"/>
        <w:rPr>
          <w:sz w:val="20"/>
          <w:szCs w:val="20"/>
          <w:color w:val="auto"/>
        </w:rPr>
      </w:pPr>
      <w:r>
        <w:rPr>
          <w:rFonts w:ascii="Arial" w:cs="Arial" w:eastAsia="Arial" w:hAnsi="Arial"/>
          <w:sz w:val="20"/>
          <w:szCs w:val="20"/>
          <w:color w:val="auto"/>
        </w:rPr>
        <w:t>procedures as of December 31, 2007, the end of the period covered by this report. Based on that evaluation, the company's Chief Executive Officer and Chief Financial Officer concluded that the company's disclosure controls and procedures were effective at the reasonable assurance level.</w:t>
      </w:r>
    </w:p>
    <w:p>
      <w:pPr>
        <w:spacing w:after="0" w:line="214" w:lineRule="exact"/>
        <w:rPr>
          <w:sz w:val="20"/>
          <w:szCs w:val="20"/>
          <w:color w:val="auto"/>
        </w:rPr>
      </w:pPr>
    </w:p>
    <w:p>
      <w:pPr>
        <w:ind w:right="220"/>
        <w:spacing w:after="0" w:line="260" w:lineRule="auto"/>
        <w:rPr>
          <w:sz w:val="20"/>
          <w:szCs w:val="20"/>
          <w:color w:val="auto"/>
        </w:rPr>
      </w:pPr>
      <w:r>
        <w:rPr>
          <w:rFonts w:ascii="Arial" w:cs="Arial" w:eastAsia="Arial" w:hAnsi="Arial"/>
          <w:sz w:val="20"/>
          <w:szCs w:val="20"/>
          <w:color w:val="auto"/>
        </w:rPr>
        <w:t>Management's Report on Internal Control Over Financial Reporting is included in Item 8, which information, as noted above, is incorporated by reference from the 2007 Annual Report to Shareholders.</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PART III</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10. DIRECTORS, EXECUTIVE OFFICERS AND CORPORATE GOVERNANCE</w:t>
      </w:r>
    </w:p>
    <w:p>
      <w:pPr>
        <w:spacing w:after="0" w:line="249" w:lineRule="exact"/>
        <w:rPr>
          <w:sz w:val="20"/>
          <w:szCs w:val="20"/>
          <w:color w:val="auto"/>
        </w:rPr>
      </w:pPr>
    </w:p>
    <w:p>
      <w:pPr>
        <w:spacing w:after="0" w:line="316" w:lineRule="auto"/>
        <w:rPr>
          <w:sz w:val="20"/>
          <w:szCs w:val="20"/>
          <w:color w:val="auto"/>
        </w:rPr>
      </w:pPr>
      <w:r>
        <w:rPr>
          <w:rFonts w:ascii="Arial" w:cs="Arial" w:eastAsia="Arial" w:hAnsi="Arial"/>
          <w:sz w:val="18"/>
          <w:szCs w:val="18"/>
          <w:color w:val="auto"/>
        </w:rPr>
        <w:t>The information required by Item 10 is incorporated by reference from "Corporate Governance" and "Share Ownership" in the Proxy Statement prepared for the May 2008 annual meeting of shareholders. The information required on the company's executive officers is provided below.</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color w:val="auto"/>
        </w:rPr>
        <w:t>EXECUTIVE OFFICERS OF THE REGISTRANT</w:t>
      </w:r>
    </w:p>
    <w:p>
      <w:pPr>
        <w:spacing w:after="0" w:line="283" w:lineRule="exact"/>
        <w:rPr>
          <w:sz w:val="20"/>
          <w:szCs w:val="20"/>
          <w:color w:val="auto"/>
        </w:rPr>
      </w:pPr>
    </w:p>
    <w:tbl>
      <w:tblPr>
        <w:tblLayout w:type="fixed"/>
        <w:tblInd w:w="1460" w:type="dxa"/>
        <w:tblCellMar>
          <w:top w:w="0" w:type="dxa"/>
          <w:left w:w="0" w:type="dxa"/>
          <w:bottom w:w="0" w:type="dxa"/>
          <w:right w:w="0" w:type="dxa"/>
        </w:tblCellMar>
      </w:tblPr>
      <w:tr>
        <w:trPr>
          <w:trHeight w:val="255"/>
        </w:trPr>
        <w:tc>
          <w:tcPr>
            <w:tcW w:w="224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Name</w:t>
            </w: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20"/>
                <w:szCs w:val="20"/>
                <w:color w:val="auto"/>
              </w:rPr>
              <w:t>Age*</w:t>
            </w:r>
          </w:p>
        </w:tc>
        <w:tc>
          <w:tcPr>
            <w:tcW w:w="5600" w:type="dxa"/>
            <w:vAlign w:val="bottom"/>
            <w:tcBorders>
              <w:bottom w:val="single" w:sz="8" w:color="auto"/>
            </w:tcBorders>
          </w:tcPr>
          <w:p>
            <w:pPr>
              <w:ind w:left="140"/>
              <w:spacing w:after="0"/>
              <w:rPr>
                <w:sz w:val="20"/>
                <w:szCs w:val="20"/>
                <w:color w:val="auto"/>
              </w:rPr>
            </w:pPr>
            <w:r>
              <w:rPr>
                <w:rFonts w:ascii="Arial" w:cs="Arial" w:eastAsia="Arial" w:hAnsi="Arial"/>
                <w:sz w:val="20"/>
                <w:szCs w:val="20"/>
                <w:color w:val="auto"/>
              </w:rPr>
              <w:t>Position*</w:t>
            </w:r>
          </w:p>
        </w:tc>
      </w:tr>
      <w:tr>
        <w:trPr>
          <w:trHeight w:val="249"/>
        </w:trPr>
        <w:tc>
          <w:tcPr>
            <w:tcW w:w="2240" w:type="dxa"/>
            <w:vAlign w:val="bottom"/>
          </w:tcPr>
          <w:p>
            <w:pPr>
              <w:ind w:left="20"/>
              <w:spacing w:after="0"/>
              <w:rPr>
                <w:sz w:val="20"/>
                <w:szCs w:val="20"/>
                <w:color w:val="auto"/>
              </w:rPr>
            </w:pPr>
            <w:r>
              <w:rPr>
                <w:rFonts w:ascii="Arial" w:cs="Arial" w:eastAsia="Arial" w:hAnsi="Arial"/>
                <w:sz w:val="20"/>
                <w:szCs w:val="20"/>
                <w:color w:val="auto"/>
              </w:rPr>
              <w:t>Donald E. Felsinger</w:t>
            </w:r>
          </w:p>
        </w:tc>
        <w:tc>
          <w:tcPr>
            <w:tcW w:w="660" w:type="dxa"/>
            <w:vAlign w:val="bottom"/>
          </w:tcPr>
          <w:p>
            <w:pPr>
              <w:ind w:left="80"/>
              <w:spacing w:after="0"/>
              <w:rPr>
                <w:sz w:val="20"/>
                <w:szCs w:val="20"/>
                <w:color w:val="auto"/>
              </w:rPr>
            </w:pPr>
            <w:r>
              <w:rPr>
                <w:rFonts w:ascii="Arial" w:cs="Arial" w:eastAsia="Arial" w:hAnsi="Arial"/>
                <w:sz w:val="20"/>
                <w:szCs w:val="20"/>
                <w:color w:val="auto"/>
              </w:rPr>
              <w:t>60</w:t>
            </w:r>
          </w:p>
        </w:tc>
        <w:tc>
          <w:tcPr>
            <w:tcW w:w="5600" w:type="dxa"/>
            <w:vAlign w:val="bottom"/>
          </w:tcPr>
          <w:p>
            <w:pPr>
              <w:ind w:left="140"/>
              <w:spacing w:after="0"/>
              <w:rPr>
                <w:sz w:val="20"/>
                <w:szCs w:val="20"/>
                <w:color w:val="auto"/>
              </w:rPr>
            </w:pPr>
            <w:r>
              <w:rPr>
                <w:rFonts w:ascii="Arial" w:cs="Arial" w:eastAsia="Arial" w:hAnsi="Arial"/>
                <w:sz w:val="20"/>
                <w:szCs w:val="20"/>
                <w:color w:val="auto"/>
              </w:rPr>
              <w:t>Chairman and Chief Executive Officer</w:t>
            </w:r>
          </w:p>
        </w:tc>
      </w:tr>
      <w:tr>
        <w:trPr>
          <w:trHeight w:val="253"/>
        </w:trPr>
        <w:tc>
          <w:tcPr>
            <w:tcW w:w="2240" w:type="dxa"/>
            <w:vAlign w:val="bottom"/>
          </w:tcPr>
          <w:p>
            <w:pPr>
              <w:ind w:left="20"/>
              <w:spacing w:after="0"/>
              <w:rPr>
                <w:sz w:val="20"/>
                <w:szCs w:val="20"/>
                <w:color w:val="auto"/>
              </w:rPr>
            </w:pPr>
            <w:r>
              <w:rPr>
                <w:rFonts w:ascii="Arial" w:cs="Arial" w:eastAsia="Arial" w:hAnsi="Arial"/>
                <w:sz w:val="20"/>
                <w:szCs w:val="20"/>
                <w:color w:val="auto"/>
              </w:rPr>
              <w:t>Neal E. Schmale</w:t>
            </w:r>
          </w:p>
        </w:tc>
        <w:tc>
          <w:tcPr>
            <w:tcW w:w="660" w:type="dxa"/>
            <w:vAlign w:val="bottom"/>
          </w:tcPr>
          <w:p>
            <w:pPr>
              <w:ind w:left="80"/>
              <w:spacing w:after="0"/>
              <w:rPr>
                <w:sz w:val="20"/>
                <w:szCs w:val="20"/>
                <w:color w:val="auto"/>
              </w:rPr>
            </w:pPr>
            <w:r>
              <w:rPr>
                <w:rFonts w:ascii="Arial" w:cs="Arial" w:eastAsia="Arial" w:hAnsi="Arial"/>
                <w:sz w:val="20"/>
                <w:szCs w:val="20"/>
                <w:color w:val="auto"/>
              </w:rPr>
              <w:t>61</w:t>
            </w:r>
          </w:p>
        </w:tc>
        <w:tc>
          <w:tcPr>
            <w:tcW w:w="5600" w:type="dxa"/>
            <w:vAlign w:val="bottom"/>
          </w:tcPr>
          <w:p>
            <w:pPr>
              <w:ind w:left="140"/>
              <w:spacing w:after="0"/>
              <w:rPr>
                <w:sz w:val="20"/>
                <w:szCs w:val="20"/>
                <w:color w:val="auto"/>
              </w:rPr>
            </w:pPr>
            <w:r>
              <w:rPr>
                <w:rFonts w:ascii="Arial" w:cs="Arial" w:eastAsia="Arial" w:hAnsi="Arial"/>
                <w:sz w:val="20"/>
                <w:szCs w:val="20"/>
                <w:color w:val="auto"/>
              </w:rPr>
              <w:t>President and Chief Operating Officer</w:t>
            </w:r>
          </w:p>
        </w:tc>
      </w:tr>
      <w:tr>
        <w:trPr>
          <w:trHeight w:val="257"/>
        </w:trPr>
        <w:tc>
          <w:tcPr>
            <w:tcW w:w="2240" w:type="dxa"/>
            <w:vAlign w:val="bottom"/>
          </w:tcPr>
          <w:p>
            <w:pPr>
              <w:ind w:left="20"/>
              <w:spacing w:after="0"/>
              <w:rPr>
                <w:sz w:val="20"/>
                <w:szCs w:val="20"/>
                <w:color w:val="auto"/>
              </w:rPr>
            </w:pPr>
            <w:r>
              <w:rPr>
                <w:rFonts w:ascii="Arial" w:cs="Arial" w:eastAsia="Arial" w:hAnsi="Arial"/>
                <w:sz w:val="20"/>
                <w:szCs w:val="20"/>
                <w:color w:val="auto"/>
              </w:rPr>
              <w:t>Javade Chaudhri</w:t>
            </w:r>
          </w:p>
        </w:tc>
        <w:tc>
          <w:tcPr>
            <w:tcW w:w="660" w:type="dxa"/>
            <w:vAlign w:val="bottom"/>
          </w:tcPr>
          <w:p>
            <w:pPr>
              <w:ind w:left="80"/>
              <w:spacing w:after="0"/>
              <w:rPr>
                <w:sz w:val="20"/>
                <w:szCs w:val="20"/>
                <w:color w:val="auto"/>
              </w:rPr>
            </w:pPr>
            <w:r>
              <w:rPr>
                <w:rFonts w:ascii="Arial" w:cs="Arial" w:eastAsia="Arial" w:hAnsi="Arial"/>
                <w:sz w:val="20"/>
                <w:szCs w:val="20"/>
                <w:color w:val="auto"/>
              </w:rPr>
              <w:t>55</w:t>
            </w:r>
          </w:p>
        </w:tc>
        <w:tc>
          <w:tcPr>
            <w:tcW w:w="5600" w:type="dxa"/>
            <w:vAlign w:val="bottom"/>
          </w:tcPr>
          <w:p>
            <w:pPr>
              <w:ind w:left="140"/>
              <w:spacing w:after="0"/>
              <w:rPr>
                <w:sz w:val="20"/>
                <w:szCs w:val="20"/>
                <w:color w:val="auto"/>
              </w:rPr>
            </w:pPr>
            <w:r>
              <w:rPr>
                <w:rFonts w:ascii="Arial" w:cs="Arial" w:eastAsia="Arial" w:hAnsi="Arial"/>
                <w:sz w:val="20"/>
                <w:szCs w:val="20"/>
                <w:color w:val="auto"/>
              </w:rPr>
              <w:t>Executive Vice President and General Counsel</w:t>
            </w:r>
          </w:p>
        </w:tc>
      </w:tr>
      <w:tr>
        <w:trPr>
          <w:trHeight w:val="257"/>
        </w:trPr>
        <w:tc>
          <w:tcPr>
            <w:tcW w:w="2240" w:type="dxa"/>
            <w:vAlign w:val="bottom"/>
          </w:tcPr>
          <w:p>
            <w:pPr>
              <w:ind w:left="20"/>
              <w:spacing w:after="0"/>
              <w:rPr>
                <w:sz w:val="20"/>
                <w:szCs w:val="20"/>
                <w:color w:val="auto"/>
              </w:rPr>
            </w:pPr>
            <w:r>
              <w:rPr>
                <w:rFonts w:ascii="Arial" w:cs="Arial" w:eastAsia="Arial" w:hAnsi="Arial"/>
                <w:sz w:val="20"/>
                <w:szCs w:val="20"/>
                <w:color w:val="auto"/>
              </w:rPr>
              <w:t>Edwin A. Guiles</w:t>
            </w:r>
          </w:p>
        </w:tc>
        <w:tc>
          <w:tcPr>
            <w:tcW w:w="660" w:type="dxa"/>
            <w:vAlign w:val="bottom"/>
          </w:tcPr>
          <w:p>
            <w:pPr>
              <w:ind w:left="80"/>
              <w:spacing w:after="0"/>
              <w:rPr>
                <w:sz w:val="20"/>
                <w:szCs w:val="20"/>
                <w:color w:val="auto"/>
              </w:rPr>
            </w:pPr>
            <w:r>
              <w:rPr>
                <w:rFonts w:ascii="Arial" w:cs="Arial" w:eastAsia="Arial" w:hAnsi="Arial"/>
                <w:sz w:val="20"/>
                <w:szCs w:val="20"/>
                <w:color w:val="auto"/>
              </w:rPr>
              <w:t>58</w:t>
            </w:r>
          </w:p>
        </w:tc>
        <w:tc>
          <w:tcPr>
            <w:tcW w:w="5600" w:type="dxa"/>
            <w:vAlign w:val="bottom"/>
          </w:tcPr>
          <w:p>
            <w:pPr>
              <w:ind w:left="140"/>
              <w:spacing w:after="0"/>
              <w:rPr>
                <w:sz w:val="20"/>
                <w:szCs w:val="20"/>
                <w:color w:val="auto"/>
              </w:rPr>
            </w:pPr>
            <w:r>
              <w:rPr>
                <w:rFonts w:ascii="Arial" w:cs="Arial" w:eastAsia="Arial" w:hAnsi="Arial"/>
                <w:sz w:val="20"/>
                <w:szCs w:val="20"/>
                <w:color w:val="auto"/>
              </w:rPr>
              <w:t>Executive Vice President - Corporate Development</w:t>
            </w:r>
          </w:p>
        </w:tc>
      </w:tr>
      <w:tr>
        <w:trPr>
          <w:trHeight w:val="257"/>
        </w:trPr>
        <w:tc>
          <w:tcPr>
            <w:tcW w:w="2240" w:type="dxa"/>
            <w:vAlign w:val="bottom"/>
          </w:tcPr>
          <w:p>
            <w:pPr>
              <w:ind w:left="20"/>
              <w:spacing w:after="0"/>
              <w:rPr>
                <w:sz w:val="20"/>
                <w:szCs w:val="20"/>
                <w:color w:val="auto"/>
              </w:rPr>
            </w:pPr>
            <w:r>
              <w:rPr>
                <w:rFonts w:ascii="Arial" w:cs="Arial" w:eastAsia="Arial" w:hAnsi="Arial"/>
                <w:sz w:val="20"/>
                <w:szCs w:val="20"/>
                <w:color w:val="auto"/>
              </w:rPr>
              <w:t>Jessie J. Knight, Jr.</w:t>
            </w:r>
          </w:p>
        </w:tc>
        <w:tc>
          <w:tcPr>
            <w:tcW w:w="660" w:type="dxa"/>
            <w:vAlign w:val="bottom"/>
          </w:tcPr>
          <w:p>
            <w:pPr>
              <w:ind w:left="80"/>
              <w:spacing w:after="0"/>
              <w:rPr>
                <w:sz w:val="20"/>
                <w:szCs w:val="20"/>
                <w:color w:val="auto"/>
              </w:rPr>
            </w:pPr>
            <w:r>
              <w:rPr>
                <w:rFonts w:ascii="Arial" w:cs="Arial" w:eastAsia="Arial" w:hAnsi="Arial"/>
                <w:sz w:val="20"/>
                <w:szCs w:val="20"/>
                <w:color w:val="auto"/>
              </w:rPr>
              <w:t>57</w:t>
            </w:r>
          </w:p>
        </w:tc>
        <w:tc>
          <w:tcPr>
            <w:tcW w:w="5600" w:type="dxa"/>
            <w:vAlign w:val="bottom"/>
          </w:tcPr>
          <w:p>
            <w:pPr>
              <w:ind w:left="140"/>
              <w:spacing w:after="0"/>
              <w:rPr>
                <w:sz w:val="20"/>
                <w:szCs w:val="20"/>
                <w:color w:val="auto"/>
              </w:rPr>
            </w:pPr>
            <w:r>
              <w:rPr>
                <w:rFonts w:ascii="Arial" w:cs="Arial" w:eastAsia="Arial" w:hAnsi="Arial"/>
                <w:sz w:val="20"/>
                <w:szCs w:val="20"/>
                <w:color w:val="auto"/>
              </w:rPr>
              <w:t>Executive Vice President - External Affairs</w:t>
            </w:r>
          </w:p>
        </w:tc>
      </w:tr>
      <w:tr>
        <w:trPr>
          <w:trHeight w:val="257"/>
        </w:trPr>
        <w:tc>
          <w:tcPr>
            <w:tcW w:w="2240" w:type="dxa"/>
            <w:vAlign w:val="bottom"/>
          </w:tcPr>
          <w:p>
            <w:pPr>
              <w:ind w:left="20"/>
              <w:spacing w:after="0"/>
              <w:rPr>
                <w:sz w:val="20"/>
                <w:szCs w:val="20"/>
                <w:color w:val="auto"/>
              </w:rPr>
            </w:pPr>
            <w:r>
              <w:rPr>
                <w:rFonts w:ascii="Arial" w:cs="Arial" w:eastAsia="Arial" w:hAnsi="Arial"/>
                <w:sz w:val="20"/>
                <w:szCs w:val="20"/>
                <w:color w:val="auto"/>
              </w:rPr>
              <w:t>Mark A. Snell</w:t>
            </w:r>
          </w:p>
        </w:tc>
        <w:tc>
          <w:tcPr>
            <w:tcW w:w="660" w:type="dxa"/>
            <w:vAlign w:val="bottom"/>
          </w:tcPr>
          <w:p>
            <w:pPr>
              <w:ind w:left="80"/>
              <w:spacing w:after="0"/>
              <w:rPr>
                <w:sz w:val="20"/>
                <w:szCs w:val="20"/>
                <w:color w:val="auto"/>
              </w:rPr>
            </w:pPr>
            <w:r>
              <w:rPr>
                <w:rFonts w:ascii="Arial" w:cs="Arial" w:eastAsia="Arial" w:hAnsi="Arial"/>
                <w:sz w:val="20"/>
                <w:szCs w:val="20"/>
                <w:color w:val="auto"/>
              </w:rPr>
              <w:t>51</w:t>
            </w:r>
          </w:p>
        </w:tc>
        <w:tc>
          <w:tcPr>
            <w:tcW w:w="5600" w:type="dxa"/>
            <w:vAlign w:val="bottom"/>
          </w:tcPr>
          <w:p>
            <w:pPr>
              <w:ind w:left="140"/>
              <w:spacing w:after="0"/>
              <w:rPr>
                <w:sz w:val="20"/>
                <w:szCs w:val="20"/>
                <w:color w:val="auto"/>
              </w:rPr>
            </w:pPr>
            <w:r>
              <w:rPr>
                <w:rFonts w:ascii="Arial" w:cs="Arial" w:eastAsia="Arial" w:hAnsi="Arial"/>
                <w:sz w:val="20"/>
                <w:szCs w:val="20"/>
                <w:color w:val="auto"/>
              </w:rPr>
              <w:t>Executive Vice President and Chief Financial Officer</w:t>
            </w:r>
          </w:p>
        </w:tc>
      </w:tr>
      <w:tr>
        <w:trPr>
          <w:trHeight w:val="257"/>
        </w:trPr>
        <w:tc>
          <w:tcPr>
            <w:tcW w:w="2240" w:type="dxa"/>
            <w:vAlign w:val="bottom"/>
          </w:tcPr>
          <w:p>
            <w:pPr>
              <w:ind w:left="20"/>
              <w:spacing w:after="0"/>
              <w:rPr>
                <w:sz w:val="20"/>
                <w:szCs w:val="20"/>
                <w:color w:val="auto"/>
              </w:rPr>
            </w:pPr>
            <w:r>
              <w:rPr>
                <w:rFonts w:ascii="Arial" w:cs="Arial" w:eastAsia="Arial" w:hAnsi="Arial"/>
                <w:sz w:val="20"/>
                <w:szCs w:val="20"/>
                <w:color w:val="auto"/>
              </w:rPr>
              <w:t>Joseph A. Householder</w:t>
            </w:r>
          </w:p>
        </w:tc>
        <w:tc>
          <w:tcPr>
            <w:tcW w:w="660" w:type="dxa"/>
            <w:vAlign w:val="bottom"/>
          </w:tcPr>
          <w:p>
            <w:pPr>
              <w:ind w:left="80"/>
              <w:spacing w:after="0"/>
              <w:rPr>
                <w:sz w:val="20"/>
                <w:szCs w:val="20"/>
                <w:color w:val="auto"/>
              </w:rPr>
            </w:pPr>
            <w:r>
              <w:rPr>
                <w:rFonts w:ascii="Arial" w:cs="Arial" w:eastAsia="Arial" w:hAnsi="Arial"/>
                <w:sz w:val="20"/>
                <w:szCs w:val="20"/>
                <w:color w:val="auto"/>
              </w:rPr>
              <w:t>52</w:t>
            </w:r>
          </w:p>
        </w:tc>
        <w:tc>
          <w:tcPr>
            <w:tcW w:w="5600" w:type="dxa"/>
            <w:vAlign w:val="bottom"/>
          </w:tcPr>
          <w:p>
            <w:pPr>
              <w:ind w:left="140"/>
              <w:spacing w:after="0"/>
              <w:rPr>
                <w:sz w:val="20"/>
                <w:szCs w:val="20"/>
                <w:color w:val="auto"/>
              </w:rPr>
            </w:pPr>
            <w:r>
              <w:rPr>
                <w:rFonts w:ascii="Arial" w:cs="Arial" w:eastAsia="Arial" w:hAnsi="Arial"/>
                <w:sz w:val="20"/>
                <w:szCs w:val="20"/>
                <w:color w:val="auto"/>
                <w:w w:val="98"/>
              </w:rPr>
              <w:t>Senior Vice President, Controller and Chief Accounting Officer</w:t>
            </w:r>
          </w:p>
        </w:tc>
      </w:tr>
      <w:tr>
        <w:trPr>
          <w:trHeight w:val="257"/>
        </w:trPr>
        <w:tc>
          <w:tcPr>
            <w:tcW w:w="2240" w:type="dxa"/>
            <w:vAlign w:val="bottom"/>
          </w:tcPr>
          <w:p>
            <w:pPr>
              <w:ind w:left="20"/>
              <w:spacing w:after="0"/>
              <w:rPr>
                <w:sz w:val="20"/>
                <w:szCs w:val="20"/>
                <w:color w:val="auto"/>
              </w:rPr>
            </w:pPr>
            <w:r>
              <w:rPr>
                <w:rFonts w:ascii="Arial" w:cs="Arial" w:eastAsia="Arial" w:hAnsi="Arial"/>
                <w:sz w:val="20"/>
                <w:szCs w:val="20"/>
                <w:color w:val="auto"/>
              </w:rPr>
              <w:t>Charles A. McMonagle</w:t>
            </w:r>
          </w:p>
        </w:tc>
        <w:tc>
          <w:tcPr>
            <w:tcW w:w="660" w:type="dxa"/>
            <w:vAlign w:val="bottom"/>
          </w:tcPr>
          <w:p>
            <w:pPr>
              <w:ind w:left="80"/>
              <w:spacing w:after="0"/>
              <w:rPr>
                <w:sz w:val="20"/>
                <w:szCs w:val="20"/>
                <w:color w:val="auto"/>
              </w:rPr>
            </w:pPr>
            <w:r>
              <w:rPr>
                <w:rFonts w:ascii="Arial" w:cs="Arial" w:eastAsia="Arial" w:hAnsi="Arial"/>
                <w:sz w:val="20"/>
                <w:szCs w:val="20"/>
                <w:color w:val="auto"/>
              </w:rPr>
              <w:t>58</w:t>
            </w:r>
          </w:p>
        </w:tc>
        <w:tc>
          <w:tcPr>
            <w:tcW w:w="5600" w:type="dxa"/>
            <w:vAlign w:val="bottom"/>
          </w:tcPr>
          <w:p>
            <w:pPr>
              <w:ind w:left="140"/>
              <w:spacing w:after="0"/>
              <w:rPr>
                <w:sz w:val="20"/>
                <w:szCs w:val="20"/>
                <w:color w:val="auto"/>
              </w:rPr>
            </w:pPr>
            <w:r>
              <w:rPr>
                <w:rFonts w:ascii="Arial" w:cs="Arial" w:eastAsia="Arial" w:hAnsi="Arial"/>
                <w:sz w:val="20"/>
                <w:szCs w:val="20"/>
                <w:color w:val="auto"/>
              </w:rPr>
              <w:t>Senior Vice President and Treasurer</w:t>
            </w:r>
          </w:p>
        </w:tc>
      </w:tr>
      <w:tr>
        <w:trPr>
          <w:trHeight w:val="287"/>
        </w:trPr>
        <w:tc>
          <w:tcPr>
            <w:tcW w:w="224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G. Joyce Rowland</w:t>
            </w: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20"/>
                <w:szCs w:val="20"/>
                <w:color w:val="auto"/>
              </w:rPr>
              <w:t>53</w:t>
            </w:r>
          </w:p>
        </w:tc>
        <w:tc>
          <w:tcPr>
            <w:tcW w:w="5600" w:type="dxa"/>
            <w:vAlign w:val="bottom"/>
            <w:tcBorders>
              <w:bottom w:val="single" w:sz="8" w:color="auto"/>
            </w:tcBorders>
          </w:tcPr>
          <w:p>
            <w:pPr>
              <w:ind w:left="140"/>
              <w:spacing w:after="0"/>
              <w:rPr>
                <w:sz w:val="20"/>
                <w:szCs w:val="20"/>
                <w:color w:val="auto"/>
              </w:rPr>
            </w:pPr>
            <w:r>
              <w:rPr>
                <w:rFonts w:ascii="Arial" w:cs="Arial" w:eastAsia="Arial" w:hAnsi="Arial"/>
                <w:sz w:val="20"/>
                <w:szCs w:val="20"/>
                <w:color w:val="auto"/>
              </w:rPr>
              <w:t>Senior Vice President - Human Resources</w:t>
            </w:r>
          </w:p>
        </w:tc>
      </w:tr>
      <w:tr>
        <w:trPr>
          <w:trHeight w:val="250"/>
        </w:trPr>
        <w:tc>
          <w:tcPr>
            <w:tcW w:w="2240" w:type="dxa"/>
            <w:vAlign w:val="bottom"/>
          </w:tcPr>
          <w:p>
            <w:pPr>
              <w:ind w:left="20"/>
              <w:spacing w:after="0"/>
              <w:rPr>
                <w:sz w:val="20"/>
                <w:szCs w:val="20"/>
                <w:color w:val="auto"/>
              </w:rPr>
            </w:pPr>
            <w:r>
              <w:rPr>
                <w:rFonts w:ascii="Arial" w:cs="Arial" w:eastAsia="Arial" w:hAnsi="Arial"/>
                <w:sz w:val="20"/>
                <w:szCs w:val="20"/>
                <w:color w:val="auto"/>
                <w:w w:val="94"/>
              </w:rPr>
              <w:t>* As of February 26, 2008.</w:t>
            </w:r>
          </w:p>
        </w:tc>
        <w:tc>
          <w:tcPr>
            <w:tcW w:w="660" w:type="dxa"/>
            <w:vAlign w:val="bottom"/>
          </w:tcPr>
          <w:p>
            <w:pPr>
              <w:spacing w:after="0"/>
              <w:rPr>
                <w:sz w:val="21"/>
                <w:szCs w:val="21"/>
                <w:color w:val="auto"/>
              </w:rPr>
            </w:pPr>
          </w:p>
        </w:tc>
        <w:tc>
          <w:tcPr>
            <w:tcW w:w="5600" w:type="dxa"/>
            <w:vAlign w:val="bottom"/>
          </w:tcPr>
          <w:p>
            <w:pPr>
              <w:spacing w:after="0"/>
              <w:rPr>
                <w:sz w:val="21"/>
                <w:szCs w:val="21"/>
                <w:color w:val="auto"/>
              </w:rPr>
            </w:pPr>
          </w:p>
        </w:tc>
      </w:tr>
    </w:tbl>
    <w:p>
      <w:pPr>
        <w:spacing w:after="0" w:line="232" w:lineRule="exact"/>
        <w:rPr>
          <w:sz w:val="20"/>
          <w:szCs w:val="20"/>
          <w:color w:val="auto"/>
        </w:rPr>
      </w:pPr>
    </w:p>
    <w:p>
      <w:pPr>
        <w:jc w:val="both"/>
        <w:ind w:right="80"/>
        <w:spacing w:after="0" w:line="291" w:lineRule="auto"/>
        <w:rPr>
          <w:sz w:val="20"/>
          <w:szCs w:val="20"/>
          <w:color w:val="auto"/>
        </w:rPr>
      </w:pPr>
      <w:r>
        <w:rPr>
          <w:rFonts w:ascii="Arial" w:cs="Arial" w:eastAsia="Arial" w:hAnsi="Arial"/>
          <w:sz w:val="18"/>
          <w:szCs w:val="18"/>
          <w:color w:val="auto"/>
        </w:rPr>
        <w:t>Each Executive Officer has been an officer of the company or one of its subsidiaries for more than five years, except for Mr. Chaudhri and Mr. Knight. Prior to joining the company in 2003, Mr. Chaudhri was Senior Vice President and General Counsel of Gateway, Inc. since 2001. Prior to joining the company in 2006, Mr. Knight served as President and CEO of the San Diego Regional Chamber of Commerce since 1999.</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11. EXECUTIVE COMPENSATION</w:t>
      </w:r>
    </w:p>
    <w:p>
      <w:pPr>
        <w:spacing w:after="0" w:line="249" w:lineRule="exact"/>
        <w:rPr>
          <w:sz w:val="20"/>
          <w:szCs w:val="20"/>
          <w:color w:val="auto"/>
        </w:rPr>
      </w:pPr>
    </w:p>
    <w:p>
      <w:pPr>
        <w:ind w:right="220"/>
        <w:spacing w:after="0" w:line="250" w:lineRule="auto"/>
        <w:rPr>
          <w:sz w:val="20"/>
          <w:szCs w:val="20"/>
          <w:color w:val="auto"/>
        </w:rPr>
      </w:pPr>
      <w:r>
        <w:rPr>
          <w:rFonts w:ascii="Arial" w:cs="Arial" w:eastAsia="Arial" w:hAnsi="Arial"/>
          <w:sz w:val="20"/>
          <w:szCs w:val="20"/>
          <w:color w:val="auto"/>
        </w:rPr>
        <w:t>The information required by Item 11 is incorporated by reference from "Corporate Governance," and "Executive Compensation," including "Compensation Discussion and Analysis," and "Compensation Committee Report" in the Proxy Statement prepared for the May 2008 annual meeting of shareholders.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0"/>
          <w:szCs w:val="20"/>
          <w:color w:val="auto"/>
        </w:rPr>
        <w:t>33</w:t>
      </w:r>
    </w:p>
    <w:p>
      <w:pPr>
        <w:sectPr>
          <w:pgSz w:w="11900" w:h="16838" w:orient="portrait"/>
          <w:cols w:equalWidth="0" w:num="1">
            <w:col w:w="11400"/>
          </w:cols>
          <w:pgMar w:left="240" w:top="121" w:right="259" w:bottom="1440" w:gutter="0" w:footer="0" w:header="0"/>
        </w:sectPr>
      </w:pPr>
    </w:p>
    <w:bookmarkStart w:id="33" w:name="page34"/>
    <w:bookmarkEnd w:id="33"/>
    <w:p>
      <w:pPr>
        <w:ind w:right="1200"/>
        <w:spacing w:after="0" w:line="268" w:lineRule="auto"/>
        <w:rPr>
          <w:sz w:val="20"/>
          <w:szCs w:val="20"/>
          <w:color w:val="auto"/>
        </w:rPr>
      </w:pPr>
      <w:r>
        <w:rPr>
          <w:rFonts w:ascii="Arial" w:cs="Arial" w:eastAsia="Arial" w:hAnsi="Arial"/>
          <w:sz w:val="20"/>
          <w:szCs w:val="20"/>
          <w:b w:val="1"/>
          <w:bCs w:val="1"/>
          <w:color w:val="auto"/>
        </w:rPr>
        <w:t>ITEM 12. SECURITY OWNERSHIP OF CERTAIN BENEFICIAL OWNERS AND MANAGEMENT AND RELATED STOCKHOLDER MATTERS</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Securities Authorized for Issuance Under Equity Compensation Plans</w:t>
      </w:r>
    </w:p>
    <w:p>
      <w:pPr>
        <w:spacing w:after="0" w:line="249"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Information regarding securities authorized for issuance under equity compensation plans as required by Item 12 is incorporated by reference from "Proposals To Be Voted On - Proposal 3: Approval of 2008 Long Term Incentive Plan" in the Proxy Statement prepared for the May 2008 annual meeting of shareholders.</w:t>
      </w:r>
    </w:p>
    <w:p>
      <w:pPr>
        <w:spacing w:after="0" w:line="213" w:lineRule="exact"/>
        <w:rPr>
          <w:sz w:val="20"/>
          <w:szCs w:val="20"/>
          <w:color w:val="auto"/>
        </w:rPr>
      </w:pPr>
    </w:p>
    <w:p>
      <w:pPr>
        <w:ind w:right="500"/>
        <w:spacing w:after="0" w:line="260" w:lineRule="auto"/>
        <w:rPr>
          <w:sz w:val="20"/>
          <w:szCs w:val="20"/>
          <w:color w:val="auto"/>
        </w:rPr>
      </w:pPr>
      <w:r>
        <w:rPr>
          <w:rFonts w:ascii="Arial" w:cs="Arial" w:eastAsia="Arial" w:hAnsi="Arial"/>
          <w:sz w:val="20"/>
          <w:szCs w:val="20"/>
          <w:color w:val="auto"/>
        </w:rPr>
        <w:t>Additional discussion of stock-based compensation is provided in Note 10 of the Notes to Consolidated Financial Statements of the 2007 Annual Report to Shareholders.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Security Ownership of Certain Beneficial Owners</w:t>
      </w:r>
    </w:p>
    <w:p>
      <w:pPr>
        <w:spacing w:after="0" w:line="249"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The security ownership information required by Item 12 is incorporated by reference from "Share Ownership" in the Proxy Statement prepared for the May 2008 annual meeting of shareholders.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13. CERTAIN RELATIONSHIPS AND RELATED TRANSACTIONS, AND DIRECTOR INDEPENDENCE</w:t>
      </w:r>
    </w:p>
    <w:p>
      <w:pPr>
        <w:spacing w:after="0" w:line="249" w:lineRule="exact"/>
        <w:rPr>
          <w:sz w:val="20"/>
          <w:szCs w:val="20"/>
          <w:color w:val="auto"/>
        </w:rPr>
      </w:pPr>
    </w:p>
    <w:p>
      <w:pPr>
        <w:ind w:right="160"/>
        <w:spacing w:after="0" w:line="260" w:lineRule="auto"/>
        <w:rPr>
          <w:sz w:val="20"/>
          <w:szCs w:val="20"/>
          <w:color w:val="auto"/>
        </w:rPr>
      </w:pPr>
      <w:r>
        <w:rPr>
          <w:rFonts w:ascii="Arial" w:cs="Arial" w:eastAsia="Arial" w:hAnsi="Arial"/>
          <w:sz w:val="20"/>
          <w:szCs w:val="20"/>
          <w:color w:val="auto"/>
        </w:rPr>
        <w:t>The information required by Item 13 is incorporated by reference from "Corporate Governance" in the Proxy Statement prepared for the May 2008 annual meeting of shareholders.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14. PRINCIPAL ACCOUNTANT FEES AND SERVICES</w:t>
      </w:r>
    </w:p>
    <w:p>
      <w:pPr>
        <w:spacing w:after="0" w:line="249" w:lineRule="exact"/>
        <w:rPr>
          <w:sz w:val="20"/>
          <w:szCs w:val="20"/>
          <w:color w:val="auto"/>
        </w:rPr>
      </w:pPr>
    </w:p>
    <w:p>
      <w:pPr>
        <w:ind w:right="80"/>
        <w:spacing w:after="0" w:line="250" w:lineRule="auto"/>
        <w:rPr>
          <w:sz w:val="20"/>
          <w:szCs w:val="20"/>
          <w:color w:val="auto"/>
        </w:rPr>
      </w:pPr>
      <w:r>
        <w:rPr>
          <w:rFonts w:ascii="Arial" w:cs="Arial" w:eastAsia="Arial" w:hAnsi="Arial"/>
          <w:sz w:val="20"/>
          <w:szCs w:val="20"/>
          <w:color w:val="auto"/>
        </w:rPr>
        <w:t>Information regarding principal accountant fees and services as required by Item 14 is incorporated by reference from "Proposals To Be Voted On - Proposal 2: Ratification of Independent Registered Public Accounting Firm" in the Proxy Statement prepared for the May 2008 annual meeting of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20"/>
          <w:szCs w:val="20"/>
          <w:color w:val="auto"/>
        </w:rPr>
        <w:t>34</w:t>
      </w:r>
    </w:p>
    <w:p>
      <w:pPr>
        <w:sectPr>
          <w:pgSz w:w="11900" w:h="16838" w:orient="portrait"/>
          <w:cols w:equalWidth="0" w:num="1">
            <w:col w:w="11360"/>
          </w:cols>
          <w:pgMar w:left="240" w:top="115" w:right="29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58"/>
        </w:trPr>
        <w:tc>
          <w:tcPr>
            <w:tcW w:w="7820" w:type="dxa"/>
            <w:vAlign w:val="bottom"/>
          </w:tcPr>
          <w:p>
            <w:pPr>
              <w:ind w:left="5320"/>
              <w:spacing w:after="0"/>
              <w:rPr>
                <w:sz w:val="20"/>
                <w:szCs w:val="20"/>
                <w:color w:val="auto"/>
              </w:rPr>
            </w:pPr>
            <w:r>
              <w:rPr>
                <w:rFonts w:ascii="Arial" w:cs="Arial" w:eastAsia="Arial" w:hAnsi="Arial"/>
                <w:sz w:val="20"/>
                <w:szCs w:val="20"/>
                <w:b w:val="1"/>
                <w:bCs w:val="1"/>
                <w:color w:val="auto"/>
              </w:rPr>
              <w:t>PART IV</w:t>
            </w:r>
          </w:p>
        </w:tc>
        <w:tc>
          <w:tcPr>
            <w:tcW w:w="1820" w:type="dxa"/>
            <w:vAlign w:val="bottom"/>
          </w:tcPr>
          <w:p>
            <w:pPr>
              <w:spacing w:after="0"/>
              <w:rPr>
                <w:sz w:val="22"/>
                <w:szCs w:val="22"/>
                <w:color w:val="auto"/>
              </w:rPr>
            </w:pPr>
          </w:p>
        </w:tc>
      </w:tr>
      <w:tr>
        <w:trPr>
          <w:trHeight w:val="675"/>
        </w:trPr>
        <w:tc>
          <w:tcPr>
            <w:tcW w:w="7820" w:type="dxa"/>
            <w:vAlign w:val="bottom"/>
          </w:tcPr>
          <w:p>
            <w:pPr>
              <w:spacing w:after="0"/>
              <w:rPr>
                <w:sz w:val="20"/>
                <w:szCs w:val="20"/>
                <w:color w:val="auto"/>
              </w:rPr>
            </w:pPr>
            <w:r>
              <w:rPr>
                <w:rFonts w:ascii="Arial" w:cs="Arial" w:eastAsia="Arial" w:hAnsi="Arial"/>
                <w:sz w:val="20"/>
                <w:szCs w:val="20"/>
                <w:b w:val="1"/>
                <w:bCs w:val="1"/>
                <w:color w:val="auto"/>
              </w:rPr>
              <w:t>ITEM 15. EXHIBITS AND FINANCIAL STATEMENT SCHEDULES</w:t>
            </w:r>
          </w:p>
        </w:tc>
        <w:tc>
          <w:tcPr>
            <w:tcW w:w="1820" w:type="dxa"/>
            <w:vAlign w:val="bottom"/>
          </w:tcPr>
          <w:p>
            <w:pPr>
              <w:spacing w:after="0"/>
              <w:rPr>
                <w:sz w:val="24"/>
                <w:szCs w:val="24"/>
                <w:color w:val="auto"/>
              </w:rPr>
            </w:pPr>
          </w:p>
        </w:tc>
      </w:tr>
      <w:tr>
        <w:trPr>
          <w:trHeight w:val="513"/>
        </w:trPr>
        <w:tc>
          <w:tcPr>
            <w:tcW w:w="7820" w:type="dxa"/>
            <w:vAlign w:val="bottom"/>
          </w:tcPr>
          <w:p>
            <w:pPr>
              <w:spacing w:after="0"/>
              <w:rPr>
                <w:sz w:val="20"/>
                <w:szCs w:val="20"/>
                <w:color w:val="auto"/>
              </w:rPr>
            </w:pPr>
            <w:r>
              <w:rPr>
                <w:rFonts w:ascii="Arial" w:cs="Arial" w:eastAsia="Arial" w:hAnsi="Arial"/>
                <w:sz w:val="20"/>
                <w:szCs w:val="20"/>
                <w:color w:val="auto"/>
              </w:rPr>
              <w:t>(a) The following documents are filed as part of this report:</w:t>
            </w:r>
          </w:p>
        </w:tc>
        <w:tc>
          <w:tcPr>
            <w:tcW w:w="1820" w:type="dxa"/>
            <w:vAlign w:val="bottom"/>
          </w:tcPr>
          <w:p>
            <w:pPr>
              <w:spacing w:after="0"/>
              <w:rPr>
                <w:sz w:val="24"/>
                <w:szCs w:val="24"/>
                <w:color w:val="auto"/>
              </w:rPr>
            </w:pPr>
          </w:p>
        </w:tc>
      </w:tr>
      <w:tr>
        <w:trPr>
          <w:trHeight w:val="473"/>
        </w:trPr>
        <w:tc>
          <w:tcPr>
            <w:tcW w:w="7820" w:type="dxa"/>
            <w:vAlign w:val="bottom"/>
          </w:tcPr>
          <w:p>
            <w:pPr>
              <w:spacing w:after="0"/>
              <w:rPr>
                <w:sz w:val="20"/>
                <w:szCs w:val="20"/>
                <w:color w:val="auto"/>
              </w:rPr>
            </w:pPr>
            <w:r>
              <w:rPr>
                <w:rFonts w:ascii="Arial" w:cs="Arial" w:eastAsia="Arial" w:hAnsi="Arial"/>
                <w:sz w:val="20"/>
                <w:szCs w:val="20"/>
                <w:b w:val="1"/>
                <w:bCs w:val="1"/>
                <w:color w:val="auto"/>
              </w:rPr>
              <w:t>1. Financial statements</w:t>
            </w:r>
          </w:p>
        </w:tc>
        <w:tc>
          <w:tcPr>
            <w:tcW w:w="1820" w:type="dxa"/>
            <w:vAlign w:val="bottom"/>
          </w:tcPr>
          <w:p>
            <w:pPr>
              <w:spacing w:after="0"/>
              <w:rPr>
                <w:sz w:val="24"/>
                <w:szCs w:val="24"/>
                <w:color w:val="auto"/>
              </w:rPr>
            </w:pPr>
          </w:p>
        </w:tc>
      </w:tr>
      <w:tr>
        <w:trPr>
          <w:trHeight w:val="270"/>
        </w:trPr>
        <w:tc>
          <w:tcPr>
            <w:tcW w:w="7820" w:type="dxa"/>
            <w:vAlign w:val="bottom"/>
          </w:tcPr>
          <w:p>
            <w:pPr>
              <w:spacing w:after="0"/>
              <w:rPr>
                <w:sz w:val="23"/>
                <w:szCs w:val="23"/>
                <w:color w:val="auto"/>
              </w:rPr>
            </w:pPr>
          </w:p>
        </w:tc>
        <w:tc>
          <w:tcPr>
            <w:tcW w:w="1820" w:type="dxa"/>
            <w:vAlign w:val="bottom"/>
          </w:tcPr>
          <w:p>
            <w:pPr>
              <w:jc w:val="center"/>
              <w:spacing w:after="0"/>
              <w:rPr>
                <w:sz w:val="20"/>
                <w:szCs w:val="20"/>
                <w:color w:val="auto"/>
              </w:rPr>
            </w:pPr>
            <w:r>
              <w:rPr>
                <w:rFonts w:ascii="Arial" w:cs="Arial" w:eastAsia="Arial" w:hAnsi="Arial"/>
                <w:sz w:val="20"/>
                <w:szCs w:val="20"/>
                <w:b w:val="1"/>
                <w:bCs w:val="1"/>
                <w:color w:val="auto"/>
                <w:w w:val="87"/>
              </w:rPr>
              <w:t>Page in</w:t>
            </w:r>
          </w:p>
        </w:tc>
      </w:tr>
      <w:tr>
        <w:trPr>
          <w:trHeight w:val="261"/>
        </w:trPr>
        <w:tc>
          <w:tcPr>
            <w:tcW w:w="7820" w:type="dxa"/>
            <w:vAlign w:val="bottom"/>
          </w:tcPr>
          <w:p>
            <w:pPr>
              <w:spacing w:after="0"/>
              <w:rPr>
                <w:sz w:val="22"/>
                <w:szCs w:val="22"/>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93"/>
              </w:rPr>
              <w:t>Annual Report*</w:t>
            </w:r>
          </w:p>
        </w:tc>
      </w:tr>
      <w:tr>
        <w:trPr>
          <w:trHeight w:val="488"/>
        </w:trPr>
        <w:tc>
          <w:tcPr>
            <w:tcW w:w="7820" w:type="dxa"/>
            <w:vAlign w:val="bottom"/>
          </w:tcPr>
          <w:p>
            <w:pPr>
              <w:ind w:left="1820"/>
              <w:spacing w:after="0"/>
              <w:rPr>
                <w:sz w:val="20"/>
                <w:szCs w:val="20"/>
                <w:color w:val="auto"/>
              </w:rPr>
            </w:pPr>
            <w:r>
              <w:rPr>
                <w:rFonts w:ascii="Arial" w:cs="Arial" w:eastAsia="Arial" w:hAnsi="Arial"/>
                <w:sz w:val="20"/>
                <w:szCs w:val="20"/>
                <w:color w:val="auto"/>
              </w:rPr>
              <w:t>Management's Responsibility for Financial Statements</w:t>
            </w:r>
          </w:p>
        </w:tc>
        <w:tc>
          <w:tcPr>
            <w:tcW w:w="1820" w:type="dxa"/>
            <w:vAlign w:val="bottom"/>
          </w:tcPr>
          <w:p>
            <w:pPr>
              <w:jc w:val="center"/>
              <w:spacing w:after="0"/>
              <w:rPr>
                <w:sz w:val="20"/>
                <w:szCs w:val="20"/>
                <w:color w:val="auto"/>
              </w:rPr>
            </w:pPr>
            <w:r>
              <w:rPr>
                <w:rFonts w:ascii="Arial" w:cs="Arial" w:eastAsia="Arial" w:hAnsi="Arial"/>
                <w:sz w:val="20"/>
                <w:szCs w:val="20"/>
                <w:color w:val="auto"/>
                <w:w w:val="89"/>
              </w:rPr>
              <w:t>44</w:t>
            </w:r>
          </w:p>
        </w:tc>
      </w:tr>
      <w:tr>
        <w:trPr>
          <w:trHeight w:val="500"/>
        </w:trPr>
        <w:tc>
          <w:tcPr>
            <w:tcW w:w="7820" w:type="dxa"/>
            <w:vAlign w:val="bottom"/>
          </w:tcPr>
          <w:p>
            <w:pPr>
              <w:ind w:left="1820"/>
              <w:spacing w:after="0"/>
              <w:rPr>
                <w:sz w:val="20"/>
                <w:szCs w:val="20"/>
                <w:color w:val="auto"/>
              </w:rPr>
            </w:pPr>
            <w:r>
              <w:rPr>
                <w:rFonts w:ascii="Arial" w:cs="Arial" w:eastAsia="Arial" w:hAnsi="Arial"/>
                <w:sz w:val="20"/>
                <w:szCs w:val="20"/>
                <w:color w:val="auto"/>
              </w:rPr>
              <w:t>Management's Report On Internal Control Over Financial Reporting</w:t>
            </w:r>
          </w:p>
        </w:tc>
        <w:tc>
          <w:tcPr>
            <w:tcW w:w="1820" w:type="dxa"/>
            <w:vAlign w:val="bottom"/>
          </w:tcPr>
          <w:p>
            <w:pPr>
              <w:jc w:val="center"/>
              <w:spacing w:after="0"/>
              <w:rPr>
                <w:sz w:val="20"/>
                <w:szCs w:val="20"/>
                <w:color w:val="auto"/>
              </w:rPr>
            </w:pPr>
            <w:r>
              <w:rPr>
                <w:rFonts w:ascii="Arial" w:cs="Arial" w:eastAsia="Arial" w:hAnsi="Arial"/>
                <w:sz w:val="20"/>
                <w:szCs w:val="20"/>
                <w:color w:val="auto"/>
                <w:w w:val="89"/>
              </w:rPr>
              <w:t>44</w:t>
            </w:r>
          </w:p>
        </w:tc>
      </w:tr>
      <w:tr>
        <w:trPr>
          <w:trHeight w:val="500"/>
        </w:trPr>
        <w:tc>
          <w:tcPr>
            <w:tcW w:w="7820" w:type="dxa"/>
            <w:vAlign w:val="bottom"/>
          </w:tcPr>
          <w:p>
            <w:pPr>
              <w:ind w:left="1820"/>
              <w:spacing w:after="0"/>
              <w:rPr>
                <w:sz w:val="20"/>
                <w:szCs w:val="20"/>
                <w:color w:val="auto"/>
              </w:rPr>
            </w:pPr>
            <w:r>
              <w:rPr>
                <w:rFonts w:ascii="Arial" w:cs="Arial" w:eastAsia="Arial" w:hAnsi="Arial"/>
                <w:sz w:val="20"/>
                <w:szCs w:val="20"/>
                <w:color w:val="auto"/>
              </w:rPr>
              <w:t>Reports of Independent Registered Public Accounting Firm</w:t>
            </w:r>
          </w:p>
        </w:tc>
        <w:tc>
          <w:tcPr>
            <w:tcW w:w="1820" w:type="dxa"/>
            <w:vAlign w:val="bottom"/>
          </w:tcPr>
          <w:p>
            <w:pPr>
              <w:jc w:val="center"/>
              <w:spacing w:after="0"/>
              <w:rPr>
                <w:sz w:val="20"/>
                <w:szCs w:val="20"/>
                <w:color w:val="auto"/>
              </w:rPr>
            </w:pPr>
            <w:r>
              <w:rPr>
                <w:rFonts w:ascii="Arial" w:cs="Arial" w:eastAsia="Arial" w:hAnsi="Arial"/>
                <w:sz w:val="20"/>
                <w:szCs w:val="20"/>
                <w:color w:val="auto"/>
                <w:w w:val="89"/>
              </w:rPr>
              <w:t>45</w:t>
            </w:r>
          </w:p>
        </w:tc>
      </w:tr>
      <w:tr>
        <w:trPr>
          <w:trHeight w:val="479"/>
        </w:trPr>
        <w:tc>
          <w:tcPr>
            <w:tcW w:w="7820" w:type="dxa"/>
            <w:vAlign w:val="bottom"/>
          </w:tcPr>
          <w:p>
            <w:pPr>
              <w:ind w:left="1820"/>
              <w:spacing w:after="0"/>
              <w:rPr>
                <w:sz w:val="20"/>
                <w:szCs w:val="20"/>
                <w:color w:val="auto"/>
              </w:rPr>
            </w:pPr>
            <w:r>
              <w:rPr>
                <w:rFonts w:ascii="Arial" w:cs="Arial" w:eastAsia="Arial" w:hAnsi="Arial"/>
                <w:sz w:val="20"/>
                <w:szCs w:val="20"/>
                <w:color w:val="auto"/>
                <w:w w:val="95"/>
              </w:rPr>
              <w:t>Statements of Consolidated Income for the years ended December 31,</w:t>
            </w:r>
          </w:p>
        </w:tc>
        <w:tc>
          <w:tcPr>
            <w:tcW w:w="1820" w:type="dxa"/>
            <w:vAlign w:val="bottom"/>
          </w:tcPr>
          <w:p>
            <w:pPr>
              <w:spacing w:after="0"/>
              <w:rPr>
                <w:sz w:val="24"/>
                <w:szCs w:val="24"/>
                <w:color w:val="auto"/>
              </w:rPr>
            </w:pPr>
          </w:p>
        </w:tc>
      </w:tr>
      <w:tr>
        <w:trPr>
          <w:trHeight w:val="250"/>
        </w:trPr>
        <w:tc>
          <w:tcPr>
            <w:tcW w:w="7820" w:type="dxa"/>
            <w:vAlign w:val="bottom"/>
          </w:tcPr>
          <w:p>
            <w:pPr>
              <w:ind w:left="1920"/>
              <w:spacing w:after="0"/>
              <w:rPr>
                <w:sz w:val="20"/>
                <w:szCs w:val="20"/>
                <w:color w:val="auto"/>
              </w:rPr>
            </w:pPr>
            <w:r>
              <w:rPr>
                <w:rFonts w:ascii="Arial" w:cs="Arial" w:eastAsia="Arial" w:hAnsi="Arial"/>
                <w:sz w:val="20"/>
                <w:szCs w:val="20"/>
                <w:color w:val="auto"/>
              </w:rPr>
              <w:t>2007, 2006 and 2005</w:t>
            </w:r>
          </w:p>
        </w:tc>
        <w:tc>
          <w:tcPr>
            <w:tcW w:w="1820" w:type="dxa"/>
            <w:vAlign w:val="bottom"/>
          </w:tcPr>
          <w:p>
            <w:pPr>
              <w:jc w:val="center"/>
              <w:spacing w:after="0"/>
              <w:rPr>
                <w:sz w:val="20"/>
                <w:szCs w:val="20"/>
                <w:color w:val="auto"/>
              </w:rPr>
            </w:pPr>
            <w:r>
              <w:rPr>
                <w:rFonts w:ascii="Arial" w:cs="Arial" w:eastAsia="Arial" w:hAnsi="Arial"/>
                <w:sz w:val="20"/>
                <w:szCs w:val="20"/>
                <w:color w:val="auto"/>
                <w:w w:val="89"/>
              </w:rPr>
              <w:t>48</w:t>
            </w:r>
          </w:p>
        </w:tc>
      </w:tr>
      <w:tr>
        <w:trPr>
          <w:trHeight w:val="500"/>
        </w:trPr>
        <w:tc>
          <w:tcPr>
            <w:tcW w:w="7820" w:type="dxa"/>
            <w:vAlign w:val="bottom"/>
          </w:tcPr>
          <w:p>
            <w:pPr>
              <w:ind w:left="1820"/>
              <w:spacing w:after="0"/>
              <w:rPr>
                <w:sz w:val="20"/>
                <w:szCs w:val="20"/>
                <w:color w:val="auto"/>
              </w:rPr>
            </w:pPr>
            <w:r>
              <w:rPr>
                <w:rFonts w:ascii="Arial" w:cs="Arial" w:eastAsia="Arial" w:hAnsi="Arial"/>
                <w:sz w:val="20"/>
                <w:szCs w:val="20"/>
                <w:color w:val="auto"/>
              </w:rPr>
              <w:t>Consolidated Balance Sheets at December 31, 2007 and 2006</w:t>
            </w:r>
          </w:p>
        </w:tc>
        <w:tc>
          <w:tcPr>
            <w:tcW w:w="1820" w:type="dxa"/>
            <w:vAlign w:val="bottom"/>
          </w:tcPr>
          <w:p>
            <w:pPr>
              <w:jc w:val="center"/>
              <w:spacing w:after="0"/>
              <w:rPr>
                <w:sz w:val="20"/>
                <w:szCs w:val="20"/>
                <w:color w:val="auto"/>
              </w:rPr>
            </w:pPr>
            <w:r>
              <w:rPr>
                <w:rFonts w:ascii="Arial" w:cs="Arial" w:eastAsia="Arial" w:hAnsi="Arial"/>
                <w:sz w:val="20"/>
                <w:szCs w:val="20"/>
                <w:color w:val="auto"/>
                <w:w w:val="89"/>
              </w:rPr>
              <w:t>49</w:t>
            </w:r>
          </w:p>
        </w:tc>
      </w:tr>
      <w:tr>
        <w:trPr>
          <w:trHeight w:val="479"/>
        </w:trPr>
        <w:tc>
          <w:tcPr>
            <w:tcW w:w="7820" w:type="dxa"/>
            <w:vAlign w:val="bottom"/>
          </w:tcPr>
          <w:p>
            <w:pPr>
              <w:ind w:left="1820"/>
              <w:spacing w:after="0"/>
              <w:rPr>
                <w:sz w:val="20"/>
                <w:szCs w:val="20"/>
                <w:color w:val="auto"/>
              </w:rPr>
            </w:pPr>
            <w:r>
              <w:rPr>
                <w:rFonts w:ascii="Arial" w:cs="Arial" w:eastAsia="Arial" w:hAnsi="Arial"/>
                <w:sz w:val="20"/>
                <w:szCs w:val="20"/>
                <w:color w:val="auto"/>
                <w:w w:val="89"/>
              </w:rPr>
              <w:t>Statements of Consolidated Cash Flows for the years ended December 31,</w:t>
            </w:r>
          </w:p>
        </w:tc>
        <w:tc>
          <w:tcPr>
            <w:tcW w:w="1820" w:type="dxa"/>
            <w:vAlign w:val="bottom"/>
          </w:tcPr>
          <w:p>
            <w:pPr>
              <w:spacing w:after="0"/>
              <w:rPr>
                <w:sz w:val="24"/>
                <w:szCs w:val="24"/>
                <w:color w:val="auto"/>
              </w:rPr>
            </w:pPr>
          </w:p>
        </w:tc>
      </w:tr>
      <w:tr>
        <w:trPr>
          <w:trHeight w:val="250"/>
        </w:trPr>
        <w:tc>
          <w:tcPr>
            <w:tcW w:w="7820" w:type="dxa"/>
            <w:vAlign w:val="bottom"/>
          </w:tcPr>
          <w:p>
            <w:pPr>
              <w:ind w:left="1920"/>
              <w:spacing w:after="0"/>
              <w:rPr>
                <w:sz w:val="20"/>
                <w:szCs w:val="20"/>
                <w:color w:val="auto"/>
              </w:rPr>
            </w:pPr>
            <w:r>
              <w:rPr>
                <w:rFonts w:ascii="Arial" w:cs="Arial" w:eastAsia="Arial" w:hAnsi="Arial"/>
                <w:sz w:val="20"/>
                <w:szCs w:val="20"/>
                <w:color w:val="auto"/>
              </w:rPr>
              <w:t>2007, 2006 and 2005</w:t>
            </w:r>
          </w:p>
        </w:tc>
        <w:tc>
          <w:tcPr>
            <w:tcW w:w="1820" w:type="dxa"/>
            <w:vAlign w:val="bottom"/>
          </w:tcPr>
          <w:p>
            <w:pPr>
              <w:jc w:val="center"/>
              <w:spacing w:after="0"/>
              <w:rPr>
                <w:sz w:val="20"/>
                <w:szCs w:val="20"/>
                <w:color w:val="auto"/>
              </w:rPr>
            </w:pPr>
            <w:r>
              <w:rPr>
                <w:rFonts w:ascii="Arial" w:cs="Arial" w:eastAsia="Arial" w:hAnsi="Arial"/>
                <w:sz w:val="20"/>
                <w:szCs w:val="20"/>
                <w:color w:val="auto"/>
                <w:w w:val="89"/>
              </w:rPr>
              <w:t>51</w:t>
            </w:r>
          </w:p>
        </w:tc>
      </w:tr>
      <w:tr>
        <w:trPr>
          <w:trHeight w:val="479"/>
        </w:trPr>
        <w:tc>
          <w:tcPr>
            <w:tcW w:w="7820" w:type="dxa"/>
            <w:vAlign w:val="bottom"/>
          </w:tcPr>
          <w:p>
            <w:pPr>
              <w:ind w:left="1820"/>
              <w:spacing w:after="0"/>
              <w:rPr>
                <w:sz w:val="20"/>
                <w:szCs w:val="20"/>
                <w:color w:val="auto"/>
              </w:rPr>
            </w:pPr>
            <w:r>
              <w:rPr>
                <w:rFonts w:ascii="Arial" w:cs="Arial" w:eastAsia="Arial" w:hAnsi="Arial"/>
                <w:sz w:val="20"/>
                <w:szCs w:val="20"/>
                <w:color w:val="auto"/>
                <w:w w:val="98"/>
              </w:rPr>
              <w:t>Statements of Consolidated Comprehensive Income and Changes in</w:t>
            </w:r>
          </w:p>
        </w:tc>
        <w:tc>
          <w:tcPr>
            <w:tcW w:w="1820" w:type="dxa"/>
            <w:vAlign w:val="bottom"/>
          </w:tcPr>
          <w:p>
            <w:pPr>
              <w:spacing w:after="0"/>
              <w:rPr>
                <w:sz w:val="24"/>
                <w:szCs w:val="24"/>
                <w:color w:val="auto"/>
              </w:rPr>
            </w:pPr>
          </w:p>
        </w:tc>
      </w:tr>
      <w:tr>
        <w:trPr>
          <w:trHeight w:val="230"/>
        </w:trPr>
        <w:tc>
          <w:tcPr>
            <w:tcW w:w="7820" w:type="dxa"/>
            <w:vAlign w:val="bottom"/>
          </w:tcPr>
          <w:p>
            <w:pPr>
              <w:ind w:left="1920"/>
              <w:spacing w:after="0"/>
              <w:rPr>
                <w:sz w:val="20"/>
                <w:szCs w:val="20"/>
                <w:color w:val="auto"/>
              </w:rPr>
            </w:pPr>
            <w:r>
              <w:rPr>
                <w:rFonts w:ascii="Arial" w:cs="Arial" w:eastAsia="Arial" w:hAnsi="Arial"/>
                <w:sz w:val="20"/>
                <w:szCs w:val="20"/>
                <w:color w:val="auto"/>
                <w:w w:val="92"/>
              </w:rPr>
              <w:t>Shareholders' Equity for the years ended December 31, 2007, 2006 and</w:t>
            </w:r>
          </w:p>
        </w:tc>
        <w:tc>
          <w:tcPr>
            <w:tcW w:w="1820" w:type="dxa"/>
            <w:vAlign w:val="bottom"/>
          </w:tcPr>
          <w:p>
            <w:pPr>
              <w:spacing w:after="0"/>
              <w:rPr>
                <w:sz w:val="19"/>
                <w:szCs w:val="19"/>
                <w:color w:val="auto"/>
              </w:rPr>
            </w:pPr>
          </w:p>
        </w:tc>
      </w:tr>
      <w:tr>
        <w:trPr>
          <w:trHeight w:val="250"/>
        </w:trPr>
        <w:tc>
          <w:tcPr>
            <w:tcW w:w="7820" w:type="dxa"/>
            <w:vAlign w:val="bottom"/>
          </w:tcPr>
          <w:p>
            <w:pPr>
              <w:ind w:left="1920"/>
              <w:spacing w:after="0"/>
              <w:rPr>
                <w:sz w:val="20"/>
                <w:szCs w:val="20"/>
                <w:color w:val="auto"/>
              </w:rPr>
            </w:pPr>
            <w:r>
              <w:rPr>
                <w:rFonts w:ascii="Arial" w:cs="Arial" w:eastAsia="Arial" w:hAnsi="Arial"/>
                <w:sz w:val="20"/>
                <w:szCs w:val="20"/>
                <w:color w:val="auto"/>
              </w:rPr>
              <w:t>2005</w:t>
            </w:r>
          </w:p>
        </w:tc>
        <w:tc>
          <w:tcPr>
            <w:tcW w:w="1820" w:type="dxa"/>
            <w:vAlign w:val="bottom"/>
          </w:tcPr>
          <w:p>
            <w:pPr>
              <w:jc w:val="center"/>
              <w:spacing w:after="0"/>
              <w:rPr>
                <w:sz w:val="20"/>
                <w:szCs w:val="20"/>
                <w:color w:val="auto"/>
              </w:rPr>
            </w:pPr>
            <w:r>
              <w:rPr>
                <w:rFonts w:ascii="Arial" w:cs="Arial" w:eastAsia="Arial" w:hAnsi="Arial"/>
                <w:sz w:val="20"/>
                <w:szCs w:val="20"/>
                <w:color w:val="auto"/>
                <w:w w:val="89"/>
              </w:rPr>
              <w:t>53</w:t>
            </w:r>
          </w:p>
        </w:tc>
      </w:tr>
      <w:tr>
        <w:trPr>
          <w:trHeight w:val="500"/>
        </w:trPr>
        <w:tc>
          <w:tcPr>
            <w:tcW w:w="7820" w:type="dxa"/>
            <w:vAlign w:val="bottom"/>
          </w:tcPr>
          <w:p>
            <w:pPr>
              <w:ind w:left="1820"/>
              <w:spacing w:after="0"/>
              <w:rPr>
                <w:sz w:val="20"/>
                <w:szCs w:val="20"/>
                <w:color w:val="auto"/>
              </w:rPr>
            </w:pPr>
            <w:r>
              <w:rPr>
                <w:rFonts w:ascii="Arial" w:cs="Arial" w:eastAsia="Arial" w:hAnsi="Arial"/>
                <w:sz w:val="20"/>
                <w:szCs w:val="20"/>
                <w:color w:val="auto"/>
              </w:rPr>
              <w:t>Notes to Consolidated Financial Statements</w:t>
            </w:r>
          </w:p>
        </w:tc>
        <w:tc>
          <w:tcPr>
            <w:tcW w:w="1820" w:type="dxa"/>
            <w:vAlign w:val="bottom"/>
          </w:tcPr>
          <w:p>
            <w:pPr>
              <w:jc w:val="center"/>
              <w:spacing w:after="0"/>
              <w:rPr>
                <w:sz w:val="20"/>
                <w:szCs w:val="20"/>
                <w:color w:val="auto"/>
              </w:rPr>
            </w:pPr>
            <w:r>
              <w:rPr>
                <w:rFonts w:ascii="Arial" w:cs="Arial" w:eastAsia="Arial" w:hAnsi="Arial"/>
                <w:sz w:val="20"/>
                <w:szCs w:val="20"/>
                <w:color w:val="auto"/>
                <w:w w:val="89"/>
              </w:rPr>
              <w:t>54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1145540</wp:posOffset>
            </wp:positionH>
            <wp:positionV relativeFrom="paragraph">
              <wp:posOffset>160655</wp:posOffset>
            </wp:positionV>
            <wp:extent cx="497395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973955" cy="26035"/>
                    </a:xfrm>
                    <a:prstGeom prst="rect">
                      <a:avLst/>
                    </a:prstGeom>
                    <a:noFill/>
                  </pic:spPr>
                </pic:pic>
              </a:graphicData>
            </a:graphic>
          </wp:anchor>
        </w:drawing>
      </w:r>
    </w:p>
    <w:p>
      <w:pPr>
        <w:spacing w:after="0" w:line="270" w:lineRule="exact"/>
        <w:rPr>
          <w:sz w:val="20"/>
          <w:szCs w:val="20"/>
          <w:color w:val="auto"/>
        </w:rPr>
      </w:pPr>
    </w:p>
    <w:p>
      <w:pPr>
        <w:ind w:left="2140" w:right="2580" w:hanging="230"/>
        <w:spacing w:after="0" w:line="260" w:lineRule="auto"/>
        <w:tabs>
          <w:tab w:leader="none" w:pos="2140" w:val="left"/>
        </w:tabs>
        <w:numPr>
          <w:ilvl w:val="1"/>
          <w:numId w:val="9"/>
        </w:numPr>
        <w:rPr>
          <w:rFonts w:ascii="Arial" w:cs="Arial" w:eastAsia="Arial" w:hAnsi="Arial"/>
          <w:sz w:val="20"/>
          <w:szCs w:val="20"/>
          <w:color w:val="auto"/>
        </w:rPr>
      </w:pPr>
      <w:r>
        <w:rPr>
          <w:rFonts w:ascii="Arial" w:cs="Arial" w:eastAsia="Arial" w:hAnsi="Arial"/>
          <w:sz w:val="20"/>
          <w:szCs w:val="20"/>
          <w:color w:val="auto"/>
        </w:rPr>
        <w:t>Incorporated by reference from the indicated pages of the 2007 Annual Report to Shareholders, filed as Exhibit 13.01.</w:t>
      </w:r>
    </w:p>
    <w:p>
      <w:pPr>
        <w:spacing w:after="0" w:line="200" w:lineRule="exact"/>
        <w:rPr>
          <w:rFonts w:ascii="Arial" w:cs="Arial" w:eastAsia="Arial" w:hAnsi="Arial"/>
          <w:sz w:val="20"/>
          <w:szCs w:val="20"/>
          <w:color w:val="auto"/>
        </w:rPr>
      </w:pPr>
    </w:p>
    <w:p>
      <w:pPr>
        <w:spacing w:after="0" w:line="254" w:lineRule="exact"/>
        <w:rPr>
          <w:rFonts w:ascii="Arial" w:cs="Arial" w:eastAsia="Arial" w:hAnsi="Arial"/>
          <w:sz w:val="20"/>
          <w:szCs w:val="20"/>
          <w:color w:val="auto"/>
        </w:rPr>
      </w:pPr>
    </w:p>
    <w:p>
      <w:pPr>
        <w:ind w:left="200" w:hanging="192"/>
        <w:spacing w:after="0"/>
        <w:tabs>
          <w:tab w:leader="none" w:pos="200" w:val="left"/>
        </w:tabs>
        <w:numPr>
          <w:ilvl w:val="0"/>
          <w:numId w:val="9"/>
        </w:numPr>
        <w:rPr>
          <w:rFonts w:ascii="Arial" w:cs="Arial" w:eastAsia="Arial" w:hAnsi="Arial"/>
          <w:sz w:val="20"/>
          <w:szCs w:val="20"/>
          <w:b w:val="1"/>
          <w:bCs w:val="1"/>
          <w:color w:val="auto"/>
        </w:rPr>
      </w:pPr>
      <w:r>
        <w:rPr>
          <w:rFonts w:ascii="Arial" w:cs="Arial" w:eastAsia="Arial" w:hAnsi="Arial"/>
          <w:sz w:val="20"/>
          <w:szCs w:val="20"/>
          <w:b w:val="1"/>
          <w:bCs w:val="1"/>
          <w:color w:val="auto"/>
        </w:rPr>
        <w:t>Financial statement schedules</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Schedule I--Condensed Financial Information of Parent may be found on page 37.</w:t>
      </w:r>
    </w:p>
    <w:p>
      <w:pPr>
        <w:spacing w:after="0" w:line="243"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Any other schedule for which provision is made in Regulation S-X is not required under the instructions contained therein, is inapplicable or the information is included in the Consolidated Financial Statements and notes thereto.</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3. Exhibits</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See Exhibit Index on page 42 of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color w:val="auto"/>
        </w:rPr>
        <w:t>35</w:t>
      </w:r>
    </w:p>
    <w:p>
      <w:pPr>
        <w:sectPr>
          <w:pgSz w:w="11900" w:h="16838" w:orient="portrait"/>
          <w:cols w:equalWidth="0" w:num="1">
            <w:col w:w="11140"/>
          </w:cols>
          <w:pgMar w:left="240" w:top="116" w:right="519" w:bottom="1440" w:gutter="0" w:footer="0" w:header="0"/>
        </w:sectPr>
      </w:pPr>
    </w:p>
    <w:bookmarkStart w:id="35" w:name="page36"/>
    <w:bookmarkEnd w:id="35"/>
    <w:p>
      <w:pPr>
        <w:spacing w:after="0"/>
        <w:rPr>
          <w:sz w:val="20"/>
          <w:szCs w:val="20"/>
          <w:color w:val="auto"/>
        </w:rPr>
      </w:pPr>
      <w:r>
        <w:rPr>
          <w:rFonts w:ascii="Arial" w:cs="Arial" w:eastAsia="Arial" w:hAnsi="Arial"/>
          <w:sz w:val="20"/>
          <w:szCs w:val="20"/>
          <w:b w:val="1"/>
          <w:bCs w:val="1"/>
          <w:color w:val="auto"/>
        </w:rPr>
        <w:t>CONSENT OF INDEPENDENT REGISTERED PUBLIC ACCOUNTING FIRM AND REPORT ON SCHEDULE</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color w:val="auto"/>
        </w:rPr>
        <w:t>To the Board of Directors and Shareholders of Sempra Energy:</w:t>
      </w:r>
    </w:p>
    <w:p>
      <w:pPr>
        <w:spacing w:after="0" w:line="229" w:lineRule="exact"/>
        <w:rPr>
          <w:sz w:val="20"/>
          <w:szCs w:val="20"/>
          <w:color w:val="auto"/>
        </w:rPr>
      </w:pPr>
    </w:p>
    <w:p>
      <w:pPr>
        <w:spacing w:after="0" w:line="256" w:lineRule="auto"/>
        <w:rPr>
          <w:sz w:val="20"/>
          <w:szCs w:val="20"/>
          <w:color w:val="auto"/>
        </w:rPr>
      </w:pPr>
      <w:r>
        <w:rPr>
          <w:rFonts w:ascii="Arial" w:cs="Arial" w:eastAsia="Arial" w:hAnsi="Arial"/>
          <w:sz w:val="19"/>
          <w:szCs w:val="19"/>
          <w:color w:val="auto"/>
        </w:rPr>
        <w:t>We consent to the incorporation by reference in Registration Statements No. 333-51309, 333-52192, 333-70640 and 333-103588 on Form S-3 and 333-56161, 333-50806, 333-49732, 333-121073 and 333-128441 on Form S-8 of our reports dated February 25, 2008, relating to the consolidated financial statements of Sempra Energy and subsidiaries ("the Company") (which report expresses an unqualified opinion and includes an explanatory paragraph relating to the Company's adoption of Financial Accounting Standards Board ("FASB") Statement No. 157, Fair Value Measurements, effective January 1, 2007, FASB Interpretation No. 48, Accounting for Uncertainty in Income Taxes, an interpretation of FASB Statement No. 109, effective January 1, 2007, and FASB Statement No. 158, Employers’ Accounting for Defined Benefit Pension and Other Postretirement Plans, an amendment of FASB Statements No. 87, 88, 106, and 132(R), effective December 31, 2006) and the effectiveness of the Company’s internal control ove r financial reporting, incorporated by reference in this Annual Report on Form 10-K of Sempra Energy for the year ended December 31, 2007.</w:t>
      </w:r>
    </w:p>
    <w:p>
      <w:pPr>
        <w:spacing w:after="0" w:line="212" w:lineRule="exact"/>
        <w:rPr>
          <w:sz w:val="20"/>
          <w:szCs w:val="20"/>
          <w:color w:val="auto"/>
        </w:rPr>
      </w:pPr>
    </w:p>
    <w:p>
      <w:pPr>
        <w:ind w:right="60"/>
        <w:spacing w:after="0" w:line="263" w:lineRule="auto"/>
        <w:rPr>
          <w:sz w:val="20"/>
          <w:szCs w:val="20"/>
          <w:color w:val="auto"/>
        </w:rPr>
      </w:pPr>
      <w:r>
        <w:rPr>
          <w:rFonts w:ascii="Arial" w:cs="Arial" w:eastAsia="Arial" w:hAnsi="Arial"/>
          <w:sz w:val="19"/>
          <w:szCs w:val="19"/>
          <w:color w:val="auto"/>
        </w:rPr>
        <w:t>Our audits of the financial statements referred to in our aforementioned report also included the financial statement schedule of the Company, listed in Item 15. This financial statement schedule is the responsibility of the Company’s management. Our responsibility is to express an opinion based on our audits. In our opinion, such financial statement schedule, when considered in relation to the basic financial statements taken as a whole, presents fairly, in all material respects, the information set forth therein.</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/S/ DELOITTE &amp; TOUCHE LLP</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San Diego, California</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February 25, 2008</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36</w:t>
      </w:r>
    </w:p>
    <w:p>
      <w:pPr>
        <w:sectPr>
          <w:pgSz w:w="11900" w:h="16838" w:orient="portrait"/>
          <w:cols w:equalWidth="0" w:num="1">
            <w:col w:w="11280"/>
          </w:cols>
          <w:pgMar w:left="240" w:top="115" w:right="379" w:bottom="1440" w:gutter="0" w:footer="0" w:header="0"/>
        </w:sectPr>
      </w:pPr>
    </w:p>
    <w:bookmarkStart w:id="36" w:name="page37"/>
    <w:bookmarkEnd w:id="36"/>
    <w:p>
      <w:pPr>
        <w:jc w:val="center"/>
        <w:ind w:right="-1200"/>
        <w:spacing w:after="0"/>
        <w:rPr>
          <w:sz w:val="20"/>
          <w:szCs w:val="20"/>
          <w:color w:val="auto"/>
        </w:rPr>
      </w:pPr>
      <w:r>
        <w:rPr>
          <w:rFonts w:ascii="Arial" w:cs="Arial" w:eastAsia="Arial" w:hAnsi="Arial"/>
          <w:sz w:val="20"/>
          <w:szCs w:val="20"/>
          <w:b w:val="1"/>
          <w:bCs w:val="1"/>
          <w:color w:val="auto"/>
        </w:rPr>
        <w:t>Schedule I -- Condensed Financial Information of Parent</w:t>
      </w:r>
    </w:p>
    <w:p>
      <w:pPr>
        <w:spacing w:after="0" w:line="249"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SEMPRA ENERGY</w:t>
      </w:r>
    </w:p>
    <w:p>
      <w:pPr>
        <w:spacing w:after="0" w:line="229" w:lineRule="exact"/>
        <w:rPr>
          <w:sz w:val="20"/>
          <w:szCs w:val="20"/>
          <w:color w:val="auto"/>
        </w:rPr>
      </w:pPr>
    </w:p>
    <w:p>
      <w:pPr>
        <w:ind w:left="3880"/>
        <w:spacing w:after="0"/>
        <w:rPr>
          <w:sz w:val="20"/>
          <w:szCs w:val="20"/>
          <w:color w:val="auto"/>
        </w:rPr>
      </w:pPr>
      <w:r>
        <w:rPr>
          <w:rFonts w:ascii="Arial" w:cs="Arial" w:eastAsia="Arial" w:hAnsi="Arial"/>
          <w:sz w:val="20"/>
          <w:szCs w:val="20"/>
          <w:color w:val="auto"/>
        </w:rPr>
        <w:t>CONDENSED STATEMENTS OF INCOME</w:t>
      </w:r>
    </w:p>
    <w:p>
      <w:pPr>
        <w:spacing w:after="0" w:line="286" w:lineRule="exact"/>
        <w:rPr>
          <w:sz w:val="20"/>
          <w:szCs w:val="20"/>
          <w:color w:val="auto"/>
        </w:rPr>
      </w:pPr>
    </w:p>
    <w:tbl>
      <w:tblPr>
        <w:tblLayout w:type="fixed"/>
        <w:tblInd w:w="1460" w:type="dxa"/>
        <w:tblCellMar>
          <w:top w:w="0" w:type="dxa"/>
          <w:left w:w="0" w:type="dxa"/>
          <w:bottom w:w="0" w:type="dxa"/>
          <w:right w:w="0" w:type="dxa"/>
        </w:tblCellMar>
      </w:tblPr>
      <w:tr>
        <w:trPr>
          <w:trHeight w:val="237"/>
        </w:trPr>
        <w:tc>
          <w:tcPr>
            <w:tcW w:w="504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Years ended December 31,</w:t>
            </w:r>
          </w:p>
        </w:tc>
        <w:tc>
          <w:tcPr>
            <w:tcW w:w="700" w:type="dxa"/>
            <w:vAlign w:val="bottom"/>
            <w:tcBorders>
              <w:bottom w:val="single" w:sz="8" w:color="auto"/>
            </w:tcBorders>
          </w:tcPr>
          <w:p>
            <w:pPr>
              <w:spacing w:after="0"/>
              <w:rPr>
                <w:sz w:val="20"/>
                <w:szCs w:val="20"/>
                <w:color w:val="auto"/>
              </w:rPr>
            </w:pPr>
          </w:p>
        </w:tc>
      </w:tr>
      <w:tr>
        <w:trPr>
          <w:trHeight w:val="237"/>
        </w:trPr>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(Dollars in millions, except per share amounts)</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2007</w:t>
            </w:r>
          </w:p>
        </w:tc>
        <w:tc>
          <w:tcPr>
            <w:tcW w:w="20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rPr>
              <w:t>2006</w:t>
            </w:r>
          </w:p>
        </w:tc>
        <w:tc>
          <w:tcPr>
            <w:tcW w:w="7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2005</w:t>
            </w:r>
          </w:p>
        </w:tc>
      </w:tr>
    </w:tbl>
    <w:p>
      <w:pPr>
        <w:spacing w:after="0" w:line="200" w:lineRule="exact"/>
        <w:rPr>
          <w:sz w:val="20"/>
          <w:szCs w:val="20"/>
          <w:color w:val="auto"/>
        </w:rPr>
      </w:pPr>
    </w:p>
    <w:p>
      <w:pPr>
        <w:sectPr>
          <w:pgSz w:w="11900" w:h="16838" w:orient="portrait"/>
          <w:cols w:equalWidth="0" w:num="1">
            <w:col w:w="10219"/>
          </w:cols>
          <w:pgMar w:left="240" w:top="603" w:right="1440" w:bottom="1440" w:gutter="0" w:footer="0" w:header="0"/>
        </w:sectPr>
      </w:pPr>
    </w:p>
    <w:p>
      <w:pPr>
        <w:spacing w:after="0" w:line="42"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Interest income</w:t>
      </w:r>
    </w:p>
    <w:p>
      <w:pPr>
        <w:spacing w:after="0" w:line="36"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Interest expense</w:t>
      </w:r>
    </w:p>
    <w:p>
      <w:pPr>
        <w:spacing w:after="0" w:line="36"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Litigation expense</w:t>
      </w:r>
    </w:p>
    <w:p>
      <w:pPr>
        <w:spacing w:after="0" w:line="36"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Operating expenses and other</w:t>
      </w:r>
    </w:p>
    <w:p>
      <w:pPr>
        <w:spacing w:after="0" w:line="50"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Income tax benefits</w:t>
      </w:r>
    </w:p>
    <w:p>
      <w:pPr>
        <w:spacing w:after="0" w:line="36" w:lineRule="exact"/>
        <w:rPr>
          <w:sz w:val="20"/>
          <w:szCs w:val="20"/>
          <w:color w:val="auto"/>
        </w:rPr>
      </w:pPr>
    </w:p>
    <w:p>
      <w:pPr>
        <w:ind w:left="1460" w:right="1080" w:firstLine="162"/>
        <w:spacing w:after="0" w:line="331" w:lineRule="auto"/>
        <w:rPr>
          <w:sz w:val="20"/>
          <w:szCs w:val="20"/>
          <w:color w:val="auto"/>
        </w:rPr>
      </w:pPr>
      <w:r>
        <w:rPr>
          <w:rFonts w:ascii="Arial" w:cs="Arial" w:eastAsia="Arial" w:hAnsi="Arial"/>
          <w:sz w:val="17"/>
          <w:szCs w:val="17"/>
          <w:color w:val="auto"/>
        </w:rPr>
        <w:t>Loss before equity in earnings of subsidiaries Equity in earnings of subsidiaries</w:t>
      </w:r>
    </w:p>
    <w:p>
      <w:pPr>
        <w:spacing w:after="0" w:line="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Net income</w:t>
      </w:r>
    </w:p>
    <w:p>
      <w:pPr>
        <w:spacing w:after="0" w:line="27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Basic earnings per share:</w:t>
      </w:r>
    </w:p>
    <w:p>
      <w:pPr>
        <w:spacing w:after="0" w:line="7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Net income</w:t>
      </w:r>
    </w:p>
    <w:p>
      <w:pPr>
        <w:spacing w:after="0" w:line="77"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Weighted-average number of shares outstanding (thousands)</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30"/>
              <w:spacing w:after="0"/>
              <w:rPr>
                <w:sz w:val="20"/>
                <w:szCs w:val="20"/>
                <w:color w:val="auto"/>
              </w:rPr>
            </w:pPr>
            <w:r>
              <w:rPr>
                <w:rFonts w:ascii="Arial" w:cs="Arial" w:eastAsia="Arial" w:hAnsi="Arial"/>
                <w:sz w:val="18"/>
                <w:szCs w:val="18"/>
                <w:color w:val="auto"/>
              </w:rPr>
              <w:t>166</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188</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186</w:t>
            </w:r>
          </w:p>
        </w:tc>
      </w:tr>
      <w:tr>
        <w:trPr>
          <w:trHeight w:val="243"/>
        </w:trPr>
        <w:tc>
          <w:tcPr>
            <w:tcW w:w="240" w:type="dxa"/>
            <w:vAlign w:val="bottom"/>
          </w:tcPr>
          <w:p>
            <w:pPr>
              <w:spacing w:after="0"/>
              <w:rPr>
                <w:sz w:val="21"/>
                <w:szCs w:val="21"/>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(178 )</w:t>
            </w:r>
          </w:p>
        </w:tc>
        <w:tc>
          <w:tcPr>
            <w:tcW w:w="340" w:type="dxa"/>
            <w:vAlign w:val="bottom"/>
          </w:tcPr>
          <w:p>
            <w:pPr>
              <w:spacing w:after="0"/>
              <w:rPr>
                <w:sz w:val="21"/>
                <w:szCs w:val="21"/>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(202 )</w:t>
            </w:r>
          </w:p>
        </w:tc>
        <w:tc>
          <w:tcPr>
            <w:tcW w:w="3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(197 )</w:t>
            </w:r>
          </w:p>
        </w:tc>
      </w:tr>
      <w:tr>
        <w:trPr>
          <w:trHeight w:val="243"/>
        </w:trPr>
        <w:tc>
          <w:tcPr>
            <w:tcW w:w="240" w:type="dxa"/>
            <w:vAlign w:val="bottom"/>
          </w:tcPr>
          <w:p>
            <w:pPr>
              <w:spacing w:after="0"/>
              <w:rPr>
                <w:sz w:val="21"/>
                <w:szCs w:val="21"/>
                <w:color w:val="auto"/>
              </w:rPr>
            </w:pPr>
          </w:p>
        </w:tc>
        <w:tc>
          <w:tcPr>
            <w:tcW w:w="9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(2 )</w:t>
            </w:r>
          </w:p>
        </w:tc>
        <w:tc>
          <w:tcPr>
            <w:tcW w:w="3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(316 )</w:t>
            </w:r>
          </w:p>
        </w:tc>
      </w:tr>
      <w:tr>
        <w:trPr>
          <w:trHeight w:val="243"/>
        </w:trPr>
        <w:tc>
          <w:tcPr>
            <w:tcW w:w="240" w:type="dxa"/>
            <w:vAlign w:val="bottom"/>
          </w:tcPr>
          <w:p>
            <w:pPr>
              <w:spacing w:after="0"/>
              <w:rPr>
                <w:sz w:val="21"/>
                <w:szCs w:val="21"/>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(47 )</w:t>
            </w:r>
          </w:p>
        </w:tc>
        <w:tc>
          <w:tcPr>
            <w:tcW w:w="340" w:type="dxa"/>
            <w:vAlign w:val="bottom"/>
          </w:tcPr>
          <w:p>
            <w:pPr>
              <w:spacing w:after="0"/>
              <w:rPr>
                <w:sz w:val="21"/>
                <w:szCs w:val="21"/>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(97 )</w:t>
            </w:r>
          </w:p>
        </w:tc>
        <w:tc>
          <w:tcPr>
            <w:tcW w:w="3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(41 )</w:t>
            </w:r>
          </w:p>
        </w:tc>
      </w:tr>
      <w:tr>
        <w:trPr>
          <w:trHeight w:val="250"/>
        </w:trPr>
        <w:tc>
          <w:tcPr>
            <w:tcW w:w="2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38</w:t>
            </w:r>
          </w:p>
        </w:tc>
        <w:tc>
          <w:tcPr>
            <w:tcW w:w="3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61</w:t>
            </w:r>
          </w:p>
        </w:tc>
        <w:tc>
          <w:tcPr>
            <w:tcW w:w="3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195</w:t>
            </w:r>
          </w:p>
        </w:tc>
      </w:tr>
      <w:tr>
        <w:trPr>
          <w:trHeight w:val="230"/>
        </w:trPr>
        <w:tc>
          <w:tcPr>
            <w:tcW w:w="240" w:type="dxa"/>
            <w:vAlign w:val="bottom"/>
          </w:tcPr>
          <w:p>
            <w:pPr>
              <w:spacing w:after="0"/>
              <w:rPr>
                <w:sz w:val="20"/>
                <w:szCs w:val="20"/>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(21 )</w:t>
            </w:r>
          </w:p>
        </w:tc>
        <w:tc>
          <w:tcPr>
            <w:tcW w:w="340" w:type="dxa"/>
            <w:vAlign w:val="bottom"/>
          </w:tcPr>
          <w:p>
            <w:pPr>
              <w:spacing w:after="0"/>
              <w:rPr>
                <w:sz w:val="20"/>
                <w:szCs w:val="20"/>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(52 )</w:t>
            </w:r>
          </w:p>
        </w:tc>
        <w:tc>
          <w:tcPr>
            <w:tcW w:w="3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(173 )</w:t>
            </w:r>
          </w:p>
        </w:tc>
      </w:tr>
      <w:tr>
        <w:trPr>
          <w:trHeight w:val="249"/>
        </w:trPr>
        <w:tc>
          <w:tcPr>
            <w:tcW w:w="2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1,120</w:t>
            </w:r>
          </w:p>
        </w:tc>
        <w:tc>
          <w:tcPr>
            <w:tcW w:w="3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1,458</w:t>
            </w:r>
          </w:p>
        </w:tc>
        <w:tc>
          <w:tcPr>
            <w:tcW w:w="3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1,093</w:t>
            </w:r>
          </w:p>
        </w:tc>
      </w:tr>
      <w:tr>
        <w:trPr>
          <w:trHeight w:val="264"/>
        </w:trPr>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1,099</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1,406</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920</w:t>
            </w:r>
          </w:p>
        </w:tc>
      </w:tr>
      <w:tr>
        <w:trPr>
          <w:trHeight w:val="750"/>
        </w:trPr>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4.24</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5.48</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3.74</w:t>
            </w:r>
          </w:p>
        </w:tc>
      </w:tr>
      <w:tr>
        <w:trPr>
          <w:trHeight w:val="264"/>
        </w:trPr>
        <w:tc>
          <w:tcPr>
            <w:tcW w:w="2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8"/>
              </w:rPr>
              <w:t>259,269</w:t>
            </w:r>
          </w:p>
        </w:tc>
        <w:tc>
          <w:tcPr>
            <w:tcW w:w="3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2"/>
              </w:rPr>
              <w:t>256,477</w:t>
            </w:r>
          </w:p>
        </w:tc>
        <w:tc>
          <w:tcPr>
            <w:tcW w:w="3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5"/>
              </w:rPr>
              <w:t>245,906</w:t>
            </w:r>
          </w:p>
        </w:tc>
      </w:tr>
    </w:tbl>
    <w:p>
      <w:pPr>
        <w:spacing w:after="0" w:line="200" w:lineRule="exact"/>
        <w:rPr>
          <w:sz w:val="20"/>
          <w:szCs w:val="20"/>
          <w:color w:val="auto"/>
        </w:rPr>
      </w:pPr>
    </w:p>
    <w:p>
      <w:pPr>
        <w:sectPr>
          <w:pgSz w:w="11900" w:h="16838" w:orient="portrait"/>
          <w:cols w:equalWidth="0" w:num="2">
            <w:col w:w="5980" w:space="520"/>
            <w:col w:w="3719"/>
          </w:cols>
          <w:pgMar w:left="240" w:top="603" w:right="1440" w:bottom="1440" w:gutter="0" w:footer="0" w:header="0"/>
          <w:type w:val="continuous"/>
        </w:sectPr>
      </w:pPr>
    </w:p>
    <w:p>
      <w:pPr>
        <w:spacing w:after="0" w:line="42" w:lineRule="exact"/>
        <w:rPr>
          <w:sz w:val="20"/>
          <w:szCs w:val="20"/>
          <w:color w:val="auto"/>
        </w:rPr>
      </w:pPr>
    </w:p>
    <w:tbl>
      <w:tblPr>
        <w:tblLayout w:type="fixed"/>
        <w:tblInd w:w="1460" w:type="dxa"/>
        <w:tblCellMar>
          <w:top w:w="0" w:type="dxa"/>
          <w:left w:w="0" w:type="dxa"/>
          <w:bottom w:w="0" w:type="dxa"/>
          <w:right w:w="0" w:type="dxa"/>
        </w:tblCellMar>
      </w:tblP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77"/>
        </w:trPr>
        <w:tc>
          <w:tcPr>
            <w:tcW w:w="504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4.16</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5.38</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3.65</w:t>
            </w:r>
          </w:p>
        </w:tc>
      </w:tr>
      <w:tr>
        <w:trPr>
          <w:trHeight w:val="264"/>
        </w:trPr>
        <w:tc>
          <w:tcPr>
            <w:tcW w:w="50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w w:val="99"/>
              </w:rPr>
              <w:t>Weighted-average number of shares outstanding (thousands)</w:t>
            </w: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8"/>
              </w:rPr>
              <w:t>264,004</w:t>
            </w:r>
          </w:p>
        </w:tc>
        <w:tc>
          <w:tcPr>
            <w:tcW w:w="4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2"/>
              </w:rPr>
              <w:t>261,368</w:t>
            </w:r>
          </w:p>
        </w:tc>
        <w:tc>
          <w:tcPr>
            <w:tcW w:w="3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5"/>
              </w:rPr>
              <w:t>252,088</w:t>
            </w: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See Notes to Condensed Financial Information of Parent.</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20"/>
          <w:szCs w:val="20"/>
          <w:color w:val="auto"/>
        </w:rPr>
        <w:t>37</w:t>
      </w:r>
    </w:p>
    <w:p>
      <w:pPr>
        <w:sectPr>
          <w:pgSz w:w="11900" w:h="16838" w:orient="portrait"/>
          <w:cols w:equalWidth="0" w:num="1">
            <w:col w:w="10219"/>
          </w:cols>
          <w:pgMar w:left="240" w:top="603" w:right="1440" w:bottom="1440" w:gutter="0" w:footer="0" w:header="0"/>
          <w:type w:val="continuous"/>
        </w:sectPr>
      </w:pPr>
    </w:p>
    <w:bookmarkStart w:id="37" w:name="page38"/>
    <w:bookmarkEnd w:id="37"/>
    <w:p>
      <w:pPr>
        <w:jc w:val="center"/>
        <w:ind w:right="-1200"/>
        <w:spacing w:after="0"/>
        <w:rPr>
          <w:sz w:val="20"/>
          <w:szCs w:val="20"/>
          <w:color w:val="auto"/>
        </w:rPr>
      </w:pPr>
      <w:r>
        <w:rPr>
          <w:rFonts w:ascii="Arial" w:cs="Arial" w:eastAsia="Arial" w:hAnsi="Arial"/>
          <w:sz w:val="20"/>
          <w:szCs w:val="20"/>
          <w:color w:val="auto"/>
        </w:rPr>
        <w:t>SEMPRA ENERGY</w:t>
      </w:r>
    </w:p>
    <w:p>
      <w:pPr>
        <w:spacing w:after="0" w:line="229" w:lineRule="exact"/>
        <w:rPr>
          <w:sz w:val="20"/>
          <w:szCs w:val="20"/>
          <w:color w:val="auto"/>
        </w:rPr>
      </w:pPr>
    </w:p>
    <w:p>
      <w:pPr>
        <w:ind w:left="4240"/>
        <w:spacing w:after="0"/>
        <w:rPr>
          <w:sz w:val="20"/>
          <w:szCs w:val="20"/>
          <w:color w:val="auto"/>
        </w:rPr>
      </w:pPr>
      <w:r>
        <w:rPr>
          <w:rFonts w:ascii="Arial" w:cs="Arial" w:eastAsia="Arial" w:hAnsi="Arial"/>
          <w:sz w:val="20"/>
          <w:szCs w:val="20"/>
          <w:color w:val="auto"/>
        </w:rPr>
        <w:t>CONDENSED BALANCE SHEETS</w:t>
      </w:r>
    </w:p>
    <w:p>
      <w:pPr>
        <w:spacing w:after="0" w:line="200" w:lineRule="exact"/>
        <w:rPr>
          <w:sz w:val="20"/>
          <w:szCs w:val="20"/>
          <w:color w:val="auto"/>
        </w:rPr>
      </w:pPr>
    </w:p>
    <w:p>
      <w:pPr>
        <w:spacing w:after="0" w:line="329" w:lineRule="exact"/>
        <w:rPr>
          <w:sz w:val="20"/>
          <w:szCs w:val="20"/>
          <w:color w:val="auto"/>
        </w:rPr>
      </w:pPr>
    </w:p>
    <w:tbl>
      <w:tblPr>
        <w:tblLayout w:type="fixed"/>
        <w:tblInd w:w="1660" w:type="dxa"/>
        <w:tblCellMar>
          <w:top w:w="0" w:type="dxa"/>
          <w:left w:w="0" w:type="dxa"/>
          <w:bottom w:w="0" w:type="dxa"/>
          <w:right w:w="0" w:type="dxa"/>
        </w:tblCellMar>
      </w:tblPr>
      <w:tr>
        <w:trPr>
          <w:trHeight w:val="230"/>
        </w:trPr>
        <w:tc>
          <w:tcPr>
            <w:tcW w:w="4880" w:type="dxa"/>
            <w:vAlign w:val="bottom"/>
          </w:tcPr>
          <w:p>
            <w:pPr>
              <w:spacing w:after="0"/>
              <w:rPr>
                <w:sz w:val="20"/>
                <w:szCs w:val="20"/>
                <w:color w:val="auto"/>
              </w:rPr>
            </w:pPr>
          </w:p>
        </w:tc>
        <w:tc>
          <w:tcPr>
            <w:tcW w:w="1680" w:type="dxa"/>
            <w:vAlign w:val="bottom"/>
            <w:gridSpan w:val="2"/>
          </w:tcPr>
          <w:p>
            <w:pPr>
              <w:jc w:val="right"/>
              <w:ind w:right="330"/>
              <w:spacing w:after="0"/>
              <w:rPr>
                <w:sz w:val="20"/>
                <w:szCs w:val="20"/>
                <w:color w:val="auto"/>
              </w:rPr>
            </w:pPr>
            <w:r>
              <w:rPr>
                <w:rFonts w:ascii="Arial" w:cs="Arial" w:eastAsia="Arial" w:hAnsi="Arial"/>
                <w:sz w:val="18"/>
                <w:szCs w:val="18"/>
                <w:color w:val="auto"/>
              </w:rPr>
              <w:t>December 31,</w:t>
            </w:r>
          </w:p>
        </w:tc>
        <w:tc>
          <w:tcPr>
            <w:tcW w:w="1560" w:type="dxa"/>
            <w:vAlign w:val="bottom"/>
            <w:gridSpan w:val="2"/>
          </w:tcPr>
          <w:p>
            <w:pPr>
              <w:jc w:val="right"/>
              <w:ind w:right="170"/>
              <w:spacing w:after="0"/>
              <w:rPr>
                <w:sz w:val="20"/>
                <w:szCs w:val="20"/>
                <w:color w:val="auto"/>
              </w:rPr>
            </w:pPr>
            <w:r>
              <w:rPr>
                <w:rFonts w:ascii="Arial" w:cs="Arial" w:eastAsia="Arial" w:hAnsi="Arial"/>
                <w:sz w:val="18"/>
                <w:szCs w:val="18"/>
                <w:color w:val="auto"/>
              </w:rPr>
              <w:t>December 31,</w:t>
            </w:r>
          </w:p>
        </w:tc>
      </w:tr>
      <w:tr>
        <w:trPr>
          <w:trHeight w:val="250"/>
        </w:trPr>
        <w:tc>
          <w:tcPr>
            <w:tcW w:w="4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(Dollars in millions)</w:t>
            </w:r>
          </w:p>
        </w:tc>
        <w:tc>
          <w:tcPr>
            <w:tcW w:w="5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w w:val="94"/>
              </w:rPr>
              <w:t>2007</w:t>
            </w:r>
          </w:p>
        </w:tc>
        <w:tc>
          <w:tcPr>
            <w:tcW w:w="5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2006</w:t>
            </w:r>
          </w:p>
        </w:tc>
      </w:tr>
      <w:tr>
        <w:trPr>
          <w:trHeight w:val="473"/>
        </w:trPr>
        <w:tc>
          <w:tcPr>
            <w:tcW w:w="4880" w:type="dxa"/>
            <w:vAlign w:val="bottom"/>
          </w:tcPr>
          <w:p>
            <w:pPr>
              <w:ind w:left="20"/>
              <w:spacing w:after="0"/>
              <w:rPr>
                <w:sz w:val="20"/>
                <w:szCs w:val="20"/>
                <w:color w:val="auto"/>
              </w:rPr>
            </w:pPr>
            <w:r>
              <w:rPr>
                <w:rFonts w:ascii="Arial" w:cs="Arial" w:eastAsia="Arial" w:hAnsi="Arial"/>
                <w:sz w:val="18"/>
                <w:szCs w:val="18"/>
                <w:color w:val="auto"/>
              </w:rPr>
              <w:t>Assets:</w:t>
            </w:r>
          </w:p>
        </w:tc>
        <w:tc>
          <w:tcPr>
            <w:tcW w:w="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43"/>
        </w:trPr>
        <w:tc>
          <w:tcPr>
            <w:tcW w:w="488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10"/>
              <w:spacing w:after="0"/>
              <w:rPr>
                <w:sz w:val="20"/>
                <w:szCs w:val="20"/>
                <w:color w:val="auto"/>
              </w:rPr>
            </w:pPr>
            <w:r>
              <w:rPr>
                <w:rFonts w:ascii="Arial" w:cs="Arial" w:eastAsia="Arial" w:hAnsi="Arial"/>
                <w:sz w:val="18"/>
                <w:szCs w:val="18"/>
                <w:color w:val="auto"/>
              </w:rPr>
              <w:t>6</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427</w:t>
            </w:r>
          </w:p>
        </w:tc>
      </w:tr>
      <w:tr>
        <w:trPr>
          <w:trHeight w:val="243"/>
        </w:trPr>
        <w:tc>
          <w:tcPr>
            <w:tcW w:w="4880" w:type="dxa"/>
            <w:vAlign w:val="bottom"/>
          </w:tcPr>
          <w:p>
            <w:pPr>
              <w:ind w:left="20"/>
              <w:spacing w:after="0"/>
              <w:rPr>
                <w:sz w:val="20"/>
                <w:szCs w:val="20"/>
                <w:color w:val="auto"/>
              </w:rPr>
            </w:pPr>
            <w:r>
              <w:rPr>
                <w:rFonts w:ascii="Arial" w:cs="Arial" w:eastAsia="Arial" w:hAnsi="Arial"/>
                <w:sz w:val="18"/>
                <w:szCs w:val="18"/>
                <w:color w:val="auto"/>
              </w:rPr>
              <w:t>Due from affiliates</w:t>
            </w:r>
          </w:p>
        </w:tc>
        <w:tc>
          <w:tcPr>
            <w:tcW w:w="540" w:type="dxa"/>
            <w:vAlign w:val="bottom"/>
          </w:tcPr>
          <w:p>
            <w:pPr>
              <w:spacing w:after="0"/>
              <w:rPr>
                <w:sz w:val="21"/>
                <w:szCs w:val="21"/>
                <w:color w:val="auto"/>
              </w:rPr>
            </w:pPr>
          </w:p>
        </w:tc>
        <w:tc>
          <w:tcPr>
            <w:tcW w:w="1140" w:type="dxa"/>
            <w:vAlign w:val="bottom"/>
          </w:tcPr>
          <w:p>
            <w:pPr>
              <w:jc w:val="right"/>
              <w:ind w:right="210"/>
              <w:spacing w:after="0"/>
              <w:rPr>
                <w:sz w:val="20"/>
                <w:szCs w:val="20"/>
                <w:color w:val="auto"/>
              </w:rPr>
            </w:pPr>
            <w:r>
              <w:rPr>
                <w:rFonts w:ascii="Arial" w:cs="Arial" w:eastAsia="Arial" w:hAnsi="Arial"/>
                <w:sz w:val="18"/>
                <w:szCs w:val="18"/>
                <w:color w:val="auto"/>
              </w:rPr>
              <w:t>103</w:t>
            </w:r>
          </w:p>
        </w:tc>
        <w:tc>
          <w:tcPr>
            <w:tcW w:w="520" w:type="dxa"/>
            <w:vAlign w:val="bottom"/>
          </w:tcPr>
          <w:p>
            <w:pPr>
              <w:spacing w:after="0"/>
              <w:rPr>
                <w:sz w:val="21"/>
                <w:szCs w:val="21"/>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17</w:t>
            </w:r>
          </w:p>
        </w:tc>
      </w:tr>
      <w:tr>
        <w:trPr>
          <w:trHeight w:val="250"/>
        </w:trPr>
        <w:tc>
          <w:tcPr>
            <w:tcW w:w="488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5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31</w:t>
            </w:r>
          </w:p>
        </w:tc>
        <w:tc>
          <w:tcPr>
            <w:tcW w:w="5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65</w:t>
            </w:r>
          </w:p>
        </w:tc>
      </w:tr>
      <w:tr>
        <w:trPr>
          <w:trHeight w:val="230"/>
        </w:trPr>
        <w:tc>
          <w:tcPr>
            <w:tcW w:w="4880" w:type="dxa"/>
            <w:vAlign w:val="bottom"/>
          </w:tcPr>
          <w:p>
            <w:pPr>
              <w:ind w:left="240"/>
              <w:spacing w:after="0"/>
              <w:rPr>
                <w:sz w:val="20"/>
                <w:szCs w:val="20"/>
                <w:color w:val="auto"/>
              </w:rPr>
            </w:pPr>
            <w:r>
              <w:rPr>
                <w:rFonts w:ascii="Arial" w:cs="Arial" w:eastAsia="Arial" w:hAnsi="Arial"/>
                <w:sz w:val="18"/>
                <w:szCs w:val="18"/>
                <w:color w:val="auto"/>
              </w:rPr>
              <w:t>Total current assets</w:t>
            </w:r>
          </w:p>
        </w:tc>
        <w:tc>
          <w:tcPr>
            <w:tcW w:w="540" w:type="dxa"/>
            <w:vAlign w:val="bottom"/>
          </w:tcPr>
          <w:p>
            <w:pPr>
              <w:spacing w:after="0"/>
              <w:rPr>
                <w:sz w:val="20"/>
                <w:szCs w:val="20"/>
                <w:color w:val="auto"/>
              </w:rPr>
            </w:pPr>
          </w:p>
        </w:tc>
        <w:tc>
          <w:tcPr>
            <w:tcW w:w="1140" w:type="dxa"/>
            <w:vAlign w:val="bottom"/>
          </w:tcPr>
          <w:p>
            <w:pPr>
              <w:jc w:val="right"/>
              <w:ind w:right="210"/>
              <w:spacing w:after="0"/>
              <w:rPr>
                <w:sz w:val="20"/>
                <w:szCs w:val="20"/>
                <w:color w:val="auto"/>
              </w:rPr>
            </w:pPr>
            <w:r>
              <w:rPr>
                <w:rFonts w:ascii="Arial" w:cs="Arial" w:eastAsia="Arial" w:hAnsi="Arial"/>
                <w:sz w:val="18"/>
                <w:szCs w:val="18"/>
                <w:color w:val="auto"/>
              </w:rPr>
              <w:t>140</w:t>
            </w:r>
          </w:p>
        </w:tc>
        <w:tc>
          <w:tcPr>
            <w:tcW w:w="520" w:type="dxa"/>
            <w:vAlign w:val="bottom"/>
          </w:tcPr>
          <w:p>
            <w:pPr>
              <w:spacing w:after="0"/>
              <w:rPr>
                <w:sz w:val="20"/>
                <w:szCs w:val="20"/>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509</w:t>
            </w:r>
          </w:p>
        </w:tc>
      </w:tr>
      <w:tr>
        <w:trPr>
          <w:trHeight w:val="485"/>
        </w:trPr>
        <w:tc>
          <w:tcPr>
            <w:tcW w:w="4880" w:type="dxa"/>
            <w:vAlign w:val="bottom"/>
          </w:tcPr>
          <w:p>
            <w:pPr>
              <w:ind w:left="20"/>
              <w:spacing w:after="0"/>
              <w:rPr>
                <w:sz w:val="20"/>
                <w:szCs w:val="20"/>
                <w:color w:val="auto"/>
              </w:rPr>
            </w:pPr>
            <w:r>
              <w:rPr>
                <w:rFonts w:ascii="Arial" w:cs="Arial" w:eastAsia="Arial" w:hAnsi="Arial"/>
                <w:sz w:val="18"/>
                <w:szCs w:val="18"/>
                <w:color w:val="auto"/>
              </w:rPr>
              <w:t>Investments in subsidiaries</w:t>
            </w:r>
          </w:p>
        </w:tc>
        <w:tc>
          <w:tcPr>
            <w:tcW w:w="540" w:type="dxa"/>
            <w:vAlign w:val="bottom"/>
          </w:tcPr>
          <w:p>
            <w:pPr>
              <w:spacing w:after="0"/>
              <w:rPr>
                <w:sz w:val="24"/>
                <w:szCs w:val="24"/>
                <w:color w:val="auto"/>
              </w:rPr>
            </w:pPr>
          </w:p>
        </w:tc>
        <w:tc>
          <w:tcPr>
            <w:tcW w:w="1140" w:type="dxa"/>
            <w:vAlign w:val="bottom"/>
          </w:tcPr>
          <w:p>
            <w:pPr>
              <w:jc w:val="right"/>
              <w:ind w:right="210"/>
              <w:spacing w:after="0"/>
              <w:rPr>
                <w:sz w:val="20"/>
                <w:szCs w:val="20"/>
                <w:color w:val="auto"/>
              </w:rPr>
            </w:pPr>
            <w:r>
              <w:rPr>
                <w:rFonts w:ascii="Arial" w:cs="Arial" w:eastAsia="Arial" w:hAnsi="Arial"/>
                <w:sz w:val="18"/>
                <w:szCs w:val="18"/>
                <w:color w:val="auto"/>
              </w:rPr>
              <w:t>8,766</w:t>
            </w:r>
          </w:p>
        </w:tc>
        <w:tc>
          <w:tcPr>
            <w:tcW w:w="520" w:type="dxa"/>
            <w:vAlign w:val="bottom"/>
          </w:tcPr>
          <w:p>
            <w:pPr>
              <w:spacing w:after="0"/>
              <w:rPr>
                <w:sz w:val="24"/>
                <w:szCs w:val="24"/>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7,824</w:t>
            </w:r>
          </w:p>
        </w:tc>
      </w:tr>
      <w:tr>
        <w:trPr>
          <w:trHeight w:val="243"/>
        </w:trPr>
        <w:tc>
          <w:tcPr>
            <w:tcW w:w="4880" w:type="dxa"/>
            <w:vAlign w:val="bottom"/>
          </w:tcPr>
          <w:p>
            <w:pPr>
              <w:ind w:left="20"/>
              <w:spacing w:after="0"/>
              <w:rPr>
                <w:sz w:val="20"/>
                <w:szCs w:val="20"/>
                <w:color w:val="auto"/>
              </w:rPr>
            </w:pPr>
            <w:r>
              <w:rPr>
                <w:rFonts w:ascii="Arial" w:cs="Arial" w:eastAsia="Arial" w:hAnsi="Arial"/>
                <w:sz w:val="18"/>
                <w:szCs w:val="18"/>
                <w:color w:val="auto"/>
              </w:rPr>
              <w:t>Due from affiliates</w:t>
            </w:r>
          </w:p>
        </w:tc>
        <w:tc>
          <w:tcPr>
            <w:tcW w:w="540" w:type="dxa"/>
            <w:vAlign w:val="bottom"/>
          </w:tcPr>
          <w:p>
            <w:pPr>
              <w:spacing w:after="0"/>
              <w:rPr>
                <w:sz w:val="21"/>
                <w:szCs w:val="21"/>
                <w:color w:val="auto"/>
              </w:rPr>
            </w:pPr>
          </w:p>
        </w:tc>
        <w:tc>
          <w:tcPr>
            <w:tcW w:w="1140" w:type="dxa"/>
            <w:vAlign w:val="bottom"/>
          </w:tcPr>
          <w:p>
            <w:pPr>
              <w:jc w:val="right"/>
              <w:ind w:right="210"/>
              <w:spacing w:after="0"/>
              <w:rPr>
                <w:sz w:val="20"/>
                <w:szCs w:val="20"/>
                <w:color w:val="auto"/>
              </w:rPr>
            </w:pPr>
            <w:r>
              <w:rPr>
                <w:rFonts w:ascii="Arial" w:cs="Arial" w:eastAsia="Arial" w:hAnsi="Arial"/>
                <w:sz w:val="18"/>
                <w:szCs w:val="18"/>
                <w:color w:val="auto"/>
              </w:rPr>
              <w:t>2,298</w:t>
            </w:r>
          </w:p>
        </w:tc>
        <w:tc>
          <w:tcPr>
            <w:tcW w:w="520" w:type="dxa"/>
            <w:vAlign w:val="bottom"/>
          </w:tcPr>
          <w:p>
            <w:pPr>
              <w:spacing w:after="0"/>
              <w:rPr>
                <w:sz w:val="21"/>
                <w:szCs w:val="21"/>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2,845</w:t>
            </w:r>
          </w:p>
        </w:tc>
      </w:tr>
      <w:tr>
        <w:trPr>
          <w:trHeight w:val="250"/>
        </w:trPr>
        <w:tc>
          <w:tcPr>
            <w:tcW w:w="488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5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784</w:t>
            </w:r>
          </w:p>
        </w:tc>
        <w:tc>
          <w:tcPr>
            <w:tcW w:w="5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699</w:t>
            </w:r>
          </w:p>
        </w:tc>
      </w:tr>
      <w:tr>
        <w:trPr>
          <w:trHeight w:val="264"/>
        </w:trPr>
        <w:tc>
          <w:tcPr>
            <w:tcW w:w="4880" w:type="dxa"/>
            <w:vAlign w:val="bottom"/>
          </w:tcPr>
          <w:p>
            <w:pPr>
              <w:ind w:left="220"/>
              <w:spacing w:after="0"/>
              <w:rPr>
                <w:sz w:val="20"/>
                <w:szCs w:val="20"/>
                <w:color w:val="auto"/>
              </w:rPr>
            </w:pPr>
            <w:r>
              <w:rPr>
                <w:rFonts w:ascii="Arial" w:cs="Arial" w:eastAsia="Arial" w:hAnsi="Arial"/>
                <w:sz w:val="18"/>
                <w:szCs w:val="18"/>
                <w:color w:val="auto"/>
              </w:rPr>
              <w:t>Total assets</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11,988</w:t>
            </w:r>
          </w:p>
        </w:tc>
        <w:tc>
          <w:tcPr>
            <w:tcW w:w="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11,877</w:t>
            </w:r>
          </w:p>
        </w:tc>
      </w:tr>
      <w:tr>
        <w:trPr>
          <w:trHeight w:val="473"/>
        </w:trPr>
        <w:tc>
          <w:tcPr>
            <w:tcW w:w="4880" w:type="dxa"/>
            <w:vAlign w:val="bottom"/>
          </w:tcPr>
          <w:p>
            <w:pPr>
              <w:ind w:left="20"/>
              <w:spacing w:after="0"/>
              <w:rPr>
                <w:sz w:val="20"/>
                <w:szCs w:val="20"/>
                <w:color w:val="auto"/>
              </w:rPr>
            </w:pPr>
            <w:r>
              <w:rPr>
                <w:rFonts w:ascii="Arial" w:cs="Arial" w:eastAsia="Arial" w:hAnsi="Arial"/>
                <w:sz w:val="18"/>
                <w:szCs w:val="18"/>
                <w:color w:val="auto"/>
              </w:rPr>
              <w:t>Liabilities and Shareholders' Equity:</w:t>
            </w:r>
          </w:p>
        </w:tc>
        <w:tc>
          <w:tcPr>
            <w:tcW w:w="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43"/>
        </w:trPr>
        <w:tc>
          <w:tcPr>
            <w:tcW w:w="4880" w:type="dxa"/>
            <w:vAlign w:val="bottom"/>
          </w:tcPr>
          <w:p>
            <w:pPr>
              <w:ind w:left="20"/>
              <w:spacing w:after="0"/>
              <w:rPr>
                <w:sz w:val="20"/>
                <w:szCs w:val="20"/>
                <w:color w:val="auto"/>
              </w:rPr>
            </w:pPr>
            <w:r>
              <w:rPr>
                <w:rFonts w:ascii="Arial" w:cs="Arial" w:eastAsia="Arial" w:hAnsi="Arial"/>
                <w:sz w:val="18"/>
                <w:szCs w:val="18"/>
                <w:color w:val="auto"/>
              </w:rPr>
              <w:t>Current portion of long-term debt</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600</w:t>
            </w:r>
          </w:p>
        </w:tc>
      </w:tr>
      <w:tr>
        <w:trPr>
          <w:trHeight w:val="243"/>
        </w:trPr>
        <w:tc>
          <w:tcPr>
            <w:tcW w:w="4880" w:type="dxa"/>
            <w:vAlign w:val="bottom"/>
          </w:tcPr>
          <w:p>
            <w:pPr>
              <w:ind w:left="20"/>
              <w:spacing w:after="0"/>
              <w:rPr>
                <w:sz w:val="20"/>
                <w:szCs w:val="20"/>
                <w:color w:val="auto"/>
              </w:rPr>
            </w:pPr>
            <w:r>
              <w:rPr>
                <w:rFonts w:ascii="Arial" w:cs="Arial" w:eastAsia="Arial" w:hAnsi="Arial"/>
                <w:sz w:val="18"/>
                <w:szCs w:val="18"/>
                <w:color w:val="auto"/>
              </w:rPr>
              <w:t>Income taxes payable</w:t>
            </w:r>
          </w:p>
        </w:tc>
        <w:tc>
          <w:tcPr>
            <w:tcW w:w="540" w:type="dxa"/>
            <w:vAlign w:val="bottom"/>
          </w:tcPr>
          <w:p>
            <w:pPr>
              <w:spacing w:after="0"/>
              <w:rPr>
                <w:sz w:val="21"/>
                <w:szCs w:val="21"/>
                <w:color w:val="auto"/>
              </w:rPr>
            </w:pPr>
          </w:p>
        </w:tc>
        <w:tc>
          <w:tcPr>
            <w:tcW w:w="1140" w:type="dxa"/>
            <w:vAlign w:val="bottom"/>
          </w:tcPr>
          <w:p>
            <w:pPr>
              <w:jc w:val="right"/>
              <w:ind w:right="210"/>
              <w:spacing w:after="0"/>
              <w:rPr>
                <w:sz w:val="20"/>
                <w:szCs w:val="20"/>
                <w:color w:val="auto"/>
              </w:rPr>
            </w:pPr>
            <w:r>
              <w:rPr>
                <w:rFonts w:ascii="Arial" w:cs="Arial" w:eastAsia="Arial" w:hAnsi="Arial"/>
                <w:sz w:val="18"/>
                <w:szCs w:val="18"/>
                <w:color w:val="auto"/>
              </w:rPr>
              <w:t>663</w:t>
            </w:r>
          </w:p>
        </w:tc>
        <w:tc>
          <w:tcPr>
            <w:tcW w:w="520" w:type="dxa"/>
            <w:vAlign w:val="bottom"/>
          </w:tcPr>
          <w:p>
            <w:pPr>
              <w:spacing w:after="0"/>
              <w:rPr>
                <w:sz w:val="21"/>
                <w:szCs w:val="21"/>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453</w:t>
            </w:r>
          </w:p>
        </w:tc>
      </w:tr>
      <w:tr>
        <w:trPr>
          <w:trHeight w:val="243"/>
        </w:trPr>
        <w:tc>
          <w:tcPr>
            <w:tcW w:w="4880" w:type="dxa"/>
            <w:vAlign w:val="bottom"/>
          </w:tcPr>
          <w:p>
            <w:pPr>
              <w:ind w:left="20"/>
              <w:spacing w:after="0"/>
              <w:rPr>
                <w:sz w:val="20"/>
                <w:szCs w:val="20"/>
                <w:color w:val="auto"/>
              </w:rPr>
            </w:pPr>
            <w:r>
              <w:rPr>
                <w:rFonts w:ascii="Arial" w:cs="Arial" w:eastAsia="Arial" w:hAnsi="Arial"/>
                <w:sz w:val="18"/>
                <w:szCs w:val="18"/>
                <w:color w:val="auto"/>
              </w:rPr>
              <w:t>Due to affiliates</w:t>
            </w:r>
          </w:p>
        </w:tc>
        <w:tc>
          <w:tcPr>
            <w:tcW w:w="540" w:type="dxa"/>
            <w:vAlign w:val="bottom"/>
          </w:tcPr>
          <w:p>
            <w:pPr>
              <w:spacing w:after="0"/>
              <w:rPr>
                <w:sz w:val="21"/>
                <w:szCs w:val="21"/>
                <w:color w:val="auto"/>
              </w:rPr>
            </w:pPr>
          </w:p>
        </w:tc>
        <w:tc>
          <w:tcPr>
            <w:tcW w:w="1140" w:type="dxa"/>
            <w:vAlign w:val="bottom"/>
          </w:tcPr>
          <w:p>
            <w:pPr>
              <w:jc w:val="right"/>
              <w:ind w:right="210"/>
              <w:spacing w:after="0"/>
              <w:rPr>
                <w:sz w:val="20"/>
                <w:szCs w:val="20"/>
                <w:color w:val="auto"/>
              </w:rPr>
            </w:pPr>
            <w:r>
              <w:rPr>
                <w:rFonts w:ascii="Arial" w:cs="Arial" w:eastAsia="Arial" w:hAnsi="Arial"/>
                <w:sz w:val="18"/>
                <w:szCs w:val="18"/>
                <w:color w:val="auto"/>
              </w:rPr>
              <w:t>835</w:t>
            </w:r>
          </w:p>
        </w:tc>
        <w:tc>
          <w:tcPr>
            <w:tcW w:w="520" w:type="dxa"/>
            <w:vAlign w:val="bottom"/>
          </w:tcPr>
          <w:p>
            <w:pPr>
              <w:spacing w:after="0"/>
              <w:rPr>
                <w:sz w:val="21"/>
                <w:szCs w:val="21"/>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891</w:t>
            </w:r>
          </w:p>
        </w:tc>
      </w:tr>
      <w:tr>
        <w:trPr>
          <w:trHeight w:val="250"/>
        </w:trPr>
        <w:tc>
          <w:tcPr>
            <w:tcW w:w="4880" w:type="dxa"/>
            <w:vAlign w:val="bottom"/>
          </w:tcPr>
          <w:p>
            <w:pPr>
              <w:ind w:left="20"/>
              <w:spacing w:after="0"/>
              <w:rPr>
                <w:sz w:val="20"/>
                <w:szCs w:val="20"/>
                <w:color w:val="auto"/>
              </w:rPr>
            </w:pPr>
            <w:r>
              <w:rPr>
                <w:rFonts w:ascii="Arial" w:cs="Arial" w:eastAsia="Arial" w:hAnsi="Arial"/>
                <w:sz w:val="18"/>
                <w:szCs w:val="18"/>
                <w:color w:val="auto"/>
              </w:rPr>
              <w:t>Other current liabilities</w:t>
            </w:r>
          </w:p>
        </w:tc>
        <w:tc>
          <w:tcPr>
            <w:tcW w:w="5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344</w:t>
            </w:r>
          </w:p>
        </w:tc>
        <w:tc>
          <w:tcPr>
            <w:tcW w:w="5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313</w:t>
            </w:r>
          </w:p>
        </w:tc>
      </w:tr>
      <w:tr>
        <w:trPr>
          <w:trHeight w:val="230"/>
        </w:trPr>
        <w:tc>
          <w:tcPr>
            <w:tcW w:w="4880" w:type="dxa"/>
            <w:vAlign w:val="bottom"/>
          </w:tcPr>
          <w:p>
            <w:pPr>
              <w:ind w:left="240"/>
              <w:spacing w:after="0"/>
              <w:rPr>
                <w:sz w:val="20"/>
                <w:szCs w:val="20"/>
                <w:color w:val="auto"/>
              </w:rPr>
            </w:pPr>
            <w:r>
              <w:rPr>
                <w:rFonts w:ascii="Arial" w:cs="Arial" w:eastAsia="Arial" w:hAnsi="Arial"/>
                <w:sz w:val="18"/>
                <w:szCs w:val="18"/>
                <w:color w:val="auto"/>
              </w:rPr>
              <w:t>Total current liabilities</w:t>
            </w:r>
          </w:p>
        </w:tc>
        <w:tc>
          <w:tcPr>
            <w:tcW w:w="540" w:type="dxa"/>
            <w:vAlign w:val="bottom"/>
          </w:tcPr>
          <w:p>
            <w:pPr>
              <w:spacing w:after="0"/>
              <w:rPr>
                <w:sz w:val="20"/>
                <w:szCs w:val="20"/>
                <w:color w:val="auto"/>
              </w:rPr>
            </w:pPr>
          </w:p>
        </w:tc>
        <w:tc>
          <w:tcPr>
            <w:tcW w:w="1140" w:type="dxa"/>
            <w:vAlign w:val="bottom"/>
          </w:tcPr>
          <w:p>
            <w:pPr>
              <w:jc w:val="right"/>
              <w:ind w:right="210"/>
              <w:spacing w:after="0"/>
              <w:rPr>
                <w:sz w:val="20"/>
                <w:szCs w:val="20"/>
                <w:color w:val="auto"/>
              </w:rPr>
            </w:pPr>
            <w:r>
              <w:rPr>
                <w:rFonts w:ascii="Arial" w:cs="Arial" w:eastAsia="Arial" w:hAnsi="Arial"/>
                <w:sz w:val="18"/>
                <w:szCs w:val="18"/>
                <w:color w:val="auto"/>
              </w:rPr>
              <w:t>1,842</w:t>
            </w:r>
          </w:p>
        </w:tc>
        <w:tc>
          <w:tcPr>
            <w:tcW w:w="520" w:type="dxa"/>
            <w:vAlign w:val="bottom"/>
          </w:tcPr>
          <w:p>
            <w:pPr>
              <w:spacing w:after="0"/>
              <w:rPr>
                <w:sz w:val="20"/>
                <w:szCs w:val="20"/>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2,257</w:t>
            </w:r>
          </w:p>
        </w:tc>
      </w:tr>
      <w:tr>
        <w:trPr>
          <w:trHeight w:val="485"/>
        </w:trPr>
        <w:tc>
          <w:tcPr>
            <w:tcW w:w="488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540" w:type="dxa"/>
            <w:vAlign w:val="bottom"/>
          </w:tcPr>
          <w:p>
            <w:pPr>
              <w:spacing w:after="0"/>
              <w:rPr>
                <w:sz w:val="24"/>
                <w:szCs w:val="24"/>
                <w:color w:val="auto"/>
              </w:rPr>
            </w:pPr>
          </w:p>
        </w:tc>
        <w:tc>
          <w:tcPr>
            <w:tcW w:w="1140" w:type="dxa"/>
            <w:vAlign w:val="bottom"/>
          </w:tcPr>
          <w:p>
            <w:pPr>
              <w:jc w:val="right"/>
              <w:ind w:right="210"/>
              <w:spacing w:after="0"/>
              <w:rPr>
                <w:sz w:val="20"/>
                <w:szCs w:val="20"/>
                <w:color w:val="auto"/>
              </w:rPr>
            </w:pPr>
            <w:r>
              <w:rPr>
                <w:rFonts w:ascii="Arial" w:cs="Arial" w:eastAsia="Arial" w:hAnsi="Arial"/>
                <w:sz w:val="18"/>
                <w:szCs w:val="18"/>
                <w:color w:val="auto"/>
              </w:rPr>
              <w:t>1,290</w:t>
            </w:r>
          </w:p>
        </w:tc>
        <w:tc>
          <w:tcPr>
            <w:tcW w:w="520" w:type="dxa"/>
            <w:vAlign w:val="bottom"/>
          </w:tcPr>
          <w:p>
            <w:pPr>
              <w:spacing w:after="0"/>
              <w:rPr>
                <w:sz w:val="24"/>
                <w:szCs w:val="24"/>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1,590</w:t>
            </w:r>
          </w:p>
        </w:tc>
      </w:tr>
      <w:tr>
        <w:trPr>
          <w:trHeight w:val="243"/>
        </w:trPr>
        <w:tc>
          <w:tcPr>
            <w:tcW w:w="4880" w:type="dxa"/>
            <w:vAlign w:val="bottom"/>
          </w:tcPr>
          <w:p>
            <w:pPr>
              <w:ind w:left="20"/>
              <w:spacing w:after="0"/>
              <w:rPr>
                <w:sz w:val="20"/>
                <w:szCs w:val="20"/>
                <w:color w:val="auto"/>
              </w:rPr>
            </w:pPr>
            <w:r>
              <w:rPr>
                <w:rFonts w:ascii="Arial" w:cs="Arial" w:eastAsia="Arial" w:hAnsi="Arial"/>
                <w:sz w:val="18"/>
                <w:szCs w:val="18"/>
                <w:color w:val="auto"/>
              </w:rPr>
              <w:t>Other long-term liabilities</w:t>
            </w:r>
          </w:p>
        </w:tc>
        <w:tc>
          <w:tcPr>
            <w:tcW w:w="540" w:type="dxa"/>
            <w:vAlign w:val="bottom"/>
          </w:tcPr>
          <w:p>
            <w:pPr>
              <w:spacing w:after="0"/>
              <w:rPr>
                <w:sz w:val="21"/>
                <w:szCs w:val="21"/>
                <w:color w:val="auto"/>
              </w:rPr>
            </w:pPr>
          </w:p>
        </w:tc>
        <w:tc>
          <w:tcPr>
            <w:tcW w:w="1140" w:type="dxa"/>
            <w:vAlign w:val="bottom"/>
          </w:tcPr>
          <w:p>
            <w:pPr>
              <w:jc w:val="right"/>
              <w:ind w:right="210"/>
              <w:spacing w:after="0"/>
              <w:rPr>
                <w:sz w:val="20"/>
                <w:szCs w:val="20"/>
                <w:color w:val="auto"/>
              </w:rPr>
            </w:pPr>
            <w:r>
              <w:rPr>
                <w:rFonts w:ascii="Arial" w:cs="Arial" w:eastAsia="Arial" w:hAnsi="Arial"/>
                <w:sz w:val="18"/>
                <w:szCs w:val="18"/>
                <w:color w:val="auto"/>
              </w:rPr>
              <w:t>517</w:t>
            </w:r>
          </w:p>
        </w:tc>
        <w:tc>
          <w:tcPr>
            <w:tcW w:w="520" w:type="dxa"/>
            <w:vAlign w:val="bottom"/>
          </w:tcPr>
          <w:p>
            <w:pPr>
              <w:spacing w:after="0"/>
              <w:rPr>
                <w:sz w:val="21"/>
                <w:szCs w:val="21"/>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519</w:t>
            </w:r>
          </w:p>
        </w:tc>
      </w:tr>
      <w:tr>
        <w:trPr>
          <w:trHeight w:val="250"/>
        </w:trPr>
        <w:tc>
          <w:tcPr>
            <w:tcW w:w="4880" w:type="dxa"/>
            <w:vAlign w:val="bottom"/>
          </w:tcPr>
          <w:p>
            <w:pPr>
              <w:ind w:left="20"/>
              <w:spacing w:after="0"/>
              <w:rPr>
                <w:sz w:val="20"/>
                <w:szCs w:val="20"/>
                <w:color w:val="auto"/>
              </w:rPr>
            </w:pPr>
            <w:r>
              <w:rPr>
                <w:rFonts w:ascii="Arial" w:cs="Arial" w:eastAsia="Arial" w:hAnsi="Arial"/>
                <w:sz w:val="18"/>
                <w:szCs w:val="18"/>
                <w:color w:val="auto"/>
              </w:rPr>
              <w:t>Shareholders' equity</w:t>
            </w:r>
          </w:p>
        </w:tc>
        <w:tc>
          <w:tcPr>
            <w:tcW w:w="5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8,339</w:t>
            </w:r>
          </w:p>
        </w:tc>
        <w:tc>
          <w:tcPr>
            <w:tcW w:w="5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7,511</w:t>
            </w:r>
          </w:p>
        </w:tc>
      </w:tr>
      <w:tr>
        <w:trPr>
          <w:trHeight w:val="264"/>
        </w:trPr>
        <w:tc>
          <w:tcPr>
            <w:tcW w:w="48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Total liabilities and shareholders' equity</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11,988</w:t>
            </w:r>
          </w:p>
        </w:tc>
        <w:tc>
          <w:tcPr>
            <w:tcW w:w="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11,877</w:t>
            </w:r>
          </w:p>
        </w:tc>
      </w:tr>
      <w:tr>
        <w:trPr>
          <w:trHeight w:val="230"/>
        </w:trPr>
        <w:tc>
          <w:tcPr>
            <w:tcW w:w="4880" w:type="dxa"/>
            <w:vAlign w:val="bottom"/>
          </w:tcPr>
          <w:p>
            <w:pPr>
              <w:ind w:left="20"/>
              <w:spacing w:after="0"/>
              <w:rPr>
                <w:sz w:val="20"/>
                <w:szCs w:val="20"/>
                <w:color w:val="auto"/>
              </w:rPr>
            </w:pPr>
            <w:r>
              <w:rPr>
                <w:rFonts w:ascii="Arial" w:cs="Arial" w:eastAsia="Arial" w:hAnsi="Arial"/>
                <w:sz w:val="18"/>
                <w:szCs w:val="18"/>
                <w:color w:val="auto"/>
              </w:rPr>
              <w:t>See Notes to Condensed Financial Information of Parent.</w:t>
            </w:r>
          </w:p>
        </w:tc>
        <w:tc>
          <w:tcPr>
            <w:tcW w:w="5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color w:val="auto"/>
        </w:rPr>
        <w:t>38</w:t>
      </w:r>
    </w:p>
    <w:p>
      <w:pPr>
        <w:sectPr>
          <w:pgSz w:w="11900" w:h="16838" w:orient="portrait"/>
          <w:cols w:equalWidth="0" w:num="1">
            <w:col w:w="10219"/>
          </w:cols>
          <w:pgMar w:left="240" w:top="366" w:right="1440" w:bottom="1440" w:gutter="0" w:footer="0" w:header="0"/>
        </w:sectPr>
      </w:pPr>
    </w:p>
    <w:bookmarkStart w:id="38" w:name="page39"/>
    <w:bookmarkEnd w:id="38"/>
    <w:p>
      <w:pPr>
        <w:jc w:val="center"/>
        <w:ind w:right="-1200"/>
        <w:spacing w:after="0"/>
        <w:rPr>
          <w:sz w:val="20"/>
          <w:szCs w:val="20"/>
          <w:color w:val="auto"/>
        </w:rPr>
      </w:pPr>
      <w:r>
        <w:rPr>
          <w:rFonts w:ascii="Arial" w:cs="Arial" w:eastAsia="Arial" w:hAnsi="Arial"/>
          <w:sz w:val="20"/>
          <w:szCs w:val="20"/>
          <w:color w:val="auto"/>
        </w:rPr>
        <w:t>SEMPRA ENERGY</w:t>
      </w:r>
    </w:p>
    <w:p>
      <w:pPr>
        <w:spacing w:after="0" w:line="230" w:lineRule="exact"/>
        <w:rPr>
          <w:sz w:val="20"/>
          <w:szCs w:val="20"/>
          <w:color w:val="auto"/>
        </w:rPr>
      </w:pPr>
    </w:p>
    <w:p>
      <w:pPr>
        <w:ind w:left="3660"/>
        <w:spacing w:after="0"/>
        <w:rPr>
          <w:sz w:val="20"/>
          <w:szCs w:val="20"/>
          <w:color w:val="auto"/>
        </w:rPr>
      </w:pPr>
      <w:r>
        <w:rPr>
          <w:rFonts w:ascii="Arial" w:cs="Arial" w:eastAsia="Arial" w:hAnsi="Arial"/>
          <w:sz w:val="20"/>
          <w:szCs w:val="20"/>
          <w:color w:val="auto"/>
        </w:rPr>
        <w:t>CONDENSED STATEMENTS OF CASH FLOWS</w:t>
      </w:r>
    </w:p>
    <w:p>
      <w:pPr>
        <w:spacing w:after="0" w:line="286" w:lineRule="exact"/>
        <w:rPr>
          <w:sz w:val="20"/>
          <w:szCs w:val="20"/>
          <w:color w:val="auto"/>
        </w:rPr>
      </w:pPr>
    </w:p>
    <w:tbl>
      <w:tblPr>
        <w:tblLayout w:type="fixed"/>
        <w:tblInd w:w="1320" w:type="dxa"/>
        <w:tblCellMar>
          <w:top w:w="0" w:type="dxa"/>
          <w:left w:w="0" w:type="dxa"/>
          <w:bottom w:w="0" w:type="dxa"/>
          <w:right w:w="0" w:type="dxa"/>
        </w:tblCellMar>
      </w:tblPr>
      <w:tr>
        <w:trPr>
          <w:trHeight w:val="237"/>
        </w:trPr>
        <w:tc>
          <w:tcPr>
            <w:tcW w:w="5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color w:val="auto"/>
              </w:rPr>
              <w:t>Years ended December 31,</w:t>
            </w:r>
          </w:p>
        </w:tc>
        <w:tc>
          <w:tcPr>
            <w:tcW w:w="700" w:type="dxa"/>
            <w:vAlign w:val="bottom"/>
            <w:tcBorders>
              <w:bottom w:val="single" w:sz="8" w:color="auto"/>
            </w:tcBorders>
          </w:tcPr>
          <w:p>
            <w:pPr>
              <w:spacing w:after="0"/>
              <w:rPr>
                <w:sz w:val="20"/>
                <w:szCs w:val="20"/>
                <w:color w:val="auto"/>
              </w:rPr>
            </w:pPr>
          </w:p>
        </w:tc>
      </w:tr>
      <w:tr>
        <w:trPr>
          <w:trHeight w:val="237"/>
        </w:trPr>
        <w:tc>
          <w:tcPr>
            <w:tcW w:w="5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(Dollars in millions)</w:t>
            </w: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2007</w:t>
            </w:r>
          </w:p>
        </w:tc>
        <w:tc>
          <w:tcPr>
            <w:tcW w:w="4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2006</w:t>
            </w:r>
          </w:p>
        </w:tc>
        <w:tc>
          <w:tcPr>
            <w:tcW w:w="3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2005</w:t>
            </w:r>
          </w:p>
        </w:tc>
      </w:tr>
      <w:tr>
        <w:trPr>
          <w:trHeight w:val="486"/>
        </w:trPr>
        <w:tc>
          <w:tcPr>
            <w:tcW w:w="528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240</w:t>
            </w:r>
          </w:p>
        </w:tc>
        <w:tc>
          <w:tcPr>
            <w:tcW w:w="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322</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330</w:t>
            </w:r>
          </w:p>
        </w:tc>
      </w:tr>
      <w:tr>
        <w:trPr>
          <w:trHeight w:val="466"/>
        </w:trPr>
        <w:tc>
          <w:tcPr>
            <w:tcW w:w="5280" w:type="dxa"/>
            <w:vAlign w:val="bottom"/>
          </w:tcPr>
          <w:p>
            <w:pPr>
              <w:spacing w:after="0"/>
              <w:rPr>
                <w:sz w:val="20"/>
                <w:szCs w:val="20"/>
                <w:color w:val="auto"/>
              </w:rPr>
            </w:pPr>
            <w:r>
              <w:rPr>
                <w:rFonts w:ascii="Arial" w:cs="Arial" w:eastAsia="Arial" w:hAnsi="Arial"/>
                <w:sz w:val="18"/>
                <w:szCs w:val="18"/>
                <w:color w:val="auto"/>
              </w:rPr>
              <w:t>Dividends received from subsidiaries</w:t>
            </w:r>
          </w:p>
        </w:tc>
        <w:tc>
          <w:tcPr>
            <w:tcW w:w="200" w:type="dxa"/>
            <w:vAlign w:val="bottom"/>
          </w:tcPr>
          <w:p>
            <w:pPr>
              <w:spacing w:after="0"/>
              <w:rPr>
                <w:sz w:val="24"/>
                <w:szCs w:val="24"/>
                <w:color w:val="auto"/>
              </w:rPr>
            </w:pPr>
          </w:p>
        </w:tc>
        <w:tc>
          <w:tcPr>
            <w:tcW w:w="960" w:type="dxa"/>
            <w:vAlign w:val="bottom"/>
          </w:tcPr>
          <w:p>
            <w:pPr>
              <w:jc w:val="right"/>
              <w:ind w:right="210"/>
              <w:spacing w:after="0"/>
              <w:rPr>
                <w:sz w:val="20"/>
                <w:szCs w:val="20"/>
                <w:color w:val="auto"/>
              </w:rPr>
            </w:pPr>
            <w:r>
              <w:rPr>
                <w:rFonts w:ascii="Arial" w:cs="Arial" w:eastAsia="Arial" w:hAnsi="Arial"/>
                <w:sz w:val="18"/>
                <w:szCs w:val="18"/>
                <w:color w:val="auto"/>
              </w:rPr>
              <w:t>150</w:t>
            </w:r>
          </w:p>
        </w:tc>
        <w:tc>
          <w:tcPr>
            <w:tcW w:w="400" w:type="dxa"/>
            <w:vAlign w:val="bottom"/>
          </w:tcPr>
          <w:p>
            <w:pPr>
              <w:spacing w:after="0"/>
              <w:rPr>
                <w:sz w:val="24"/>
                <w:szCs w:val="24"/>
                <w:color w:val="auto"/>
              </w:rPr>
            </w:pPr>
          </w:p>
        </w:tc>
        <w:tc>
          <w:tcPr>
            <w:tcW w:w="880" w:type="dxa"/>
            <w:vAlign w:val="bottom"/>
          </w:tcPr>
          <w:p>
            <w:pPr>
              <w:jc w:val="right"/>
              <w:ind w:right="190"/>
              <w:spacing w:after="0"/>
              <w:rPr>
                <w:sz w:val="20"/>
                <w:szCs w:val="20"/>
                <w:color w:val="auto"/>
              </w:rPr>
            </w:pPr>
            <w:r>
              <w:rPr>
                <w:rFonts w:ascii="Arial" w:cs="Arial" w:eastAsia="Arial" w:hAnsi="Arial"/>
                <w:sz w:val="18"/>
                <w:szCs w:val="18"/>
                <w:color w:val="auto"/>
              </w:rPr>
              <w:t>150</w:t>
            </w:r>
          </w:p>
        </w:tc>
        <w:tc>
          <w:tcPr>
            <w:tcW w:w="380" w:type="dxa"/>
            <w:vAlign w:val="bottom"/>
          </w:tcPr>
          <w:p>
            <w:pPr>
              <w:spacing w:after="0"/>
              <w:rPr>
                <w:sz w:val="24"/>
                <w:szCs w:val="24"/>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1,025</w:t>
            </w:r>
          </w:p>
        </w:tc>
      </w:tr>
      <w:tr>
        <w:trPr>
          <w:trHeight w:val="243"/>
        </w:trPr>
        <w:tc>
          <w:tcPr>
            <w:tcW w:w="5280" w:type="dxa"/>
            <w:vAlign w:val="bottom"/>
          </w:tcPr>
          <w:p>
            <w:pPr>
              <w:spacing w:after="0"/>
              <w:rPr>
                <w:sz w:val="20"/>
                <w:szCs w:val="20"/>
                <w:color w:val="auto"/>
              </w:rPr>
            </w:pPr>
            <w:r>
              <w:rPr>
                <w:rFonts w:ascii="Arial" w:cs="Arial" w:eastAsia="Arial" w:hAnsi="Arial"/>
                <w:sz w:val="18"/>
                <w:szCs w:val="18"/>
                <w:color w:val="auto"/>
              </w:rPr>
              <w:t>Expenditures for property, plant and equipment</w:t>
            </w:r>
          </w:p>
        </w:tc>
        <w:tc>
          <w:tcPr>
            <w:tcW w:w="200" w:type="dxa"/>
            <w:vAlign w:val="bottom"/>
          </w:tcPr>
          <w:p>
            <w:pPr>
              <w:spacing w:after="0"/>
              <w:rPr>
                <w:sz w:val="21"/>
                <w:szCs w:val="21"/>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(13 )</w:t>
            </w:r>
          </w:p>
        </w:tc>
        <w:tc>
          <w:tcPr>
            <w:tcW w:w="400" w:type="dxa"/>
            <w:vAlign w:val="bottom"/>
          </w:tcPr>
          <w:p>
            <w:pPr>
              <w:spacing w:after="0"/>
              <w:rPr>
                <w:sz w:val="21"/>
                <w:szCs w:val="21"/>
                <w:color w:val="auto"/>
              </w:rPr>
            </w:pPr>
          </w:p>
        </w:tc>
        <w:tc>
          <w:tcPr>
            <w:tcW w:w="880" w:type="dxa"/>
            <w:vAlign w:val="bottom"/>
          </w:tcPr>
          <w:p>
            <w:pPr>
              <w:jc w:val="right"/>
              <w:ind w:right="110"/>
              <w:spacing w:after="0"/>
              <w:rPr>
                <w:sz w:val="20"/>
                <w:szCs w:val="20"/>
                <w:color w:val="auto"/>
              </w:rPr>
            </w:pPr>
            <w:r>
              <w:rPr>
                <w:rFonts w:ascii="Arial" w:cs="Arial" w:eastAsia="Arial" w:hAnsi="Arial"/>
                <w:sz w:val="18"/>
                <w:szCs w:val="18"/>
                <w:color w:val="auto"/>
              </w:rPr>
              <w:t>(19 )</w:t>
            </w:r>
          </w:p>
        </w:tc>
        <w:tc>
          <w:tcPr>
            <w:tcW w:w="3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(16 )</w:t>
            </w:r>
          </w:p>
        </w:tc>
      </w:tr>
      <w:tr>
        <w:trPr>
          <w:trHeight w:val="243"/>
        </w:trPr>
        <w:tc>
          <w:tcPr>
            <w:tcW w:w="5280" w:type="dxa"/>
            <w:vAlign w:val="bottom"/>
          </w:tcPr>
          <w:p>
            <w:pPr>
              <w:spacing w:after="0"/>
              <w:rPr>
                <w:sz w:val="20"/>
                <w:szCs w:val="20"/>
                <w:color w:val="auto"/>
              </w:rPr>
            </w:pPr>
            <w:r>
              <w:rPr>
                <w:rFonts w:ascii="Arial" w:cs="Arial" w:eastAsia="Arial" w:hAnsi="Arial"/>
                <w:sz w:val="18"/>
                <w:szCs w:val="18"/>
                <w:color w:val="auto"/>
              </w:rPr>
              <w:t>Increase in investments and other assets</w:t>
            </w:r>
          </w:p>
        </w:tc>
        <w:tc>
          <w:tcPr>
            <w:tcW w:w="200" w:type="dxa"/>
            <w:vAlign w:val="bottom"/>
          </w:tcPr>
          <w:p>
            <w:pPr>
              <w:spacing w:after="0"/>
              <w:rPr>
                <w:sz w:val="21"/>
                <w:szCs w:val="21"/>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(4 )</w:t>
            </w:r>
          </w:p>
        </w:tc>
        <w:tc>
          <w:tcPr>
            <w:tcW w:w="400" w:type="dxa"/>
            <w:vAlign w:val="bottom"/>
          </w:tcPr>
          <w:p>
            <w:pPr>
              <w:spacing w:after="0"/>
              <w:rPr>
                <w:sz w:val="21"/>
                <w:szCs w:val="21"/>
                <w:color w:val="auto"/>
              </w:rPr>
            </w:pPr>
          </w:p>
        </w:tc>
        <w:tc>
          <w:tcPr>
            <w:tcW w:w="880" w:type="dxa"/>
            <w:vAlign w:val="bottom"/>
          </w:tcPr>
          <w:p>
            <w:pPr>
              <w:jc w:val="right"/>
              <w:ind w:right="110"/>
              <w:spacing w:after="0"/>
              <w:rPr>
                <w:sz w:val="20"/>
                <w:szCs w:val="20"/>
                <w:color w:val="auto"/>
              </w:rPr>
            </w:pPr>
            <w:r>
              <w:rPr>
                <w:rFonts w:ascii="Arial" w:cs="Arial" w:eastAsia="Arial" w:hAnsi="Arial"/>
                <w:sz w:val="18"/>
                <w:szCs w:val="18"/>
                <w:color w:val="auto"/>
              </w:rPr>
              <w:t>(207 )</w:t>
            </w:r>
          </w:p>
        </w:tc>
        <w:tc>
          <w:tcPr>
            <w:tcW w:w="3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(6 )</w:t>
            </w:r>
          </w:p>
        </w:tc>
      </w:tr>
      <w:tr>
        <w:trPr>
          <w:trHeight w:val="243"/>
        </w:trPr>
        <w:tc>
          <w:tcPr>
            <w:tcW w:w="5280" w:type="dxa"/>
            <w:vAlign w:val="bottom"/>
          </w:tcPr>
          <w:p>
            <w:pPr>
              <w:spacing w:after="0"/>
              <w:rPr>
                <w:sz w:val="20"/>
                <w:szCs w:val="20"/>
                <w:color w:val="auto"/>
              </w:rPr>
            </w:pPr>
            <w:r>
              <w:rPr>
                <w:rFonts w:ascii="Arial" w:cs="Arial" w:eastAsia="Arial" w:hAnsi="Arial"/>
                <w:sz w:val="18"/>
                <w:szCs w:val="18"/>
                <w:color w:val="auto"/>
              </w:rPr>
              <w:t>Purchase of trust assets</w:t>
            </w:r>
          </w:p>
        </w:tc>
        <w:tc>
          <w:tcPr>
            <w:tcW w:w="200" w:type="dxa"/>
            <w:vAlign w:val="bottom"/>
          </w:tcPr>
          <w:p>
            <w:pPr>
              <w:spacing w:after="0"/>
              <w:rPr>
                <w:sz w:val="21"/>
                <w:szCs w:val="21"/>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(59 )</w:t>
            </w:r>
          </w:p>
        </w:tc>
        <w:tc>
          <w:tcPr>
            <w:tcW w:w="400" w:type="dxa"/>
            <w:vAlign w:val="bottom"/>
          </w:tcPr>
          <w:p>
            <w:pPr>
              <w:spacing w:after="0"/>
              <w:rPr>
                <w:sz w:val="21"/>
                <w:szCs w:val="21"/>
                <w:color w:val="auto"/>
              </w:rPr>
            </w:pPr>
          </w:p>
        </w:tc>
        <w:tc>
          <w:tcPr>
            <w:tcW w:w="880" w:type="dxa"/>
            <w:vAlign w:val="bottom"/>
          </w:tcPr>
          <w:p>
            <w:pPr>
              <w:jc w:val="right"/>
              <w:ind w:right="110"/>
              <w:spacing w:after="0"/>
              <w:rPr>
                <w:sz w:val="20"/>
                <w:szCs w:val="20"/>
                <w:color w:val="auto"/>
              </w:rPr>
            </w:pPr>
            <w:r>
              <w:rPr>
                <w:rFonts w:ascii="Arial" w:cs="Arial" w:eastAsia="Arial" w:hAnsi="Arial"/>
                <w:sz w:val="18"/>
                <w:szCs w:val="18"/>
                <w:color w:val="auto"/>
              </w:rPr>
              <w:t>(65 )</w:t>
            </w:r>
          </w:p>
        </w:tc>
        <w:tc>
          <w:tcPr>
            <w:tcW w:w="3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(70 )</w:t>
            </w:r>
          </w:p>
        </w:tc>
      </w:tr>
      <w:tr>
        <w:trPr>
          <w:trHeight w:val="243"/>
        </w:trPr>
        <w:tc>
          <w:tcPr>
            <w:tcW w:w="5280" w:type="dxa"/>
            <w:vAlign w:val="bottom"/>
          </w:tcPr>
          <w:p>
            <w:pPr>
              <w:spacing w:after="0"/>
              <w:rPr>
                <w:sz w:val="20"/>
                <w:szCs w:val="20"/>
                <w:color w:val="auto"/>
              </w:rPr>
            </w:pPr>
            <w:r>
              <w:rPr>
                <w:rFonts w:ascii="Arial" w:cs="Arial" w:eastAsia="Arial" w:hAnsi="Arial"/>
                <w:sz w:val="18"/>
                <w:szCs w:val="18"/>
                <w:color w:val="auto"/>
              </w:rPr>
              <w:t>Proceeds from sales by trust</w:t>
            </w:r>
          </w:p>
        </w:tc>
        <w:tc>
          <w:tcPr>
            <w:tcW w:w="200" w:type="dxa"/>
            <w:vAlign w:val="bottom"/>
          </w:tcPr>
          <w:p>
            <w:pPr>
              <w:spacing w:after="0"/>
              <w:rPr>
                <w:sz w:val="21"/>
                <w:szCs w:val="21"/>
                <w:color w:val="auto"/>
              </w:rPr>
            </w:pPr>
          </w:p>
        </w:tc>
        <w:tc>
          <w:tcPr>
            <w:tcW w:w="960" w:type="dxa"/>
            <w:vAlign w:val="bottom"/>
          </w:tcPr>
          <w:p>
            <w:pPr>
              <w:jc w:val="right"/>
              <w:ind w:right="210"/>
              <w:spacing w:after="0"/>
              <w:rPr>
                <w:sz w:val="20"/>
                <w:szCs w:val="20"/>
                <w:color w:val="auto"/>
              </w:rPr>
            </w:pPr>
            <w:r>
              <w:rPr>
                <w:rFonts w:ascii="Arial" w:cs="Arial" w:eastAsia="Arial" w:hAnsi="Arial"/>
                <w:sz w:val="18"/>
                <w:szCs w:val="18"/>
                <w:color w:val="auto"/>
              </w:rPr>
              <w:t>21</w:t>
            </w:r>
          </w:p>
        </w:tc>
        <w:tc>
          <w:tcPr>
            <w:tcW w:w="400" w:type="dxa"/>
            <w:vAlign w:val="bottom"/>
          </w:tcPr>
          <w:p>
            <w:pPr>
              <w:spacing w:after="0"/>
              <w:rPr>
                <w:sz w:val="21"/>
                <w:szCs w:val="21"/>
                <w:color w:val="auto"/>
              </w:rPr>
            </w:pPr>
          </w:p>
        </w:tc>
        <w:tc>
          <w:tcPr>
            <w:tcW w:w="880" w:type="dxa"/>
            <w:vAlign w:val="bottom"/>
          </w:tcPr>
          <w:p>
            <w:pPr>
              <w:jc w:val="right"/>
              <w:ind w:right="190"/>
              <w:spacing w:after="0"/>
              <w:rPr>
                <w:sz w:val="20"/>
                <w:szCs w:val="20"/>
                <w:color w:val="auto"/>
              </w:rPr>
            </w:pPr>
            <w:r>
              <w:rPr>
                <w:rFonts w:ascii="Arial" w:cs="Arial" w:eastAsia="Arial" w:hAnsi="Arial"/>
                <w:sz w:val="18"/>
                <w:szCs w:val="18"/>
                <w:color w:val="auto"/>
              </w:rPr>
              <w:t>19</w:t>
            </w:r>
          </w:p>
        </w:tc>
        <w:tc>
          <w:tcPr>
            <w:tcW w:w="38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28</w:t>
            </w:r>
          </w:p>
        </w:tc>
      </w:tr>
      <w:tr>
        <w:trPr>
          <w:trHeight w:val="257"/>
        </w:trPr>
        <w:tc>
          <w:tcPr>
            <w:tcW w:w="5280" w:type="dxa"/>
            <w:vAlign w:val="bottom"/>
          </w:tcPr>
          <w:p>
            <w:pPr>
              <w:spacing w:after="0"/>
              <w:rPr>
                <w:sz w:val="20"/>
                <w:szCs w:val="20"/>
                <w:color w:val="auto"/>
              </w:rPr>
            </w:pPr>
            <w:r>
              <w:rPr>
                <w:rFonts w:ascii="Arial" w:cs="Arial" w:eastAsia="Arial" w:hAnsi="Arial"/>
                <w:sz w:val="18"/>
                <w:szCs w:val="18"/>
                <w:color w:val="auto"/>
              </w:rPr>
              <w:t>Decrease (increase) in loans to affiliates, net</w:t>
            </w: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532</w:t>
            </w:r>
          </w:p>
        </w:tc>
        <w:tc>
          <w:tcPr>
            <w:tcW w:w="4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(23 )</w:t>
            </w:r>
          </w:p>
        </w:tc>
        <w:tc>
          <w:tcPr>
            <w:tcW w:w="3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(189 )</w:t>
            </w:r>
          </w:p>
        </w:tc>
      </w:tr>
      <w:tr>
        <w:trPr>
          <w:trHeight w:val="237"/>
        </w:trPr>
        <w:tc>
          <w:tcPr>
            <w:tcW w:w="5280" w:type="dxa"/>
            <w:vAlign w:val="bottom"/>
          </w:tcPr>
          <w:p>
            <w:pPr>
              <w:ind w:left="420"/>
              <w:spacing w:after="0"/>
              <w:rPr>
                <w:sz w:val="20"/>
                <w:szCs w:val="20"/>
                <w:color w:val="auto"/>
              </w:rPr>
            </w:pPr>
            <w:r>
              <w:rPr>
                <w:rFonts w:ascii="Arial" w:cs="Arial" w:eastAsia="Arial" w:hAnsi="Arial"/>
                <w:sz w:val="18"/>
                <w:szCs w:val="18"/>
                <w:color w:val="auto"/>
              </w:rPr>
              <w:t>Cash provided by (used in) investing activities</w:t>
            </w: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627</w:t>
            </w:r>
          </w:p>
        </w:tc>
        <w:tc>
          <w:tcPr>
            <w:tcW w:w="4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(145 )</w:t>
            </w:r>
          </w:p>
        </w:tc>
        <w:tc>
          <w:tcPr>
            <w:tcW w:w="3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772</w:t>
            </w:r>
          </w:p>
        </w:tc>
      </w:tr>
      <w:tr>
        <w:trPr>
          <w:trHeight w:val="466"/>
        </w:trPr>
        <w:tc>
          <w:tcPr>
            <w:tcW w:w="5280" w:type="dxa"/>
            <w:vAlign w:val="bottom"/>
          </w:tcPr>
          <w:p>
            <w:pPr>
              <w:spacing w:after="0"/>
              <w:rPr>
                <w:sz w:val="20"/>
                <w:szCs w:val="20"/>
                <w:color w:val="auto"/>
              </w:rPr>
            </w:pPr>
            <w:r>
              <w:rPr>
                <w:rFonts w:ascii="Arial" w:cs="Arial" w:eastAsia="Arial" w:hAnsi="Arial"/>
                <w:sz w:val="18"/>
                <w:szCs w:val="18"/>
                <w:color w:val="auto"/>
              </w:rPr>
              <w:t>Common stock dividends paid</w:t>
            </w:r>
          </w:p>
        </w:tc>
        <w:tc>
          <w:tcPr>
            <w:tcW w:w="200" w:type="dxa"/>
            <w:vAlign w:val="bottom"/>
          </w:tcPr>
          <w:p>
            <w:pPr>
              <w:spacing w:after="0"/>
              <w:rPr>
                <w:sz w:val="24"/>
                <w:szCs w:val="24"/>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(316 )</w:t>
            </w:r>
          </w:p>
        </w:tc>
        <w:tc>
          <w:tcPr>
            <w:tcW w:w="400" w:type="dxa"/>
            <w:vAlign w:val="bottom"/>
          </w:tcPr>
          <w:p>
            <w:pPr>
              <w:spacing w:after="0"/>
              <w:rPr>
                <w:sz w:val="24"/>
                <w:szCs w:val="24"/>
                <w:color w:val="auto"/>
              </w:rPr>
            </w:pPr>
          </w:p>
        </w:tc>
        <w:tc>
          <w:tcPr>
            <w:tcW w:w="880" w:type="dxa"/>
            <w:vAlign w:val="bottom"/>
          </w:tcPr>
          <w:p>
            <w:pPr>
              <w:jc w:val="right"/>
              <w:ind w:right="110"/>
              <w:spacing w:after="0"/>
              <w:rPr>
                <w:sz w:val="20"/>
                <w:szCs w:val="20"/>
                <w:color w:val="auto"/>
              </w:rPr>
            </w:pPr>
            <w:r>
              <w:rPr>
                <w:rFonts w:ascii="Arial" w:cs="Arial" w:eastAsia="Arial" w:hAnsi="Arial"/>
                <w:sz w:val="18"/>
                <w:szCs w:val="18"/>
                <w:color w:val="auto"/>
              </w:rPr>
              <w:t>(283 )</w:t>
            </w:r>
          </w:p>
        </w:tc>
        <w:tc>
          <w:tcPr>
            <w:tcW w:w="3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(268 )</w:t>
            </w:r>
          </w:p>
        </w:tc>
      </w:tr>
      <w:tr>
        <w:trPr>
          <w:trHeight w:val="243"/>
        </w:trPr>
        <w:tc>
          <w:tcPr>
            <w:tcW w:w="5280" w:type="dxa"/>
            <w:vAlign w:val="bottom"/>
          </w:tcPr>
          <w:p>
            <w:pPr>
              <w:spacing w:after="0"/>
              <w:rPr>
                <w:sz w:val="20"/>
                <w:szCs w:val="20"/>
                <w:color w:val="auto"/>
              </w:rPr>
            </w:pPr>
            <w:r>
              <w:rPr>
                <w:rFonts w:ascii="Arial" w:cs="Arial" w:eastAsia="Arial" w:hAnsi="Arial"/>
                <w:sz w:val="18"/>
                <w:szCs w:val="18"/>
                <w:color w:val="auto"/>
              </w:rPr>
              <w:t>Issuances of common stock</w:t>
            </w:r>
          </w:p>
        </w:tc>
        <w:tc>
          <w:tcPr>
            <w:tcW w:w="200" w:type="dxa"/>
            <w:vAlign w:val="bottom"/>
          </w:tcPr>
          <w:p>
            <w:pPr>
              <w:spacing w:after="0"/>
              <w:rPr>
                <w:sz w:val="21"/>
                <w:szCs w:val="21"/>
                <w:color w:val="auto"/>
              </w:rPr>
            </w:pPr>
          </w:p>
        </w:tc>
        <w:tc>
          <w:tcPr>
            <w:tcW w:w="960" w:type="dxa"/>
            <w:vAlign w:val="bottom"/>
          </w:tcPr>
          <w:p>
            <w:pPr>
              <w:jc w:val="right"/>
              <w:ind w:right="210"/>
              <w:spacing w:after="0"/>
              <w:rPr>
                <w:sz w:val="20"/>
                <w:szCs w:val="20"/>
                <w:color w:val="auto"/>
              </w:rPr>
            </w:pPr>
            <w:r>
              <w:rPr>
                <w:rFonts w:ascii="Arial" w:cs="Arial" w:eastAsia="Arial" w:hAnsi="Arial"/>
                <w:sz w:val="18"/>
                <w:szCs w:val="18"/>
                <w:color w:val="auto"/>
              </w:rPr>
              <w:t>40</w:t>
            </w:r>
          </w:p>
        </w:tc>
        <w:tc>
          <w:tcPr>
            <w:tcW w:w="400" w:type="dxa"/>
            <w:vAlign w:val="bottom"/>
          </w:tcPr>
          <w:p>
            <w:pPr>
              <w:spacing w:after="0"/>
              <w:rPr>
                <w:sz w:val="21"/>
                <w:szCs w:val="21"/>
                <w:color w:val="auto"/>
              </w:rPr>
            </w:pPr>
          </w:p>
        </w:tc>
        <w:tc>
          <w:tcPr>
            <w:tcW w:w="880" w:type="dxa"/>
            <w:vAlign w:val="bottom"/>
          </w:tcPr>
          <w:p>
            <w:pPr>
              <w:jc w:val="right"/>
              <w:ind w:right="190"/>
              <w:spacing w:after="0"/>
              <w:rPr>
                <w:sz w:val="20"/>
                <w:szCs w:val="20"/>
                <w:color w:val="auto"/>
              </w:rPr>
            </w:pPr>
            <w:r>
              <w:rPr>
                <w:rFonts w:ascii="Arial" w:cs="Arial" w:eastAsia="Arial" w:hAnsi="Arial"/>
                <w:sz w:val="18"/>
                <w:szCs w:val="18"/>
                <w:color w:val="auto"/>
              </w:rPr>
              <w:t>97</w:t>
            </w:r>
          </w:p>
        </w:tc>
        <w:tc>
          <w:tcPr>
            <w:tcW w:w="38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694</w:t>
            </w:r>
          </w:p>
        </w:tc>
      </w:tr>
      <w:tr>
        <w:trPr>
          <w:trHeight w:val="243"/>
        </w:trPr>
        <w:tc>
          <w:tcPr>
            <w:tcW w:w="5280" w:type="dxa"/>
            <w:vAlign w:val="bottom"/>
          </w:tcPr>
          <w:p>
            <w:pPr>
              <w:spacing w:after="0"/>
              <w:rPr>
                <w:sz w:val="20"/>
                <w:szCs w:val="20"/>
                <w:color w:val="auto"/>
              </w:rPr>
            </w:pPr>
            <w:r>
              <w:rPr>
                <w:rFonts w:ascii="Arial" w:cs="Arial" w:eastAsia="Arial" w:hAnsi="Arial"/>
                <w:sz w:val="18"/>
                <w:szCs w:val="18"/>
                <w:color w:val="auto"/>
              </w:rPr>
              <w:t>Repurchases of common stock</w:t>
            </w:r>
          </w:p>
        </w:tc>
        <w:tc>
          <w:tcPr>
            <w:tcW w:w="200" w:type="dxa"/>
            <w:vAlign w:val="bottom"/>
          </w:tcPr>
          <w:p>
            <w:pPr>
              <w:spacing w:after="0"/>
              <w:rPr>
                <w:sz w:val="21"/>
                <w:szCs w:val="21"/>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(185 )</w:t>
            </w:r>
          </w:p>
        </w:tc>
        <w:tc>
          <w:tcPr>
            <w:tcW w:w="400" w:type="dxa"/>
            <w:vAlign w:val="bottom"/>
          </w:tcPr>
          <w:p>
            <w:pPr>
              <w:spacing w:after="0"/>
              <w:rPr>
                <w:sz w:val="21"/>
                <w:szCs w:val="21"/>
                <w:color w:val="auto"/>
              </w:rPr>
            </w:pPr>
          </w:p>
        </w:tc>
        <w:tc>
          <w:tcPr>
            <w:tcW w:w="880" w:type="dxa"/>
            <w:vAlign w:val="bottom"/>
          </w:tcPr>
          <w:p>
            <w:pPr>
              <w:jc w:val="right"/>
              <w:ind w:right="110"/>
              <w:spacing w:after="0"/>
              <w:rPr>
                <w:sz w:val="20"/>
                <w:szCs w:val="20"/>
                <w:color w:val="auto"/>
              </w:rPr>
            </w:pPr>
            <w:r>
              <w:rPr>
                <w:rFonts w:ascii="Arial" w:cs="Arial" w:eastAsia="Arial" w:hAnsi="Arial"/>
                <w:sz w:val="18"/>
                <w:szCs w:val="18"/>
                <w:color w:val="auto"/>
              </w:rPr>
              <w:t>(37 )</w:t>
            </w:r>
          </w:p>
        </w:tc>
        <w:tc>
          <w:tcPr>
            <w:tcW w:w="3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(95 )</w:t>
            </w:r>
          </w:p>
        </w:tc>
      </w:tr>
      <w:tr>
        <w:trPr>
          <w:trHeight w:val="243"/>
        </w:trPr>
        <w:tc>
          <w:tcPr>
            <w:tcW w:w="5280" w:type="dxa"/>
            <w:vAlign w:val="bottom"/>
          </w:tcPr>
          <w:p>
            <w:pPr>
              <w:spacing w:after="0"/>
              <w:rPr>
                <w:sz w:val="20"/>
                <w:szCs w:val="20"/>
                <w:color w:val="auto"/>
              </w:rPr>
            </w:pPr>
            <w:r>
              <w:rPr>
                <w:rFonts w:ascii="Arial" w:cs="Arial" w:eastAsia="Arial" w:hAnsi="Arial"/>
                <w:sz w:val="18"/>
                <w:szCs w:val="18"/>
                <w:color w:val="auto"/>
              </w:rPr>
              <w:t>Issuances of long-term debt</w:t>
            </w:r>
          </w:p>
        </w:tc>
        <w:tc>
          <w:tcPr>
            <w:tcW w:w="200" w:type="dxa"/>
            <w:vAlign w:val="bottom"/>
          </w:tcPr>
          <w:p>
            <w:pPr>
              <w:spacing w:after="0"/>
              <w:rPr>
                <w:sz w:val="21"/>
                <w:szCs w:val="21"/>
                <w:color w:val="auto"/>
              </w:rPr>
            </w:pPr>
          </w:p>
        </w:tc>
        <w:tc>
          <w:tcPr>
            <w:tcW w:w="960" w:type="dxa"/>
            <w:vAlign w:val="bottom"/>
          </w:tcPr>
          <w:p>
            <w:pPr>
              <w:jc w:val="right"/>
              <w:ind w:right="210"/>
              <w:spacing w:after="0"/>
              <w:rPr>
                <w:sz w:val="20"/>
                <w:szCs w:val="20"/>
                <w:color w:val="auto"/>
              </w:rPr>
            </w:pPr>
            <w:r>
              <w:rPr>
                <w:rFonts w:ascii="Arial" w:cs="Arial" w:eastAsia="Arial" w:hAnsi="Arial"/>
                <w:sz w:val="18"/>
                <w:szCs w:val="18"/>
                <w:color w:val="auto"/>
              </w:rPr>
              <w:t>82</w:t>
            </w:r>
          </w:p>
        </w:tc>
        <w:tc>
          <w:tcPr>
            <w:tcW w:w="400" w:type="dxa"/>
            <w:vAlign w:val="bottom"/>
          </w:tcPr>
          <w:p>
            <w:pPr>
              <w:spacing w:after="0"/>
              <w:rPr>
                <w:sz w:val="21"/>
                <w:szCs w:val="21"/>
                <w:color w:val="auto"/>
              </w:rPr>
            </w:pPr>
          </w:p>
        </w:tc>
        <w:tc>
          <w:tcPr>
            <w:tcW w:w="8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5280" w:type="dxa"/>
            <w:vAlign w:val="bottom"/>
          </w:tcPr>
          <w:p>
            <w:pPr>
              <w:spacing w:after="0"/>
              <w:rPr>
                <w:sz w:val="20"/>
                <w:szCs w:val="20"/>
                <w:color w:val="auto"/>
              </w:rPr>
            </w:pPr>
            <w:r>
              <w:rPr>
                <w:rFonts w:ascii="Arial" w:cs="Arial" w:eastAsia="Arial" w:hAnsi="Arial"/>
                <w:sz w:val="18"/>
                <w:szCs w:val="18"/>
                <w:color w:val="auto"/>
              </w:rPr>
              <w:t>Payments on long-term debt</w:t>
            </w:r>
          </w:p>
        </w:tc>
        <w:tc>
          <w:tcPr>
            <w:tcW w:w="200" w:type="dxa"/>
            <w:vAlign w:val="bottom"/>
          </w:tcPr>
          <w:p>
            <w:pPr>
              <w:spacing w:after="0"/>
              <w:rPr>
                <w:sz w:val="21"/>
                <w:szCs w:val="21"/>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(990 )</w:t>
            </w:r>
          </w:p>
        </w:tc>
        <w:tc>
          <w:tcPr>
            <w:tcW w:w="400" w:type="dxa"/>
            <w:vAlign w:val="bottom"/>
          </w:tcPr>
          <w:p>
            <w:pPr>
              <w:spacing w:after="0"/>
              <w:rPr>
                <w:sz w:val="21"/>
                <w:szCs w:val="21"/>
                <w:color w:val="auto"/>
              </w:rPr>
            </w:pPr>
          </w:p>
        </w:tc>
        <w:tc>
          <w:tcPr>
            <w:tcW w:w="880" w:type="dxa"/>
            <w:vAlign w:val="bottom"/>
          </w:tcPr>
          <w:p>
            <w:pPr>
              <w:jc w:val="right"/>
              <w:ind w:right="110"/>
              <w:spacing w:after="0"/>
              <w:rPr>
                <w:sz w:val="20"/>
                <w:szCs w:val="20"/>
                <w:color w:val="auto"/>
              </w:rPr>
            </w:pPr>
            <w:r>
              <w:rPr>
                <w:rFonts w:ascii="Arial" w:cs="Arial" w:eastAsia="Arial" w:hAnsi="Arial"/>
                <w:sz w:val="18"/>
                <w:szCs w:val="18"/>
                <w:color w:val="auto"/>
              </w:rPr>
              <w:t>(12 )</w:t>
            </w:r>
          </w:p>
        </w:tc>
        <w:tc>
          <w:tcPr>
            <w:tcW w:w="3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(511 )</w:t>
            </w:r>
          </w:p>
        </w:tc>
      </w:tr>
      <w:tr>
        <w:trPr>
          <w:trHeight w:val="243"/>
        </w:trPr>
        <w:tc>
          <w:tcPr>
            <w:tcW w:w="5280" w:type="dxa"/>
            <w:vAlign w:val="bottom"/>
          </w:tcPr>
          <w:p>
            <w:pPr>
              <w:spacing w:after="0"/>
              <w:rPr>
                <w:sz w:val="20"/>
                <w:szCs w:val="20"/>
                <w:color w:val="auto"/>
              </w:rPr>
            </w:pPr>
            <w:r>
              <w:rPr>
                <w:rFonts w:ascii="Arial" w:cs="Arial" w:eastAsia="Arial" w:hAnsi="Arial"/>
                <w:sz w:val="18"/>
                <w:szCs w:val="18"/>
                <w:color w:val="auto"/>
              </w:rPr>
              <w:t>Increase (decrease) in loans from affiliates, net</w:t>
            </w:r>
          </w:p>
        </w:tc>
        <w:tc>
          <w:tcPr>
            <w:tcW w:w="200" w:type="dxa"/>
            <w:vAlign w:val="bottom"/>
          </w:tcPr>
          <w:p>
            <w:pPr>
              <w:spacing w:after="0"/>
              <w:rPr>
                <w:sz w:val="21"/>
                <w:szCs w:val="21"/>
                <w:color w:val="auto"/>
              </w:rPr>
            </w:pPr>
          </w:p>
        </w:tc>
        <w:tc>
          <w:tcPr>
            <w:tcW w:w="960" w:type="dxa"/>
            <w:vAlign w:val="bottom"/>
          </w:tcPr>
          <w:p>
            <w:pPr>
              <w:jc w:val="right"/>
              <w:ind w:right="210"/>
              <w:spacing w:after="0"/>
              <w:rPr>
                <w:sz w:val="20"/>
                <w:szCs w:val="20"/>
                <w:color w:val="auto"/>
              </w:rPr>
            </w:pPr>
            <w:r>
              <w:rPr>
                <w:rFonts w:ascii="Arial" w:cs="Arial" w:eastAsia="Arial" w:hAnsi="Arial"/>
                <w:sz w:val="18"/>
                <w:szCs w:val="18"/>
                <w:color w:val="auto"/>
              </w:rPr>
              <w:t>59</w:t>
            </w:r>
          </w:p>
        </w:tc>
        <w:tc>
          <w:tcPr>
            <w:tcW w:w="400" w:type="dxa"/>
            <w:vAlign w:val="bottom"/>
          </w:tcPr>
          <w:p>
            <w:pPr>
              <w:spacing w:after="0"/>
              <w:rPr>
                <w:sz w:val="21"/>
                <w:szCs w:val="21"/>
                <w:color w:val="auto"/>
              </w:rPr>
            </w:pPr>
          </w:p>
        </w:tc>
        <w:tc>
          <w:tcPr>
            <w:tcW w:w="880" w:type="dxa"/>
            <w:vAlign w:val="bottom"/>
          </w:tcPr>
          <w:p>
            <w:pPr>
              <w:jc w:val="right"/>
              <w:ind w:right="190"/>
              <w:spacing w:after="0"/>
              <w:rPr>
                <w:sz w:val="20"/>
                <w:szCs w:val="20"/>
                <w:color w:val="auto"/>
              </w:rPr>
            </w:pPr>
            <w:r>
              <w:rPr>
                <w:rFonts w:ascii="Arial" w:cs="Arial" w:eastAsia="Arial" w:hAnsi="Arial"/>
                <w:sz w:val="18"/>
                <w:szCs w:val="18"/>
                <w:color w:val="auto"/>
              </w:rPr>
              <w:t>273</w:t>
            </w:r>
          </w:p>
        </w:tc>
        <w:tc>
          <w:tcPr>
            <w:tcW w:w="3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(762 )</w:t>
            </w:r>
          </w:p>
        </w:tc>
      </w:tr>
      <w:tr>
        <w:trPr>
          <w:trHeight w:val="257"/>
        </w:trPr>
        <w:tc>
          <w:tcPr>
            <w:tcW w:w="5280" w:type="dxa"/>
            <w:vAlign w:val="bottom"/>
          </w:tcPr>
          <w:p>
            <w:pPr>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22</w:t>
            </w:r>
          </w:p>
        </w:tc>
        <w:tc>
          <w:tcPr>
            <w:tcW w:w="4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29</w:t>
            </w:r>
          </w:p>
        </w:tc>
        <w:tc>
          <w:tcPr>
            <w:tcW w:w="3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r>
      <w:tr>
        <w:trPr>
          <w:trHeight w:val="237"/>
        </w:trPr>
        <w:tc>
          <w:tcPr>
            <w:tcW w:w="5280" w:type="dxa"/>
            <w:vAlign w:val="bottom"/>
          </w:tcPr>
          <w:p>
            <w:pPr>
              <w:ind w:left="420"/>
              <w:spacing w:after="0"/>
              <w:rPr>
                <w:sz w:val="20"/>
                <w:szCs w:val="20"/>
                <w:color w:val="auto"/>
              </w:rPr>
            </w:pPr>
            <w:r>
              <w:rPr>
                <w:rFonts w:ascii="Arial" w:cs="Arial" w:eastAsia="Arial" w:hAnsi="Arial"/>
                <w:sz w:val="18"/>
                <w:szCs w:val="18"/>
                <w:color w:val="auto"/>
              </w:rPr>
              <w:t>Cash provided by (used in) financing activities</w:t>
            </w: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(1,288 )</w:t>
            </w:r>
          </w:p>
        </w:tc>
        <w:tc>
          <w:tcPr>
            <w:tcW w:w="4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67</w:t>
            </w:r>
          </w:p>
        </w:tc>
        <w:tc>
          <w:tcPr>
            <w:tcW w:w="3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(942 )</w:t>
            </w:r>
          </w:p>
        </w:tc>
      </w:tr>
      <w:tr>
        <w:trPr>
          <w:trHeight w:val="466"/>
        </w:trPr>
        <w:tc>
          <w:tcPr>
            <w:tcW w:w="5280" w:type="dxa"/>
            <w:vAlign w:val="bottom"/>
          </w:tcPr>
          <w:p>
            <w:pPr>
              <w:spacing w:after="0"/>
              <w:rPr>
                <w:sz w:val="20"/>
                <w:szCs w:val="20"/>
                <w:color w:val="auto"/>
              </w:rPr>
            </w:pPr>
            <w:r>
              <w:rPr>
                <w:rFonts w:ascii="Arial" w:cs="Arial" w:eastAsia="Arial" w:hAnsi="Arial"/>
                <w:sz w:val="18"/>
                <w:szCs w:val="18"/>
                <w:color w:val="auto"/>
              </w:rPr>
              <w:t>Increase (decrease) in cash and cash equivalents</w:t>
            </w:r>
          </w:p>
        </w:tc>
        <w:tc>
          <w:tcPr>
            <w:tcW w:w="200" w:type="dxa"/>
            <w:vAlign w:val="bottom"/>
          </w:tcPr>
          <w:p>
            <w:pPr>
              <w:spacing w:after="0"/>
              <w:rPr>
                <w:sz w:val="24"/>
                <w:szCs w:val="24"/>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(421 )</w:t>
            </w:r>
          </w:p>
        </w:tc>
        <w:tc>
          <w:tcPr>
            <w:tcW w:w="400" w:type="dxa"/>
            <w:vAlign w:val="bottom"/>
          </w:tcPr>
          <w:p>
            <w:pPr>
              <w:spacing w:after="0"/>
              <w:rPr>
                <w:sz w:val="24"/>
                <w:szCs w:val="24"/>
                <w:color w:val="auto"/>
              </w:rPr>
            </w:pPr>
          </w:p>
        </w:tc>
        <w:tc>
          <w:tcPr>
            <w:tcW w:w="880" w:type="dxa"/>
            <w:vAlign w:val="bottom"/>
          </w:tcPr>
          <w:p>
            <w:pPr>
              <w:jc w:val="right"/>
              <w:ind w:right="230"/>
              <w:spacing w:after="0"/>
              <w:rPr>
                <w:sz w:val="20"/>
                <w:szCs w:val="20"/>
                <w:color w:val="auto"/>
              </w:rPr>
            </w:pPr>
            <w:r>
              <w:rPr>
                <w:rFonts w:ascii="Arial" w:cs="Arial" w:eastAsia="Arial" w:hAnsi="Arial"/>
                <w:sz w:val="18"/>
                <w:szCs w:val="18"/>
                <w:color w:val="auto"/>
              </w:rPr>
              <w:t>244</w:t>
            </w:r>
          </w:p>
        </w:tc>
        <w:tc>
          <w:tcPr>
            <w:tcW w:w="380" w:type="dxa"/>
            <w:vAlign w:val="bottom"/>
          </w:tcPr>
          <w:p>
            <w:pPr>
              <w:spacing w:after="0"/>
              <w:rPr>
                <w:sz w:val="24"/>
                <w:szCs w:val="24"/>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160</w:t>
            </w:r>
          </w:p>
        </w:tc>
      </w:tr>
      <w:tr>
        <w:trPr>
          <w:trHeight w:val="257"/>
        </w:trPr>
        <w:tc>
          <w:tcPr>
            <w:tcW w:w="5280" w:type="dxa"/>
            <w:vAlign w:val="bottom"/>
          </w:tcPr>
          <w:p>
            <w:pPr>
              <w:spacing w:after="0"/>
              <w:rPr>
                <w:sz w:val="20"/>
                <w:szCs w:val="20"/>
                <w:color w:val="auto"/>
              </w:rPr>
            </w:pPr>
            <w:r>
              <w:rPr>
                <w:rFonts w:ascii="Arial" w:cs="Arial" w:eastAsia="Arial" w:hAnsi="Arial"/>
                <w:sz w:val="18"/>
                <w:szCs w:val="18"/>
                <w:color w:val="auto"/>
              </w:rPr>
              <w:t>Cash and cash equivalents, January 1</w:t>
            </w: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427</w:t>
            </w:r>
          </w:p>
        </w:tc>
        <w:tc>
          <w:tcPr>
            <w:tcW w:w="4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183</w:t>
            </w:r>
          </w:p>
        </w:tc>
        <w:tc>
          <w:tcPr>
            <w:tcW w:w="3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w:t>
            </w:r>
          </w:p>
        </w:tc>
      </w:tr>
      <w:tr>
        <w:trPr>
          <w:trHeight w:val="257"/>
        </w:trPr>
        <w:tc>
          <w:tcPr>
            <w:tcW w:w="5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Cash and cash equivalents, December 31</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6</w:t>
            </w:r>
          </w:p>
        </w:tc>
        <w:tc>
          <w:tcPr>
            <w:tcW w:w="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427</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183</w:t>
            </w: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See Notes to Condensed Financial Information of Parent.</w:t>
            </w: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color w:val="auto"/>
        </w:rPr>
        <w:t>39</w:t>
      </w:r>
    </w:p>
    <w:p>
      <w:pPr>
        <w:sectPr>
          <w:pgSz w:w="11900" w:h="16838" w:orient="portrait"/>
          <w:cols w:equalWidth="0" w:num="1">
            <w:col w:w="10219"/>
          </w:cols>
          <w:pgMar w:left="240" w:top="122" w:right="1440" w:bottom="1440" w:gutter="0" w:footer="0" w:header="0"/>
        </w:sectPr>
      </w:pPr>
    </w:p>
    <w:bookmarkStart w:id="39" w:name="page40"/>
    <w:bookmarkEnd w:id="39"/>
    <w:p>
      <w:pPr>
        <w:jc w:val="center"/>
        <w:ind w:right="-59"/>
        <w:spacing w:after="0"/>
        <w:rPr>
          <w:sz w:val="20"/>
          <w:szCs w:val="20"/>
          <w:color w:val="auto"/>
        </w:rPr>
      </w:pPr>
      <w:r>
        <w:rPr>
          <w:rFonts w:ascii="Arial" w:cs="Arial" w:eastAsia="Arial" w:hAnsi="Arial"/>
          <w:sz w:val="20"/>
          <w:szCs w:val="20"/>
          <w:color w:val="auto"/>
        </w:rPr>
        <w:t>SEMPRA ENERGY</w:t>
      </w:r>
    </w:p>
    <w:p>
      <w:pPr>
        <w:spacing w:after="0" w:line="243"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NOTES TO CONDENSED FINANCIAL INFORMATION OF PARENT</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 Basis of Presentation</w:t>
      </w:r>
    </w:p>
    <w:p>
      <w:pPr>
        <w:spacing w:after="0" w:line="249" w:lineRule="exact"/>
        <w:rPr>
          <w:sz w:val="20"/>
          <w:szCs w:val="20"/>
          <w:color w:val="auto"/>
        </w:rPr>
      </w:pPr>
    </w:p>
    <w:p>
      <w:pPr>
        <w:ind w:right="560"/>
        <w:spacing w:after="0" w:line="260" w:lineRule="auto"/>
        <w:rPr>
          <w:sz w:val="20"/>
          <w:szCs w:val="20"/>
          <w:color w:val="auto"/>
        </w:rPr>
      </w:pPr>
      <w:r>
        <w:rPr>
          <w:rFonts w:ascii="Arial" w:cs="Arial" w:eastAsia="Arial" w:hAnsi="Arial"/>
          <w:sz w:val="20"/>
          <w:szCs w:val="20"/>
          <w:color w:val="auto"/>
        </w:rPr>
        <w:t>Equity in Earnings of Subsidiaries on the Condensed Statements of Income includes income (loss) of $(26) million, $315 million and $7 million related to discontinued operations for 2007, 2006 and 2005, respectively.</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2. Long-Term Debt</w:t>
      </w:r>
    </w:p>
    <w:p>
      <w:pPr>
        <w:spacing w:after="0" w:line="292" w:lineRule="exact"/>
        <w:rPr>
          <w:sz w:val="20"/>
          <w:szCs w:val="20"/>
          <w:color w:val="auto"/>
        </w:rPr>
      </w:pPr>
    </w:p>
    <w:tbl>
      <w:tblPr>
        <w:tblLayout w:type="fixed"/>
        <w:tblInd w:w="1580" w:type="dxa"/>
        <w:tblCellMar>
          <w:top w:w="0" w:type="dxa"/>
          <w:left w:w="0" w:type="dxa"/>
          <w:bottom w:w="0" w:type="dxa"/>
          <w:right w:w="0" w:type="dxa"/>
        </w:tblCellMar>
      </w:tblPr>
      <w:tr>
        <w:trPr>
          <w:trHeight w:val="237"/>
        </w:trPr>
        <w:tc>
          <w:tcPr>
            <w:tcW w:w="58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December 31,</w:t>
            </w:r>
          </w:p>
        </w:tc>
        <w:tc>
          <w:tcPr>
            <w:tcW w:w="6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(Dollars in millions)</w:t>
            </w:r>
          </w:p>
        </w:tc>
        <w:tc>
          <w:tcPr>
            <w:tcW w:w="4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2007</w:t>
            </w:r>
          </w:p>
        </w:tc>
        <w:tc>
          <w:tcPr>
            <w:tcW w:w="6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2006</w:t>
            </w:r>
          </w:p>
        </w:tc>
        <w:tc>
          <w:tcPr>
            <w:tcW w:w="0" w:type="dxa"/>
            <w:vAlign w:val="bottom"/>
          </w:tcPr>
          <w:p>
            <w:pPr>
              <w:spacing w:after="0"/>
              <w:rPr>
                <w:sz w:val="1"/>
                <w:szCs w:val="1"/>
                <w:color w:val="auto"/>
              </w:rPr>
            </w:pPr>
          </w:p>
        </w:tc>
      </w:tr>
      <w:tr>
        <w:trPr>
          <w:trHeight w:val="473"/>
        </w:trPr>
        <w:tc>
          <w:tcPr>
            <w:tcW w:w="5820" w:type="dxa"/>
            <w:vAlign w:val="bottom"/>
          </w:tcPr>
          <w:p>
            <w:pPr>
              <w:ind w:left="220"/>
              <w:spacing w:after="0"/>
              <w:rPr>
                <w:sz w:val="20"/>
                <w:szCs w:val="20"/>
                <w:color w:val="auto"/>
              </w:rPr>
            </w:pPr>
            <w:r>
              <w:rPr>
                <w:rFonts w:ascii="Arial" w:cs="Arial" w:eastAsia="Arial" w:hAnsi="Arial"/>
                <w:sz w:val="18"/>
                <w:szCs w:val="18"/>
                <w:color w:val="auto"/>
              </w:rPr>
              <w:t>6.0% notes February 1, 2013</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400</w:t>
            </w:r>
          </w:p>
        </w:tc>
        <w:tc>
          <w:tcPr>
            <w:tcW w:w="6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1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43"/>
        </w:trPr>
        <w:tc>
          <w:tcPr>
            <w:tcW w:w="5820" w:type="dxa"/>
            <w:vAlign w:val="bottom"/>
          </w:tcPr>
          <w:p>
            <w:pPr>
              <w:ind w:left="220"/>
              <w:spacing w:after="0"/>
              <w:rPr>
                <w:sz w:val="20"/>
                <w:szCs w:val="20"/>
                <w:color w:val="auto"/>
              </w:rPr>
            </w:pPr>
            <w:r>
              <w:rPr>
                <w:rFonts w:ascii="Arial" w:cs="Arial" w:eastAsia="Arial" w:hAnsi="Arial"/>
                <w:sz w:val="18"/>
                <w:szCs w:val="18"/>
                <w:color w:val="auto"/>
              </w:rPr>
              <w:t>Notes at variable rates after fixed-to-floating swap</w:t>
            </w:r>
          </w:p>
        </w:tc>
        <w:tc>
          <w:tcPr>
            <w:tcW w:w="4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20" w:type="dxa"/>
            <w:vAlign w:val="bottom"/>
          </w:tcPr>
          <w:p>
            <w:pPr>
              <w:ind w:left="480"/>
              <w:spacing w:after="0"/>
              <w:rPr>
                <w:sz w:val="20"/>
                <w:szCs w:val="20"/>
                <w:color w:val="auto"/>
              </w:rPr>
            </w:pPr>
            <w:r>
              <w:rPr>
                <w:rFonts w:ascii="Arial" w:cs="Arial" w:eastAsia="Arial" w:hAnsi="Arial"/>
                <w:sz w:val="18"/>
                <w:szCs w:val="18"/>
                <w:color w:val="auto"/>
              </w:rPr>
              <w:t>(7.42% at December 31, 2007) March 1, 2010</w:t>
            </w:r>
          </w:p>
        </w:tc>
        <w:tc>
          <w:tcPr>
            <w:tcW w:w="420" w:type="dxa"/>
            <w:vAlign w:val="bottom"/>
          </w:tcPr>
          <w:p>
            <w:pPr>
              <w:spacing w:after="0"/>
              <w:rPr>
                <w:sz w:val="21"/>
                <w:szCs w:val="21"/>
                <w:color w:val="auto"/>
              </w:rPr>
            </w:pP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300</w:t>
            </w:r>
          </w:p>
        </w:tc>
        <w:tc>
          <w:tcPr>
            <w:tcW w:w="600" w:type="dxa"/>
            <w:vAlign w:val="bottom"/>
          </w:tcPr>
          <w:p>
            <w:pPr>
              <w:spacing w:after="0"/>
              <w:rPr>
                <w:sz w:val="21"/>
                <w:szCs w:val="21"/>
                <w:color w:val="auto"/>
              </w:rPr>
            </w:pPr>
          </w:p>
        </w:tc>
        <w:tc>
          <w:tcPr>
            <w:tcW w:w="640" w:type="dxa"/>
            <w:vAlign w:val="bottom"/>
          </w:tcPr>
          <w:p>
            <w:pPr>
              <w:jc w:val="right"/>
              <w:ind w:right="11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43"/>
        </w:trPr>
        <w:tc>
          <w:tcPr>
            <w:tcW w:w="5820" w:type="dxa"/>
            <w:vAlign w:val="bottom"/>
          </w:tcPr>
          <w:p>
            <w:pPr>
              <w:ind w:left="220"/>
              <w:spacing w:after="0"/>
              <w:rPr>
                <w:sz w:val="20"/>
                <w:szCs w:val="20"/>
                <w:color w:val="auto"/>
              </w:rPr>
            </w:pPr>
            <w:r>
              <w:rPr>
                <w:rFonts w:ascii="Arial" w:cs="Arial" w:eastAsia="Arial" w:hAnsi="Arial"/>
                <w:sz w:val="18"/>
                <w:szCs w:val="18"/>
                <w:color w:val="auto"/>
              </w:rPr>
              <w:t>4.75% notes May 15, 2009</w:t>
            </w:r>
          </w:p>
        </w:tc>
        <w:tc>
          <w:tcPr>
            <w:tcW w:w="420" w:type="dxa"/>
            <w:vAlign w:val="bottom"/>
          </w:tcPr>
          <w:p>
            <w:pPr>
              <w:spacing w:after="0"/>
              <w:rPr>
                <w:sz w:val="21"/>
                <w:szCs w:val="21"/>
                <w:color w:val="auto"/>
              </w:rPr>
            </w:pP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300</w:t>
            </w:r>
          </w:p>
        </w:tc>
        <w:tc>
          <w:tcPr>
            <w:tcW w:w="600" w:type="dxa"/>
            <w:vAlign w:val="bottom"/>
          </w:tcPr>
          <w:p>
            <w:pPr>
              <w:spacing w:after="0"/>
              <w:rPr>
                <w:sz w:val="21"/>
                <w:szCs w:val="21"/>
                <w:color w:val="auto"/>
              </w:rPr>
            </w:pPr>
          </w:p>
        </w:tc>
        <w:tc>
          <w:tcPr>
            <w:tcW w:w="640" w:type="dxa"/>
            <w:vAlign w:val="bottom"/>
          </w:tcPr>
          <w:p>
            <w:pPr>
              <w:jc w:val="right"/>
              <w:ind w:right="11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43"/>
        </w:trPr>
        <w:tc>
          <w:tcPr>
            <w:tcW w:w="5820" w:type="dxa"/>
            <w:vAlign w:val="bottom"/>
          </w:tcPr>
          <w:p>
            <w:pPr>
              <w:ind w:left="220"/>
              <w:spacing w:after="0"/>
              <w:rPr>
                <w:sz w:val="20"/>
                <w:szCs w:val="20"/>
                <w:color w:val="auto"/>
              </w:rPr>
            </w:pPr>
            <w:r>
              <w:rPr>
                <w:rFonts w:ascii="Arial" w:cs="Arial" w:eastAsia="Arial" w:hAnsi="Arial"/>
                <w:sz w:val="18"/>
                <w:szCs w:val="18"/>
                <w:color w:val="auto"/>
              </w:rPr>
              <w:t>7.95% notes March 1, 2010</w:t>
            </w:r>
          </w:p>
        </w:tc>
        <w:tc>
          <w:tcPr>
            <w:tcW w:w="420" w:type="dxa"/>
            <w:vAlign w:val="bottom"/>
          </w:tcPr>
          <w:p>
            <w:pPr>
              <w:spacing w:after="0"/>
              <w:rPr>
                <w:sz w:val="21"/>
                <w:szCs w:val="21"/>
                <w:color w:val="auto"/>
              </w:rPr>
            </w:pP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200</w:t>
            </w:r>
          </w:p>
        </w:tc>
        <w:tc>
          <w:tcPr>
            <w:tcW w:w="600" w:type="dxa"/>
            <w:vAlign w:val="bottom"/>
          </w:tcPr>
          <w:p>
            <w:pPr>
              <w:spacing w:after="0"/>
              <w:rPr>
                <w:sz w:val="21"/>
                <w:szCs w:val="21"/>
                <w:color w:val="auto"/>
              </w:rPr>
            </w:pPr>
          </w:p>
        </w:tc>
        <w:tc>
          <w:tcPr>
            <w:tcW w:w="640" w:type="dxa"/>
            <w:vAlign w:val="bottom"/>
          </w:tcPr>
          <w:p>
            <w:pPr>
              <w:jc w:val="right"/>
              <w:ind w:right="11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43"/>
        </w:trPr>
        <w:tc>
          <w:tcPr>
            <w:tcW w:w="5820" w:type="dxa"/>
            <w:vAlign w:val="bottom"/>
          </w:tcPr>
          <w:p>
            <w:pPr>
              <w:ind w:left="220"/>
              <w:spacing w:after="0"/>
              <w:rPr>
                <w:sz w:val="20"/>
                <w:szCs w:val="20"/>
                <w:color w:val="auto"/>
              </w:rPr>
            </w:pPr>
            <w:r>
              <w:rPr>
                <w:rFonts w:ascii="Arial" w:cs="Arial" w:eastAsia="Arial" w:hAnsi="Arial"/>
                <w:sz w:val="18"/>
                <w:szCs w:val="18"/>
                <w:color w:val="auto"/>
              </w:rPr>
              <w:t>Employee Stock Ownership Plan</w:t>
            </w:r>
          </w:p>
        </w:tc>
        <w:tc>
          <w:tcPr>
            <w:tcW w:w="4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20" w:type="dxa"/>
            <w:vAlign w:val="bottom"/>
          </w:tcPr>
          <w:p>
            <w:pPr>
              <w:ind w:left="480"/>
              <w:spacing w:after="0"/>
              <w:rPr>
                <w:sz w:val="20"/>
                <w:szCs w:val="20"/>
                <w:color w:val="auto"/>
              </w:rPr>
            </w:pPr>
            <w:r>
              <w:rPr>
                <w:rFonts w:ascii="Arial" w:cs="Arial" w:eastAsia="Arial" w:hAnsi="Arial"/>
                <w:sz w:val="18"/>
                <w:szCs w:val="18"/>
                <w:color w:val="auto"/>
              </w:rPr>
              <w:t>Bonds at 5.781% (fixed rate to July 1, 2010) November 1, 2014</w:t>
            </w:r>
          </w:p>
        </w:tc>
        <w:tc>
          <w:tcPr>
            <w:tcW w:w="420" w:type="dxa"/>
            <w:vAlign w:val="bottom"/>
          </w:tcPr>
          <w:p>
            <w:pPr>
              <w:spacing w:after="0"/>
              <w:rPr>
                <w:sz w:val="21"/>
                <w:szCs w:val="21"/>
                <w:color w:val="auto"/>
              </w:rPr>
            </w:pP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50</w:t>
            </w:r>
          </w:p>
        </w:tc>
        <w:tc>
          <w:tcPr>
            <w:tcW w:w="600" w:type="dxa"/>
            <w:vAlign w:val="bottom"/>
          </w:tcPr>
          <w:p>
            <w:pPr>
              <w:spacing w:after="0"/>
              <w:rPr>
                <w:sz w:val="21"/>
                <w:szCs w:val="21"/>
                <w:color w:val="auto"/>
              </w:rPr>
            </w:pPr>
          </w:p>
        </w:tc>
        <w:tc>
          <w:tcPr>
            <w:tcW w:w="640" w:type="dxa"/>
            <w:vAlign w:val="bottom"/>
          </w:tcPr>
          <w:p>
            <w:pPr>
              <w:jc w:val="right"/>
              <w:ind w:right="11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43"/>
        </w:trPr>
        <w:tc>
          <w:tcPr>
            <w:tcW w:w="5820" w:type="dxa"/>
            <w:vAlign w:val="bottom"/>
          </w:tcPr>
          <w:p>
            <w:pPr>
              <w:ind w:left="480"/>
              <w:spacing w:after="0"/>
              <w:rPr>
                <w:sz w:val="20"/>
                <w:szCs w:val="20"/>
                <w:color w:val="auto"/>
              </w:rPr>
            </w:pPr>
            <w:r>
              <w:rPr>
                <w:rFonts w:ascii="Arial" w:cs="Arial" w:eastAsia="Arial" w:hAnsi="Arial"/>
                <w:sz w:val="18"/>
                <w:szCs w:val="18"/>
                <w:color w:val="auto"/>
              </w:rPr>
              <w:t>Bonds at variable rates (4.99% at December 31, 2007)</w:t>
            </w:r>
          </w:p>
        </w:tc>
        <w:tc>
          <w:tcPr>
            <w:tcW w:w="4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20" w:type="dxa"/>
            <w:vAlign w:val="bottom"/>
          </w:tcPr>
          <w:p>
            <w:pPr>
              <w:ind w:left="760"/>
              <w:spacing w:after="0"/>
              <w:rPr>
                <w:sz w:val="20"/>
                <w:szCs w:val="20"/>
                <w:color w:val="auto"/>
              </w:rPr>
            </w:pPr>
            <w:r>
              <w:rPr>
                <w:rFonts w:ascii="Arial" w:cs="Arial" w:eastAsia="Arial" w:hAnsi="Arial"/>
                <w:sz w:val="18"/>
                <w:szCs w:val="18"/>
                <w:color w:val="auto"/>
              </w:rPr>
              <w:t>November 1, 2014</w:t>
            </w:r>
          </w:p>
        </w:tc>
        <w:tc>
          <w:tcPr>
            <w:tcW w:w="420" w:type="dxa"/>
            <w:vAlign w:val="bottom"/>
          </w:tcPr>
          <w:p>
            <w:pPr>
              <w:spacing w:after="0"/>
              <w:rPr>
                <w:sz w:val="21"/>
                <w:szCs w:val="21"/>
                <w:color w:val="auto"/>
              </w:rPr>
            </w:pP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33</w:t>
            </w:r>
          </w:p>
        </w:tc>
        <w:tc>
          <w:tcPr>
            <w:tcW w:w="600" w:type="dxa"/>
            <w:vAlign w:val="bottom"/>
          </w:tcPr>
          <w:p>
            <w:pPr>
              <w:spacing w:after="0"/>
              <w:rPr>
                <w:sz w:val="21"/>
                <w:szCs w:val="21"/>
                <w:color w:val="auto"/>
              </w:rPr>
            </w:pPr>
          </w:p>
        </w:tc>
        <w:tc>
          <w:tcPr>
            <w:tcW w:w="640" w:type="dxa"/>
            <w:vAlign w:val="bottom"/>
          </w:tcPr>
          <w:p>
            <w:pPr>
              <w:jc w:val="right"/>
              <w:ind w:right="11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5820" w:type="dxa"/>
            <w:vAlign w:val="bottom"/>
          </w:tcPr>
          <w:p>
            <w:pPr>
              <w:ind w:left="220"/>
              <w:spacing w:after="0"/>
              <w:rPr>
                <w:sz w:val="20"/>
                <w:szCs w:val="20"/>
                <w:color w:val="auto"/>
              </w:rPr>
            </w:pPr>
            <w:r>
              <w:rPr>
                <w:rFonts w:ascii="Arial" w:cs="Arial" w:eastAsia="Arial" w:hAnsi="Arial"/>
                <w:sz w:val="18"/>
                <w:szCs w:val="18"/>
                <w:color w:val="auto"/>
              </w:rPr>
              <w:t>4.621% notes May 17, 2007</w:t>
            </w:r>
          </w:p>
        </w:tc>
        <w:tc>
          <w:tcPr>
            <w:tcW w:w="420" w:type="dxa"/>
            <w:vAlign w:val="bottom"/>
          </w:tcPr>
          <w:p>
            <w:pPr>
              <w:spacing w:after="0"/>
              <w:rPr>
                <w:sz w:val="21"/>
                <w:szCs w:val="21"/>
                <w:color w:val="auto"/>
              </w:rPr>
            </w:pP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1"/>
                <w:szCs w:val="21"/>
                <w:color w:val="auto"/>
              </w:rPr>
            </w:pPr>
          </w:p>
        </w:tc>
        <w:tc>
          <w:tcPr>
            <w:tcW w:w="640" w:type="dxa"/>
            <w:vAlign w:val="bottom"/>
          </w:tcPr>
          <w:p>
            <w:pPr>
              <w:jc w:val="right"/>
              <w:ind w:right="11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43"/>
        </w:trPr>
        <w:tc>
          <w:tcPr>
            <w:tcW w:w="5820" w:type="dxa"/>
            <w:vAlign w:val="bottom"/>
          </w:tcPr>
          <w:p>
            <w:pPr>
              <w:ind w:left="220"/>
              <w:spacing w:after="0"/>
              <w:rPr>
                <w:sz w:val="20"/>
                <w:szCs w:val="20"/>
                <w:color w:val="auto"/>
              </w:rPr>
            </w:pPr>
            <w:r>
              <w:rPr>
                <w:rFonts w:ascii="Arial" w:cs="Arial" w:eastAsia="Arial" w:hAnsi="Arial"/>
                <w:sz w:val="18"/>
                <w:szCs w:val="18"/>
                <w:color w:val="auto"/>
              </w:rPr>
              <w:t>Notes at variable rates May 21, 2008</w:t>
            </w:r>
          </w:p>
        </w:tc>
        <w:tc>
          <w:tcPr>
            <w:tcW w:w="420" w:type="dxa"/>
            <w:vAlign w:val="bottom"/>
          </w:tcPr>
          <w:p>
            <w:pPr>
              <w:spacing w:after="0"/>
              <w:rPr>
                <w:sz w:val="21"/>
                <w:szCs w:val="21"/>
                <w:color w:val="auto"/>
              </w:rPr>
            </w:pP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1"/>
                <w:szCs w:val="21"/>
                <w:color w:val="auto"/>
              </w:rPr>
            </w:pPr>
          </w:p>
        </w:tc>
        <w:tc>
          <w:tcPr>
            <w:tcW w:w="640" w:type="dxa"/>
            <w:vAlign w:val="bottom"/>
          </w:tcPr>
          <w:p>
            <w:pPr>
              <w:jc w:val="right"/>
              <w:ind w:right="11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43"/>
        </w:trPr>
        <w:tc>
          <w:tcPr>
            <w:tcW w:w="5820" w:type="dxa"/>
            <w:vAlign w:val="bottom"/>
          </w:tcPr>
          <w:p>
            <w:pPr>
              <w:ind w:left="220"/>
              <w:spacing w:after="0"/>
              <w:rPr>
                <w:sz w:val="20"/>
                <w:szCs w:val="20"/>
                <w:color w:val="auto"/>
              </w:rPr>
            </w:pPr>
            <w:r>
              <w:rPr>
                <w:rFonts w:ascii="Arial" w:cs="Arial" w:eastAsia="Arial" w:hAnsi="Arial"/>
                <w:sz w:val="18"/>
                <w:szCs w:val="18"/>
                <w:color w:val="auto"/>
              </w:rPr>
              <w:t>Market value adjustments for interest rate swap, net</w:t>
            </w:r>
          </w:p>
        </w:tc>
        <w:tc>
          <w:tcPr>
            <w:tcW w:w="420" w:type="dxa"/>
            <w:vAlign w:val="bottom"/>
          </w:tcPr>
          <w:p>
            <w:pPr>
              <w:spacing w:after="0"/>
              <w:rPr>
                <w:sz w:val="21"/>
                <w:szCs w:val="21"/>
                <w:color w:val="auto"/>
              </w:rPr>
            </w:pPr>
          </w:p>
        </w:tc>
        <w:tc>
          <w:tcPr>
            <w:tcW w:w="780" w:type="dxa"/>
            <w:vAlign w:val="bottom"/>
            <w:vMerge w:val="restart"/>
          </w:tcPr>
          <w:p>
            <w:pPr>
              <w:jc w:val="right"/>
              <w:ind w:right="70"/>
              <w:spacing w:after="0"/>
              <w:rPr>
                <w:sz w:val="20"/>
                <w:szCs w:val="20"/>
                <w:color w:val="auto"/>
              </w:rPr>
            </w:pPr>
            <w:r>
              <w:rPr>
                <w:rFonts w:ascii="Arial" w:cs="Arial" w:eastAsia="Arial" w:hAnsi="Arial"/>
                <w:sz w:val="18"/>
                <w:szCs w:val="18"/>
                <w:color w:val="auto"/>
              </w:rPr>
              <w:t>8</w:t>
            </w:r>
          </w:p>
        </w:tc>
        <w:tc>
          <w:tcPr>
            <w:tcW w:w="600" w:type="dxa"/>
            <w:vAlign w:val="bottom"/>
          </w:tcPr>
          <w:p>
            <w:pPr>
              <w:spacing w:after="0"/>
              <w:rPr>
                <w:sz w:val="21"/>
                <w:szCs w:val="21"/>
                <w:color w:val="auto"/>
              </w:rPr>
            </w:pPr>
          </w:p>
        </w:tc>
        <w:tc>
          <w:tcPr>
            <w:tcW w:w="640" w:type="dxa"/>
            <w:vAlign w:val="bottom"/>
            <w:vMerge w:val="restart"/>
          </w:tcPr>
          <w:p>
            <w:pPr>
              <w:jc w:val="right"/>
              <w:ind w:right="30"/>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43"/>
        </w:trPr>
        <w:tc>
          <w:tcPr>
            <w:tcW w:w="5820" w:type="dxa"/>
            <w:vAlign w:val="bottom"/>
          </w:tcPr>
          <w:p>
            <w:pPr>
              <w:ind w:left="480"/>
              <w:spacing w:after="0"/>
              <w:rPr>
                <w:sz w:val="20"/>
                <w:szCs w:val="20"/>
                <w:color w:val="auto"/>
              </w:rPr>
            </w:pPr>
            <w:r>
              <w:rPr>
                <w:rFonts w:ascii="Arial" w:cs="Arial" w:eastAsia="Arial" w:hAnsi="Arial"/>
                <w:sz w:val="18"/>
                <w:szCs w:val="18"/>
                <w:color w:val="auto"/>
              </w:rPr>
              <w:t>(expires March 1, 2010)</w:t>
            </w:r>
          </w:p>
        </w:tc>
        <w:tc>
          <w:tcPr>
            <w:tcW w:w="4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vMerge w:val="continue"/>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58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1,291</w:t>
            </w:r>
          </w:p>
        </w:tc>
        <w:tc>
          <w:tcPr>
            <w:tcW w:w="600" w:type="dxa"/>
            <w:vAlign w:val="bottom"/>
          </w:tcPr>
          <w:p>
            <w:pPr>
              <w:spacing w:after="0"/>
              <w:rPr>
                <w:sz w:val="19"/>
                <w:szCs w:val="19"/>
                <w:color w:val="auto"/>
              </w:rPr>
            </w:pPr>
          </w:p>
        </w:tc>
        <w:tc>
          <w:tcPr>
            <w:tcW w:w="640" w:type="dxa"/>
            <w:vAlign w:val="bottom"/>
          </w:tcPr>
          <w:p>
            <w:pPr>
              <w:jc w:val="right"/>
              <w:ind w:right="110"/>
              <w:spacing w:after="0"/>
              <w:rPr>
                <w:sz w:val="20"/>
                <w:szCs w:val="20"/>
                <w:color w:val="auto"/>
              </w:rPr>
            </w:pPr>
            <w:r>
              <w:rPr>
                <w:rFonts w:ascii="Arial" w:cs="Arial" w:eastAsia="Arial" w:hAnsi="Arial"/>
                <w:sz w:val="18"/>
                <w:szCs w:val="18"/>
                <w:color w:val="auto"/>
                <w:w w:val="93"/>
              </w:rPr>
              <w:t>2,191</w:t>
            </w:r>
          </w:p>
        </w:tc>
        <w:tc>
          <w:tcPr>
            <w:tcW w:w="0" w:type="dxa"/>
            <w:vAlign w:val="bottom"/>
          </w:tcPr>
          <w:p>
            <w:pPr>
              <w:spacing w:after="0"/>
              <w:rPr>
                <w:sz w:val="1"/>
                <w:szCs w:val="1"/>
                <w:color w:val="auto"/>
              </w:rPr>
            </w:pPr>
          </w:p>
        </w:tc>
      </w:tr>
      <w:tr>
        <w:trPr>
          <w:trHeight w:val="242"/>
        </w:trPr>
        <w:tc>
          <w:tcPr>
            <w:tcW w:w="5820" w:type="dxa"/>
            <w:vAlign w:val="bottom"/>
          </w:tcPr>
          <w:p>
            <w:pPr>
              <w:ind w:left="220"/>
              <w:spacing w:after="0"/>
              <w:rPr>
                <w:sz w:val="20"/>
                <w:szCs w:val="20"/>
                <w:color w:val="auto"/>
              </w:rPr>
            </w:pPr>
            <w:r>
              <w:rPr>
                <w:rFonts w:ascii="Arial" w:cs="Arial" w:eastAsia="Arial" w:hAnsi="Arial"/>
                <w:sz w:val="18"/>
                <w:szCs w:val="18"/>
                <w:color w:val="auto"/>
              </w:rPr>
              <w:t>Current portion of long-term debt</w:t>
            </w:r>
          </w:p>
        </w:tc>
        <w:tc>
          <w:tcPr>
            <w:tcW w:w="420" w:type="dxa"/>
            <w:vAlign w:val="bottom"/>
          </w:tcPr>
          <w:p>
            <w:pPr>
              <w:spacing w:after="0"/>
              <w:rPr>
                <w:sz w:val="21"/>
                <w:szCs w:val="21"/>
                <w:color w:val="auto"/>
              </w:rPr>
            </w:pP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(600 )</w:t>
            </w:r>
          </w:p>
        </w:tc>
        <w:tc>
          <w:tcPr>
            <w:tcW w:w="0" w:type="dxa"/>
            <w:vAlign w:val="bottom"/>
          </w:tcPr>
          <w:p>
            <w:pPr>
              <w:spacing w:after="0"/>
              <w:rPr>
                <w:sz w:val="1"/>
                <w:szCs w:val="1"/>
                <w:color w:val="auto"/>
              </w:rPr>
            </w:pPr>
          </w:p>
        </w:tc>
      </w:tr>
      <w:tr>
        <w:trPr>
          <w:trHeight w:val="250"/>
        </w:trPr>
        <w:tc>
          <w:tcPr>
            <w:tcW w:w="5820" w:type="dxa"/>
            <w:vAlign w:val="bottom"/>
          </w:tcPr>
          <w:p>
            <w:pPr>
              <w:ind w:left="220"/>
              <w:spacing w:after="0"/>
              <w:rPr>
                <w:sz w:val="20"/>
                <w:szCs w:val="20"/>
                <w:color w:val="auto"/>
              </w:rPr>
            </w:pPr>
            <w:r>
              <w:rPr>
                <w:rFonts w:ascii="Arial" w:cs="Arial" w:eastAsia="Arial" w:hAnsi="Arial"/>
                <w:sz w:val="18"/>
                <w:szCs w:val="18"/>
                <w:color w:val="auto"/>
              </w:rPr>
              <w:t>Unamortized discount on long-term debt</w:t>
            </w:r>
          </w:p>
        </w:tc>
        <w:tc>
          <w:tcPr>
            <w:tcW w:w="4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(1 )</w:t>
            </w:r>
          </w:p>
        </w:tc>
        <w:tc>
          <w:tcPr>
            <w:tcW w:w="6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64"/>
        </w:trPr>
        <w:tc>
          <w:tcPr>
            <w:tcW w:w="58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1,290</w:t>
            </w:r>
          </w:p>
        </w:tc>
        <w:tc>
          <w:tcPr>
            <w:tcW w:w="6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3"/>
              </w:rPr>
              <w:t>1,590</w:t>
            </w:r>
          </w:p>
        </w:tc>
        <w:tc>
          <w:tcPr>
            <w:tcW w:w="0" w:type="dxa"/>
            <w:vAlign w:val="bottom"/>
          </w:tcPr>
          <w:p>
            <w:pPr>
              <w:spacing w:after="0"/>
              <w:rPr>
                <w:sz w:val="1"/>
                <w:szCs w:val="1"/>
                <w:color w:val="auto"/>
              </w:rPr>
            </w:pPr>
          </w:p>
        </w:tc>
      </w:tr>
    </w:tbl>
    <w:p>
      <w:pPr>
        <w:spacing w:after="0" w:line="226"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Maturities of long-term debt, excluding market value adjustments for the interest rate swap, are $300 million in 2009, $500 million in 2010 and $483 million after 2012.</w:t>
      </w: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color w:val="auto"/>
        </w:rPr>
        <w:t>Additional information on Sempra Energy's long-term debt is provided in Note 6 of the Notes to Consolidated Financial Statements.</w:t>
      </w: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3. Contingencies and Commitments</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For material contingencies and guarantees related to Sempra Energy, refer to Note 16 of the Notes to Consolidated Financial Statements.</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20"/>
          <w:szCs w:val="20"/>
          <w:color w:val="auto"/>
        </w:rPr>
        <w:t>40</w:t>
      </w:r>
    </w:p>
    <w:p>
      <w:pPr>
        <w:sectPr>
          <w:pgSz w:w="11900" w:h="16838" w:orient="portrait"/>
          <w:cols w:equalWidth="0" w:num="1">
            <w:col w:w="11380"/>
          </w:cols>
          <w:pgMar w:left="240" w:top="366" w:right="279" w:bottom="1440" w:gutter="0" w:footer="0" w:header="0"/>
        </w:sectPr>
      </w:pPr>
    </w:p>
    <w:bookmarkStart w:id="40" w:name="page41"/>
    <w:bookmarkEnd w:id="40"/>
    <w:p>
      <w:pPr>
        <w:jc w:val="center"/>
        <w:ind w:right="660"/>
        <w:spacing w:after="0"/>
        <w:rPr>
          <w:sz w:val="20"/>
          <w:szCs w:val="20"/>
          <w:color w:val="auto"/>
        </w:rPr>
      </w:pPr>
      <w:r>
        <w:rPr>
          <w:rFonts w:ascii="Arial" w:cs="Arial" w:eastAsia="Arial" w:hAnsi="Arial"/>
          <w:sz w:val="20"/>
          <w:szCs w:val="20"/>
          <w:b w:val="1"/>
          <w:bCs w:val="1"/>
          <w:color w:val="auto"/>
        </w:rPr>
        <w:t>SIGNATURES</w:t>
      </w:r>
    </w:p>
    <w:p>
      <w:pPr>
        <w:spacing w:after="0" w:line="276" w:lineRule="exact"/>
        <w:rPr>
          <w:sz w:val="20"/>
          <w:szCs w:val="20"/>
          <w:color w:val="auto"/>
        </w:rPr>
      </w:pPr>
    </w:p>
    <w:p>
      <w:pPr>
        <w:ind w:right="760"/>
        <w:spacing w:after="0" w:line="386" w:lineRule="auto"/>
        <w:rPr>
          <w:sz w:val="20"/>
          <w:szCs w:val="20"/>
          <w:color w:val="auto"/>
        </w:rPr>
      </w:pPr>
      <w:r>
        <w:rPr>
          <w:rFonts w:ascii="Arial" w:cs="Arial" w:eastAsia="Arial" w:hAnsi="Arial"/>
          <w:sz w:val="16"/>
          <w:szCs w:val="16"/>
          <w:color w:val="auto"/>
        </w:rPr>
        <w:t>Pursuant to the requirements of Section 13 or 15(d) of the Securities Exchange Act of 1934, the registrant has duly caused this report to be signed on its behalf by the undersigned, thereunto duly authorized.</w:t>
      </w:r>
    </w:p>
    <w:p>
      <w:pPr>
        <w:spacing w:after="0" w:line="137" w:lineRule="exact"/>
        <w:rPr>
          <w:sz w:val="20"/>
          <w:szCs w:val="20"/>
          <w:color w:val="auto"/>
        </w:rPr>
      </w:pPr>
    </w:p>
    <w:p>
      <w:pPr>
        <w:ind w:left="4860"/>
        <w:spacing w:after="0"/>
        <w:rPr>
          <w:sz w:val="20"/>
          <w:szCs w:val="20"/>
          <w:color w:val="auto"/>
        </w:rPr>
      </w:pPr>
      <w:r>
        <w:rPr>
          <w:rFonts w:ascii="Arial" w:cs="Arial" w:eastAsia="Arial" w:hAnsi="Arial"/>
          <w:sz w:val="20"/>
          <w:szCs w:val="20"/>
          <w:color w:val="auto"/>
        </w:rPr>
        <w:t>SEMPRA ENERGY,</w:t>
      </w:r>
    </w:p>
    <w:p>
      <w:pPr>
        <w:spacing w:after="0" w:line="16" w:lineRule="exact"/>
        <w:rPr>
          <w:sz w:val="20"/>
          <w:szCs w:val="20"/>
          <w:color w:val="auto"/>
        </w:rPr>
      </w:pPr>
    </w:p>
    <w:p>
      <w:pPr>
        <w:ind w:left="4860"/>
        <w:spacing w:after="0"/>
        <w:rPr>
          <w:sz w:val="20"/>
          <w:szCs w:val="20"/>
          <w:color w:val="auto"/>
        </w:rPr>
      </w:pPr>
      <w:r>
        <w:rPr>
          <w:rFonts w:ascii="Arial" w:cs="Arial" w:eastAsia="Arial" w:hAnsi="Arial"/>
          <w:sz w:val="20"/>
          <w:szCs w:val="20"/>
          <w:color w:val="auto"/>
        </w:rPr>
        <w:t>(Registrant)</w:t>
      </w:r>
    </w:p>
    <w:p>
      <w:pPr>
        <w:spacing w:after="0" w:line="254" w:lineRule="exact"/>
        <w:rPr>
          <w:sz w:val="20"/>
          <w:szCs w:val="20"/>
          <w:color w:val="auto"/>
        </w:rPr>
      </w:pPr>
    </w:p>
    <w:p>
      <w:pPr>
        <w:ind w:left="4860"/>
        <w:spacing w:after="0"/>
        <w:rPr>
          <w:sz w:val="20"/>
          <w:szCs w:val="20"/>
          <w:color w:val="auto"/>
        </w:rPr>
      </w:pPr>
      <w:r>
        <w:rPr>
          <w:rFonts w:ascii="Arial" w:cs="Arial" w:eastAsia="Arial" w:hAnsi="Arial"/>
          <w:sz w:val="20"/>
          <w:szCs w:val="20"/>
          <w:color w:val="auto"/>
        </w:rPr>
        <w:t>By: /s/ Donald E. Felsinger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3075940</wp:posOffset>
            </wp:positionH>
            <wp:positionV relativeFrom="paragraph">
              <wp:posOffset>19050</wp:posOffset>
            </wp:positionV>
            <wp:extent cx="271843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20" w:lineRule="exact"/>
        <w:rPr>
          <w:sz w:val="20"/>
          <w:szCs w:val="20"/>
          <w:color w:val="auto"/>
        </w:rPr>
      </w:pPr>
    </w:p>
    <w:p>
      <w:pPr>
        <w:ind w:left="4860"/>
        <w:spacing w:after="0"/>
        <w:rPr>
          <w:sz w:val="20"/>
          <w:szCs w:val="20"/>
          <w:color w:val="auto"/>
        </w:rPr>
      </w:pPr>
      <w:r>
        <w:rPr>
          <w:rFonts w:ascii="Arial" w:cs="Arial" w:eastAsia="Arial" w:hAnsi="Arial"/>
          <w:sz w:val="20"/>
          <w:szCs w:val="20"/>
          <w:color w:val="auto"/>
        </w:rPr>
        <w:t>Donald E. Felsinger</w:t>
      </w:r>
    </w:p>
    <w:p>
      <w:pPr>
        <w:spacing w:after="0" w:line="16" w:lineRule="exact"/>
        <w:rPr>
          <w:sz w:val="20"/>
          <w:szCs w:val="20"/>
          <w:color w:val="auto"/>
        </w:rPr>
      </w:pPr>
    </w:p>
    <w:p>
      <w:pPr>
        <w:ind w:left="4860"/>
        <w:spacing w:after="0"/>
        <w:rPr>
          <w:sz w:val="20"/>
          <w:szCs w:val="20"/>
          <w:color w:val="auto"/>
        </w:rPr>
      </w:pPr>
      <w:r>
        <w:rPr>
          <w:rFonts w:ascii="Arial" w:cs="Arial" w:eastAsia="Arial" w:hAnsi="Arial"/>
          <w:sz w:val="20"/>
          <w:szCs w:val="20"/>
          <w:color w:val="auto"/>
        </w:rPr>
        <w:t>Chairman and Chief Executive Officer</w:t>
      </w:r>
    </w:p>
    <w:p>
      <w:pPr>
        <w:spacing w:after="0" w:line="267" w:lineRule="exact"/>
        <w:rPr>
          <w:sz w:val="20"/>
          <w:szCs w:val="20"/>
          <w:color w:val="auto"/>
        </w:rPr>
      </w:pPr>
    </w:p>
    <w:p>
      <w:pPr>
        <w:ind w:right="140"/>
        <w:spacing w:after="0" w:line="260" w:lineRule="auto"/>
        <w:rPr>
          <w:sz w:val="20"/>
          <w:szCs w:val="20"/>
          <w:color w:val="auto"/>
        </w:rPr>
      </w:pPr>
      <w:r>
        <w:rPr>
          <w:rFonts w:ascii="Arial" w:cs="Arial" w:eastAsia="Arial" w:hAnsi="Arial"/>
          <w:sz w:val="20"/>
          <w:szCs w:val="20"/>
          <w:color w:val="auto"/>
        </w:rPr>
        <w:t>Pursuant to the requirements of the Securities Exchange Act of 1934, this report is signed below by the following persons on behalf of the Registrant in the capacities and on the dates indicated.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3520" w:type="dxa"/>
            <w:vAlign w:val="bottom"/>
            <w:tcBorders>
              <w:bottom w:val="single" w:sz="8" w:color="auto"/>
            </w:tcBorders>
          </w:tcPr>
          <w:p>
            <w:pPr>
              <w:spacing w:after="0"/>
              <w:rPr>
                <w:sz w:val="20"/>
                <w:szCs w:val="20"/>
                <w:color w:val="auto"/>
              </w:rPr>
            </w:pPr>
            <w:r>
              <w:rPr>
                <w:rFonts w:ascii="Arial" w:cs="Arial" w:eastAsia="Arial" w:hAnsi="Arial"/>
                <w:sz w:val="20"/>
                <w:szCs w:val="20"/>
                <w:b w:val="1"/>
                <w:bCs w:val="1"/>
                <w:color w:val="auto"/>
              </w:rPr>
              <w:t>Name/Title</w:t>
            </w:r>
          </w:p>
        </w:tc>
        <w:tc>
          <w:tcPr>
            <w:tcW w:w="3300" w:type="dxa"/>
            <w:vAlign w:val="bottom"/>
            <w:tcBorders>
              <w:bottom w:val="single" w:sz="8" w:color="auto"/>
            </w:tcBorders>
          </w:tcPr>
          <w:p>
            <w:pPr>
              <w:spacing w:after="0"/>
              <w:rPr>
                <w:sz w:val="20"/>
                <w:szCs w:val="20"/>
                <w:color w:val="auto"/>
              </w:rPr>
            </w:pPr>
            <w:r>
              <w:rPr>
                <w:rFonts w:ascii="Arial" w:cs="Arial" w:eastAsia="Arial" w:hAnsi="Arial"/>
                <w:sz w:val="20"/>
                <w:szCs w:val="20"/>
                <w:b w:val="1"/>
                <w:bCs w:val="1"/>
                <w:color w:val="auto"/>
              </w:rPr>
              <w:t>Signature</w:t>
            </w:r>
          </w:p>
        </w:tc>
        <w:tc>
          <w:tcPr>
            <w:tcW w:w="2300" w:type="dxa"/>
            <w:vAlign w:val="bottom"/>
            <w:tcBorders>
              <w:bottom w:val="single" w:sz="8" w:color="auto"/>
            </w:tcBorders>
          </w:tcPr>
          <w:p>
            <w:pPr>
              <w:spacing w:after="0"/>
              <w:rPr>
                <w:sz w:val="20"/>
                <w:szCs w:val="20"/>
                <w:color w:val="auto"/>
              </w:rPr>
            </w:pPr>
            <w:r>
              <w:rPr>
                <w:rFonts w:ascii="Arial" w:cs="Arial" w:eastAsia="Arial" w:hAnsi="Arial"/>
                <w:sz w:val="20"/>
                <w:szCs w:val="20"/>
                <w:b w:val="1"/>
                <w:bCs w:val="1"/>
                <w:color w:val="auto"/>
              </w:rPr>
              <w:t>Date</w:t>
            </w:r>
          </w:p>
        </w:tc>
      </w:tr>
      <w:tr>
        <w:trPr>
          <w:trHeight w:val="225"/>
        </w:trPr>
        <w:tc>
          <w:tcPr>
            <w:tcW w:w="3520" w:type="dxa"/>
            <w:vAlign w:val="bottom"/>
          </w:tcPr>
          <w:p>
            <w:pPr>
              <w:spacing w:after="0" w:line="225" w:lineRule="exact"/>
              <w:rPr>
                <w:sz w:val="20"/>
                <w:szCs w:val="20"/>
                <w:color w:val="auto"/>
              </w:rPr>
            </w:pPr>
            <w:r>
              <w:rPr>
                <w:rFonts w:ascii="Arial" w:cs="Arial" w:eastAsia="Arial" w:hAnsi="Arial"/>
                <w:sz w:val="20"/>
                <w:szCs w:val="20"/>
                <w:b w:val="1"/>
                <w:bCs w:val="1"/>
                <w:color w:val="auto"/>
              </w:rPr>
              <w:t>Principal Executive Officer:</w:t>
            </w:r>
          </w:p>
        </w:tc>
        <w:tc>
          <w:tcPr>
            <w:tcW w:w="3300" w:type="dxa"/>
            <w:vAlign w:val="bottom"/>
          </w:tcPr>
          <w:p>
            <w:pPr>
              <w:spacing w:after="0"/>
              <w:rPr>
                <w:sz w:val="19"/>
                <w:szCs w:val="19"/>
                <w:color w:val="auto"/>
              </w:rPr>
            </w:pPr>
          </w:p>
        </w:tc>
        <w:tc>
          <w:tcPr>
            <w:tcW w:w="2300" w:type="dxa"/>
            <w:vAlign w:val="bottom"/>
          </w:tcPr>
          <w:p>
            <w:pPr>
              <w:spacing w:after="0"/>
              <w:rPr>
                <w:sz w:val="19"/>
                <w:szCs w:val="19"/>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20"/>
                <w:szCs w:val="20"/>
                <w:color w:val="auto"/>
              </w:rPr>
              <w:t>Donald E. Felsinger</w:t>
            </w:r>
          </w:p>
        </w:tc>
        <w:tc>
          <w:tcPr>
            <w:tcW w:w="3300" w:type="dxa"/>
            <w:vAlign w:val="bottom"/>
          </w:tcPr>
          <w:p>
            <w:pPr>
              <w:spacing w:after="0"/>
              <w:rPr>
                <w:sz w:val="19"/>
                <w:szCs w:val="19"/>
                <w:color w:val="auto"/>
              </w:rPr>
            </w:pPr>
          </w:p>
        </w:tc>
        <w:tc>
          <w:tcPr>
            <w:tcW w:w="2300" w:type="dxa"/>
            <w:vAlign w:val="bottom"/>
          </w:tcPr>
          <w:p>
            <w:pPr>
              <w:spacing w:after="0"/>
              <w:rPr>
                <w:sz w:val="19"/>
                <w:szCs w:val="19"/>
                <w:color w:val="auto"/>
              </w:rPr>
            </w:pPr>
          </w:p>
        </w:tc>
      </w:tr>
      <w:tr>
        <w:trPr>
          <w:trHeight w:val="253"/>
        </w:trPr>
        <w:tc>
          <w:tcPr>
            <w:tcW w:w="3520" w:type="dxa"/>
            <w:vAlign w:val="bottom"/>
          </w:tcPr>
          <w:p>
            <w:pPr>
              <w:spacing w:after="0"/>
              <w:rPr>
                <w:sz w:val="20"/>
                <w:szCs w:val="20"/>
                <w:color w:val="auto"/>
              </w:rPr>
            </w:pPr>
            <w:r>
              <w:rPr>
                <w:rFonts w:ascii="Arial" w:cs="Arial" w:eastAsia="Arial" w:hAnsi="Arial"/>
                <w:sz w:val="20"/>
                <w:szCs w:val="20"/>
                <w:color w:val="auto"/>
              </w:rPr>
              <w:t>Chairman and Chief Executive Officer</w:t>
            </w:r>
          </w:p>
        </w:tc>
        <w:tc>
          <w:tcPr>
            <w:tcW w:w="330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Donald E. Felsinger</w:t>
            </w:r>
          </w:p>
        </w:tc>
        <w:tc>
          <w:tcPr>
            <w:tcW w:w="2300" w:type="dxa"/>
            <w:vAlign w:val="bottom"/>
          </w:tcPr>
          <w:p>
            <w:pPr>
              <w:spacing w:after="0"/>
              <w:rPr>
                <w:sz w:val="20"/>
                <w:szCs w:val="20"/>
                <w:color w:val="auto"/>
              </w:rPr>
            </w:pPr>
            <w:r>
              <w:rPr>
                <w:rFonts w:ascii="Arial" w:cs="Arial" w:eastAsia="Arial" w:hAnsi="Arial"/>
                <w:sz w:val="20"/>
                <w:szCs w:val="20"/>
                <w:color w:val="auto"/>
              </w:rPr>
              <w:t>February 26, 2008</w:t>
            </w:r>
          </w:p>
        </w:tc>
      </w:tr>
      <w:tr>
        <w:trPr>
          <w:trHeight w:val="469"/>
        </w:trPr>
        <w:tc>
          <w:tcPr>
            <w:tcW w:w="3520" w:type="dxa"/>
            <w:vAlign w:val="bottom"/>
          </w:tcPr>
          <w:p>
            <w:pPr>
              <w:spacing w:after="0"/>
              <w:rPr>
                <w:sz w:val="20"/>
                <w:szCs w:val="20"/>
                <w:color w:val="auto"/>
              </w:rPr>
            </w:pPr>
            <w:r>
              <w:rPr>
                <w:rFonts w:ascii="Arial" w:cs="Arial" w:eastAsia="Arial" w:hAnsi="Arial"/>
                <w:sz w:val="20"/>
                <w:szCs w:val="20"/>
                <w:b w:val="1"/>
                <w:bCs w:val="1"/>
                <w:color w:val="auto"/>
              </w:rPr>
              <w:t>Principal Financial Officer:</w:t>
            </w:r>
          </w:p>
        </w:tc>
        <w:tc>
          <w:tcPr>
            <w:tcW w:w="330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20"/>
                <w:szCs w:val="20"/>
                <w:color w:val="auto"/>
              </w:rPr>
              <w:t>Mark A. Snell</w:t>
            </w:r>
          </w:p>
        </w:tc>
        <w:tc>
          <w:tcPr>
            <w:tcW w:w="3300" w:type="dxa"/>
            <w:vAlign w:val="bottom"/>
          </w:tcPr>
          <w:p>
            <w:pPr>
              <w:spacing w:after="0"/>
              <w:rPr>
                <w:sz w:val="19"/>
                <w:szCs w:val="19"/>
                <w:color w:val="auto"/>
              </w:rPr>
            </w:pPr>
          </w:p>
        </w:tc>
        <w:tc>
          <w:tcPr>
            <w:tcW w:w="2300" w:type="dxa"/>
            <w:vAlign w:val="bottom"/>
          </w:tcPr>
          <w:p>
            <w:pPr>
              <w:spacing w:after="0"/>
              <w:rPr>
                <w:sz w:val="19"/>
                <w:szCs w:val="19"/>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20"/>
                <w:szCs w:val="20"/>
                <w:color w:val="auto"/>
              </w:rPr>
              <w:t>Executive Vice President and</w:t>
            </w:r>
          </w:p>
        </w:tc>
        <w:tc>
          <w:tcPr>
            <w:tcW w:w="3300" w:type="dxa"/>
            <w:vAlign w:val="bottom"/>
          </w:tcPr>
          <w:p>
            <w:pPr>
              <w:spacing w:after="0"/>
              <w:rPr>
                <w:sz w:val="19"/>
                <w:szCs w:val="19"/>
                <w:color w:val="auto"/>
              </w:rPr>
            </w:pPr>
          </w:p>
        </w:tc>
        <w:tc>
          <w:tcPr>
            <w:tcW w:w="2300" w:type="dxa"/>
            <w:vAlign w:val="bottom"/>
          </w:tcPr>
          <w:p>
            <w:pPr>
              <w:spacing w:after="0"/>
              <w:rPr>
                <w:sz w:val="19"/>
                <w:szCs w:val="19"/>
                <w:color w:val="auto"/>
              </w:rPr>
            </w:pPr>
          </w:p>
        </w:tc>
      </w:tr>
      <w:tr>
        <w:trPr>
          <w:trHeight w:val="253"/>
        </w:trPr>
        <w:tc>
          <w:tcPr>
            <w:tcW w:w="3520" w:type="dxa"/>
            <w:vAlign w:val="bottom"/>
          </w:tcPr>
          <w:p>
            <w:pPr>
              <w:spacing w:after="0"/>
              <w:rPr>
                <w:sz w:val="20"/>
                <w:szCs w:val="20"/>
                <w:color w:val="auto"/>
              </w:rPr>
            </w:pPr>
            <w:r>
              <w:rPr>
                <w:rFonts w:ascii="Arial" w:cs="Arial" w:eastAsia="Arial" w:hAnsi="Arial"/>
                <w:sz w:val="20"/>
                <w:szCs w:val="20"/>
                <w:color w:val="auto"/>
              </w:rPr>
              <w:t>Chief Financial Officer</w:t>
            </w:r>
          </w:p>
        </w:tc>
        <w:tc>
          <w:tcPr>
            <w:tcW w:w="330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Mark A. Snell</w:t>
            </w:r>
          </w:p>
        </w:tc>
        <w:tc>
          <w:tcPr>
            <w:tcW w:w="2300" w:type="dxa"/>
            <w:vAlign w:val="bottom"/>
          </w:tcPr>
          <w:p>
            <w:pPr>
              <w:spacing w:after="0"/>
              <w:rPr>
                <w:sz w:val="20"/>
                <w:szCs w:val="20"/>
                <w:color w:val="auto"/>
              </w:rPr>
            </w:pPr>
            <w:r>
              <w:rPr>
                <w:rFonts w:ascii="Arial" w:cs="Arial" w:eastAsia="Arial" w:hAnsi="Arial"/>
                <w:sz w:val="20"/>
                <w:szCs w:val="20"/>
                <w:color w:val="auto"/>
              </w:rPr>
              <w:t>February 26, 2008</w:t>
            </w:r>
          </w:p>
        </w:tc>
      </w:tr>
      <w:tr>
        <w:trPr>
          <w:trHeight w:val="469"/>
        </w:trPr>
        <w:tc>
          <w:tcPr>
            <w:tcW w:w="3520" w:type="dxa"/>
            <w:vAlign w:val="bottom"/>
          </w:tcPr>
          <w:p>
            <w:pPr>
              <w:spacing w:after="0"/>
              <w:rPr>
                <w:sz w:val="20"/>
                <w:szCs w:val="20"/>
                <w:color w:val="auto"/>
              </w:rPr>
            </w:pPr>
            <w:r>
              <w:rPr>
                <w:rFonts w:ascii="Arial" w:cs="Arial" w:eastAsia="Arial" w:hAnsi="Arial"/>
                <w:sz w:val="20"/>
                <w:szCs w:val="20"/>
                <w:b w:val="1"/>
                <w:bCs w:val="1"/>
                <w:color w:val="auto"/>
              </w:rPr>
              <w:t>Principal Accounting Officer:</w:t>
            </w:r>
          </w:p>
        </w:tc>
        <w:tc>
          <w:tcPr>
            <w:tcW w:w="330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20"/>
                <w:szCs w:val="20"/>
                <w:color w:val="auto"/>
              </w:rPr>
              <w:t>Joseph A. Householder</w:t>
            </w:r>
          </w:p>
        </w:tc>
        <w:tc>
          <w:tcPr>
            <w:tcW w:w="3300" w:type="dxa"/>
            <w:vAlign w:val="bottom"/>
          </w:tcPr>
          <w:p>
            <w:pPr>
              <w:spacing w:after="0"/>
              <w:rPr>
                <w:sz w:val="19"/>
                <w:szCs w:val="19"/>
                <w:color w:val="auto"/>
              </w:rPr>
            </w:pPr>
          </w:p>
        </w:tc>
        <w:tc>
          <w:tcPr>
            <w:tcW w:w="2300" w:type="dxa"/>
            <w:vAlign w:val="bottom"/>
          </w:tcPr>
          <w:p>
            <w:pPr>
              <w:spacing w:after="0"/>
              <w:rPr>
                <w:sz w:val="19"/>
                <w:szCs w:val="19"/>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20"/>
                <w:szCs w:val="20"/>
                <w:color w:val="auto"/>
                <w:w w:val="91"/>
              </w:rPr>
              <w:t>Senior Vice President, Controller and Chief</w:t>
            </w:r>
          </w:p>
        </w:tc>
        <w:tc>
          <w:tcPr>
            <w:tcW w:w="3300" w:type="dxa"/>
            <w:vAlign w:val="bottom"/>
          </w:tcPr>
          <w:p>
            <w:pPr>
              <w:spacing w:after="0"/>
              <w:rPr>
                <w:sz w:val="19"/>
                <w:szCs w:val="19"/>
                <w:color w:val="auto"/>
              </w:rPr>
            </w:pPr>
          </w:p>
        </w:tc>
        <w:tc>
          <w:tcPr>
            <w:tcW w:w="2300" w:type="dxa"/>
            <w:vAlign w:val="bottom"/>
          </w:tcPr>
          <w:p>
            <w:pPr>
              <w:spacing w:after="0"/>
              <w:rPr>
                <w:sz w:val="19"/>
                <w:szCs w:val="19"/>
                <w:color w:val="auto"/>
              </w:rPr>
            </w:pPr>
          </w:p>
        </w:tc>
      </w:tr>
      <w:tr>
        <w:trPr>
          <w:trHeight w:val="253"/>
        </w:trPr>
        <w:tc>
          <w:tcPr>
            <w:tcW w:w="3520" w:type="dxa"/>
            <w:vAlign w:val="bottom"/>
          </w:tcPr>
          <w:p>
            <w:pPr>
              <w:spacing w:after="0"/>
              <w:rPr>
                <w:sz w:val="20"/>
                <w:szCs w:val="20"/>
                <w:color w:val="auto"/>
              </w:rPr>
            </w:pPr>
            <w:r>
              <w:rPr>
                <w:rFonts w:ascii="Arial" w:cs="Arial" w:eastAsia="Arial" w:hAnsi="Arial"/>
                <w:sz w:val="20"/>
                <w:szCs w:val="20"/>
                <w:color w:val="auto"/>
              </w:rPr>
              <w:t>Accounting Officer</w:t>
            </w:r>
          </w:p>
        </w:tc>
        <w:tc>
          <w:tcPr>
            <w:tcW w:w="330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Joseph A. Householder</w:t>
            </w:r>
          </w:p>
        </w:tc>
        <w:tc>
          <w:tcPr>
            <w:tcW w:w="2300" w:type="dxa"/>
            <w:vAlign w:val="bottom"/>
          </w:tcPr>
          <w:p>
            <w:pPr>
              <w:spacing w:after="0"/>
              <w:rPr>
                <w:sz w:val="20"/>
                <w:szCs w:val="20"/>
                <w:color w:val="auto"/>
              </w:rPr>
            </w:pPr>
            <w:r>
              <w:rPr>
                <w:rFonts w:ascii="Arial" w:cs="Arial" w:eastAsia="Arial" w:hAnsi="Arial"/>
                <w:sz w:val="20"/>
                <w:szCs w:val="20"/>
                <w:color w:val="auto"/>
              </w:rPr>
              <w:t>February 26, 2008</w:t>
            </w:r>
          </w:p>
        </w:tc>
      </w:tr>
      <w:tr>
        <w:trPr>
          <w:trHeight w:val="490"/>
        </w:trPr>
        <w:tc>
          <w:tcPr>
            <w:tcW w:w="3520" w:type="dxa"/>
            <w:vAlign w:val="bottom"/>
          </w:tcPr>
          <w:p>
            <w:pPr>
              <w:spacing w:after="0"/>
              <w:rPr>
                <w:sz w:val="20"/>
                <w:szCs w:val="20"/>
                <w:color w:val="auto"/>
              </w:rPr>
            </w:pPr>
            <w:r>
              <w:rPr>
                <w:rFonts w:ascii="Arial" w:cs="Arial" w:eastAsia="Arial" w:hAnsi="Arial"/>
                <w:sz w:val="20"/>
                <w:szCs w:val="20"/>
                <w:b w:val="1"/>
                <w:bCs w:val="1"/>
                <w:color w:val="auto"/>
              </w:rPr>
              <w:t>Directors:</w:t>
            </w:r>
          </w:p>
        </w:tc>
        <w:tc>
          <w:tcPr>
            <w:tcW w:w="330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261"/>
        </w:trPr>
        <w:tc>
          <w:tcPr>
            <w:tcW w:w="3520" w:type="dxa"/>
            <w:vAlign w:val="bottom"/>
          </w:tcPr>
          <w:p>
            <w:pPr>
              <w:spacing w:after="0"/>
              <w:rPr>
                <w:sz w:val="20"/>
                <w:szCs w:val="20"/>
                <w:color w:val="auto"/>
              </w:rPr>
            </w:pPr>
            <w:r>
              <w:rPr>
                <w:rFonts w:ascii="Arial" w:cs="Arial" w:eastAsia="Arial" w:hAnsi="Arial"/>
                <w:sz w:val="20"/>
                <w:szCs w:val="20"/>
                <w:color w:val="auto"/>
              </w:rPr>
              <w:t>Donald E. Felsinger, Chairman</w:t>
            </w:r>
          </w:p>
        </w:tc>
        <w:tc>
          <w:tcPr>
            <w:tcW w:w="330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Donald E. Felsinger</w:t>
            </w:r>
          </w:p>
        </w:tc>
        <w:tc>
          <w:tcPr>
            <w:tcW w:w="2300" w:type="dxa"/>
            <w:vAlign w:val="bottom"/>
          </w:tcPr>
          <w:p>
            <w:pPr>
              <w:spacing w:after="0"/>
              <w:rPr>
                <w:sz w:val="20"/>
                <w:szCs w:val="20"/>
                <w:color w:val="auto"/>
              </w:rPr>
            </w:pPr>
            <w:r>
              <w:rPr>
                <w:rFonts w:ascii="Arial" w:cs="Arial" w:eastAsia="Arial" w:hAnsi="Arial"/>
                <w:sz w:val="20"/>
                <w:szCs w:val="20"/>
                <w:color w:val="auto"/>
              </w:rPr>
              <w:t>February 26, 2008</w:t>
            </w:r>
          </w:p>
        </w:tc>
      </w:tr>
      <w:tr>
        <w:trPr>
          <w:trHeight w:val="736"/>
        </w:trPr>
        <w:tc>
          <w:tcPr>
            <w:tcW w:w="3520" w:type="dxa"/>
            <w:vAlign w:val="bottom"/>
          </w:tcPr>
          <w:p>
            <w:pPr>
              <w:spacing w:after="0"/>
              <w:rPr>
                <w:sz w:val="20"/>
                <w:szCs w:val="20"/>
                <w:color w:val="auto"/>
              </w:rPr>
            </w:pPr>
            <w:r>
              <w:rPr>
                <w:rFonts w:ascii="Arial" w:cs="Arial" w:eastAsia="Arial" w:hAnsi="Arial"/>
                <w:sz w:val="20"/>
                <w:szCs w:val="20"/>
                <w:color w:val="auto"/>
              </w:rPr>
              <w:t>James G. Brocksmith, Jr., Director</w:t>
            </w:r>
          </w:p>
        </w:tc>
        <w:tc>
          <w:tcPr>
            <w:tcW w:w="330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James G. Brocksmith, Jr.</w:t>
            </w:r>
          </w:p>
        </w:tc>
        <w:tc>
          <w:tcPr>
            <w:tcW w:w="2300" w:type="dxa"/>
            <w:vAlign w:val="bottom"/>
          </w:tcPr>
          <w:p>
            <w:pPr>
              <w:spacing w:after="0"/>
              <w:rPr>
                <w:sz w:val="20"/>
                <w:szCs w:val="20"/>
                <w:color w:val="auto"/>
              </w:rPr>
            </w:pPr>
            <w:r>
              <w:rPr>
                <w:rFonts w:ascii="Arial" w:cs="Arial" w:eastAsia="Arial" w:hAnsi="Arial"/>
                <w:sz w:val="20"/>
                <w:szCs w:val="20"/>
                <w:color w:val="auto"/>
              </w:rPr>
              <w:t>February 26, 2008</w:t>
            </w:r>
          </w:p>
        </w:tc>
      </w:tr>
      <w:tr>
        <w:trPr>
          <w:trHeight w:val="736"/>
        </w:trPr>
        <w:tc>
          <w:tcPr>
            <w:tcW w:w="3520" w:type="dxa"/>
            <w:vAlign w:val="bottom"/>
          </w:tcPr>
          <w:p>
            <w:pPr>
              <w:spacing w:after="0"/>
              <w:rPr>
                <w:sz w:val="20"/>
                <w:szCs w:val="20"/>
                <w:color w:val="auto"/>
              </w:rPr>
            </w:pPr>
            <w:r>
              <w:rPr>
                <w:rFonts w:ascii="Arial" w:cs="Arial" w:eastAsia="Arial" w:hAnsi="Arial"/>
                <w:sz w:val="20"/>
                <w:szCs w:val="20"/>
                <w:color w:val="auto"/>
              </w:rPr>
              <w:t>Richard A. Collato, Director</w:t>
            </w:r>
          </w:p>
        </w:tc>
        <w:tc>
          <w:tcPr>
            <w:tcW w:w="330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Richard A. Collato</w:t>
            </w:r>
          </w:p>
        </w:tc>
        <w:tc>
          <w:tcPr>
            <w:tcW w:w="2300" w:type="dxa"/>
            <w:vAlign w:val="bottom"/>
          </w:tcPr>
          <w:p>
            <w:pPr>
              <w:spacing w:after="0"/>
              <w:rPr>
                <w:sz w:val="20"/>
                <w:szCs w:val="20"/>
                <w:color w:val="auto"/>
              </w:rPr>
            </w:pPr>
            <w:r>
              <w:rPr>
                <w:rFonts w:ascii="Arial" w:cs="Arial" w:eastAsia="Arial" w:hAnsi="Arial"/>
                <w:sz w:val="20"/>
                <w:szCs w:val="20"/>
                <w:color w:val="auto"/>
              </w:rPr>
              <w:t>February 26, 2008</w:t>
            </w:r>
          </w:p>
        </w:tc>
      </w:tr>
      <w:tr>
        <w:trPr>
          <w:trHeight w:val="736"/>
        </w:trPr>
        <w:tc>
          <w:tcPr>
            <w:tcW w:w="3520" w:type="dxa"/>
            <w:vAlign w:val="bottom"/>
          </w:tcPr>
          <w:p>
            <w:pPr>
              <w:spacing w:after="0"/>
              <w:rPr>
                <w:sz w:val="20"/>
                <w:szCs w:val="20"/>
                <w:color w:val="auto"/>
              </w:rPr>
            </w:pPr>
            <w:r>
              <w:rPr>
                <w:rFonts w:ascii="Arial" w:cs="Arial" w:eastAsia="Arial" w:hAnsi="Arial"/>
                <w:sz w:val="20"/>
                <w:szCs w:val="20"/>
                <w:color w:val="auto"/>
              </w:rPr>
              <w:t>Wilford D. Godbold, Jr., Director</w:t>
            </w:r>
          </w:p>
        </w:tc>
        <w:tc>
          <w:tcPr>
            <w:tcW w:w="330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Wilford D. Godbold, Jr.</w:t>
            </w:r>
          </w:p>
        </w:tc>
        <w:tc>
          <w:tcPr>
            <w:tcW w:w="2300" w:type="dxa"/>
            <w:vAlign w:val="bottom"/>
          </w:tcPr>
          <w:p>
            <w:pPr>
              <w:spacing w:after="0"/>
              <w:rPr>
                <w:sz w:val="20"/>
                <w:szCs w:val="20"/>
                <w:color w:val="auto"/>
              </w:rPr>
            </w:pPr>
            <w:r>
              <w:rPr>
                <w:rFonts w:ascii="Arial" w:cs="Arial" w:eastAsia="Arial" w:hAnsi="Arial"/>
                <w:sz w:val="20"/>
                <w:szCs w:val="20"/>
                <w:color w:val="auto"/>
              </w:rPr>
              <w:t>February 26, 2008</w:t>
            </w:r>
          </w:p>
        </w:tc>
      </w:tr>
      <w:tr>
        <w:trPr>
          <w:trHeight w:val="736"/>
        </w:trPr>
        <w:tc>
          <w:tcPr>
            <w:tcW w:w="3520" w:type="dxa"/>
            <w:vAlign w:val="bottom"/>
          </w:tcPr>
          <w:p>
            <w:pPr>
              <w:spacing w:after="0"/>
              <w:rPr>
                <w:sz w:val="20"/>
                <w:szCs w:val="20"/>
                <w:color w:val="auto"/>
              </w:rPr>
            </w:pPr>
            <w:r>
              <w:rPr>
                <w:rFonts w:ascii="Arial" w:cs="Arial" w:eastAsia="Arial" w:hAnsi="Arial"/>
                <w:sz w:val="20"/>
                <w:szCs w:val="20"/>
                <w:color w:val="auto"/>
              </w:rPr>
              <w:t>William D. Jones, Director</w:t>
            </w:r>
          </w:p>
        </w:tc>
        <w:tc>
          <w:tcPr>
            <w:tcW w:w="330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William D. Jones</w:t>
            </w:r>
          </w:p>
        </w:tc>
        <w:tc>
          <w:tcPr>
            <w:tcW w:w="2300" w:type="dxa"/>
            <w:vAlign w:val="bottom"/>
          </w:tcPr>
          <w:p>
            <w:pPr>
              <w:spacing w:after="0"/>
              <w:rPr>
                <w:sz w:val="20"/>
                <w:szCs w:val="20"/>
                <w:color w:val="auto"/>
              </w:rPr>
            </w:pPr>
            <w:r>
              <w:rPr>
                <w:rFonts w:ascii="Arial" w:cs="Arial" w:eastAsia="Arial" w:hAnsi="Arial"/>
                <w:sz w:val="20"/>
                <w:szCs w:val="20"/>
                <w:color w:val="auto"/>
              </w:rPr>
              <w:t>February 26, 2008</w:t>
            </w:r>
          </w:p>
        </w:tc>
      </w:tr>
      <w:tr>
        <w:trPr>
          <w:trHeight w:val="736"/>
        </w:trPr>
        <w:tc>
          <w:tcPr>
            <w:tcW w:w="3520" w:type="dxa"/>
            <w:vAlign w:val="bottom"/>
          </w:tcPr>
          <w:p>
            <w:pPr>
              <w:spacing w:after="0"/>
              <w:rPr>
                <w:sz w:val="20"/>
                <w:szCs w:val="20"/>
                <w:color w:val="auto"/>
              </w:rPr>
            </w:pPr>
            <w:r>
              <w:rPr>
                <w:rFonts w:ascii="Arial" w:cs="Arial" w:eastAsia="Arial" w:hAnsi="Arial"/>
                <w:sz w:val="20"/>
                <w:szCs w:val="20"/>
                <w:color w:val="auto"/>
              </w:rPr>
              <w:t>Richard G. Newman, Director</w:t>
            </w:r>
          </w:p>
        </w:tc>
        <w:tc>
          <w:tcPr>
            <w:tcW w:w="330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Richard G. Newman</w:t>
            </w:r>
          </w:p>
        </w:tc>
        <w:tc>
          <w:tcPr>
            <w:tcW w:w="2300" w:type="dxa"/>
            <w:vAlign w:val="bottom"/>
          </w:tcPr>
          <w:p>
            <w:pPr>
              <w:spacing w:after="0"/>
              <w:rPr>
                <w:sz w:val="20"/>
                <w:szCs w:val="20"/>
                <w:color w:val="auto"/>
              </w:rPr>
            </w:pPr>
            <w:r>
              <w:rPr>
                <w:rFonts w:ascii="Arial" w:cs="Arial" w:eastAsia="Arial" w:hAnsi="Arial"/>
                <w:sz w:val="20"/>
                <w:szCs w:val="20"/>
                <w:color w:val="auto"/>
              </w:rPr>
              <w:t>February 26, 2008</w:t>
            </w:r>
          </w:p>
        </w:tc>
      </w:tr>
      <w:tr>
        <w:trPr>
          <w:trHeight w:val="736"/>
        </w:trPr>
        <w:tc>
          <w:tcPr>
            <w:tcW w:w="3520" w:type="dxa"/>
            <w:vAlign w:val="bottom"/>
          </w:tcPr>
          <w:p>
            <w:pPr>
              <w:spacing w:after="0"/>
              <w:rPr>
                <w:sz w:val="20"/>
                <w:szCs w:val="20"/>
                <w:color w:val="auto"/>
              </w:rPr>
            </w:pPr>
            <w:r>
              <w:rPr>
                <w:rFonts w:ascii="Arial" w:cs="Arial" w:eastAsia="Arial" w:hAnsi="Arial"/>
                <w:sz w:val="20"/>
                <w:szCs w:val="20"/>
                <w:color w:val="auto"/>
              </w:rPr>
              <w:t>William G. Ouchi, Director</w:t>
            </w:r>
          </w:p>
        </w:tc>
        <w:tc>
          <w:tcPr>
            <w:tcW w:w="330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William G. Ouchi</w:t>
            </w:r>
          </w:p>
        </w:tc>
        <w:tc>
          <w:tcPr>
            <w:tcW w:w="2300" w:type="dxa"/>
            <w:vAlign w:val="bottom"/>
          </w:tcPr>
          <w:p>
            <w:pPr>
              <w:spacing w:after="0"/>
              <w:rPr>
                <w:sz w:val="20"/>
                <w:szCs w:val="20"/>
                <w:color w:val="auto"/>
              </w:rPr>
            </w:pPr>
            <w:r>
              <w:rPr>
                <w:rFonts w:ascii="Arial" w:cs="Arial" w:eastAsia="Arial" w:hAnsi="Arial"/>
                <w:sz w:val="20"/>
                <w:szCs w:val="20"/>
                <w:color w:val="auto"/>
              </w:rPr>
              <w:t>February 26, 2008</w:t>
            </w:r>
          </w:p>
        </w:tc>
      </w:tr>
      <w:tr>
        <w:trPr>
          <w:trHeight w:val="736"/>
        </w:trPr>
        <w:tc>
          <w:tcPr>
            <w:tcW w:w="3520" w:type="dxa"/>
            <w:vAlign w:val="bottom"/>
          </w:tcPr>
          <w:p>
            <w:pPr>
              <w:spacing w:after="0"/>
              <w:rPr>
                <w:sz w:val="20"/>
                <w:szCs w:val="20"/>
                <w:color w:val="auto"/>
              </w:rPr>
            </w:pPr>
            <w:r>
              <w:rPr>
                <w:rFonts w:ascii="Arial" w:cs="Arial" w:eastAsia="Arial" w:hAnsi="Arial"/>
                <w:sz w:val="20"/>
                <w:szCs w:val="20"/>
                <w:color w:val="auto"/>
              </w:rPr>
              <w:t>William C. Rusnack, Director</w:t>
            </w:r>
          </w:p>
        </w:tc>
        <w:tc>
          <w:tcPr>
            <w:tcW w:w="330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William C. Rusnack</w:t>
            </w:r>
          </w:p>
        </w:tc>
        <w:tc>
          <w:tcPr>
            <w:tcW w:w="2300" w:type="dxa"/>
            <w:vAlign w:val="bottom"/>
          </w:tcPr>
          <w:p>
            <w:pPr>
              <w:spacing w:after="0"/>
              <w:rPr>
                <w:sz w:val="20"/>
                <w:szCs w:val="20"/>
                <w:color w:val="auto"/>
              </w:rPr>
            </w:pPr>
            <w:r>
              <w:rPr>
                <w:rFonts w:ascii="Arial" w:cs="Arial" w:eastAsia="Arial" w:hAnsi="Arial"/>
                <w:sz w:val="20"/>
                <w:szCs w:val="20"/>
                <w:color w:val="auto"/>
              </w:rPr>
              <w:t>February 26, 2008</w:t>
            </w:r>
          </w:p>
        </w:tc>
      </w:tr>
      <w:tr>
        <w:trPr>
          <w:trHeight w:val="736"/>
        </w:trPr>
        <w:tc>
          <w:tcPr>
            <w:tcW w:w="3520" w:type="dxa"/>
            <w:vAlign w:val="bottom"/>
          </w:tcPr>
          <w:p>
            <w:pPr>
              <w:spacing w:after="0"/>
              <w:rPr>
                <w:sz w:val="20"/>
                <w:szCs w:val="20"/>
                <w:color w:val="auto"/>
              </w:rPr>
            </w:pPr>
            <w:r>
              <w:rPr>
                <w:rFonts w:ascii="Arial" w:cs="Arial" w:eastAsia="Arial" w:hAnsi="Arial"/>
                <w:sz w:val="20"/>
                <w:szCs w:val="20"/>
                <w:color w:val="auto"/>
              </w:rPr>
              <w:t>William P. Rutledge, Director</w:t>
            </w:r>
          </w:p>
        </w:tc>
        <w:tc>
          <w:tcPr>
            <w:tcW w:w="330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William P. Rutledge</w:t>
            </w:r>
          </w:p>
        </w:tc>
        <w:tc>
          <w:tcPr>
            <w:tcW w:w="2300" w:type="dxa"/>
            <w:vAlign w:val="bottom"/>
          </w:tcPr>
          <w:p>
            <w:pPr>
              <w:spacing w:after="0"/>
              <w:rPr>
                <w:sz w:val="20"/>
                <w:szCs w:val="20"/>
                <w:color w:val="auto"/>
              </w:rPr>
            </w:pPr>
            <w:r>
              <w:rPr>
                <w:rFonts w:ascii="Arial" w:cs="Arial" w:eastAsia="Arial" w:hAnsi="Arial"/>
                <w:sz w:val="20"/>
                <w:szCs w:val="20"/>
                <w:color w:val="auto"/>
              </w:rPr>
              <w:t>February 26, 2008</w:t>
            </w:r>
          </w:p>
        </w:tc>
      </w:tr>
      <w:tr>
        <w:trPr>
          <w:trHeight w:val="736"/>
        </w:trPr>
        <w:tc>
          <w:tcPr>
            <w:tcW w:w="3520" w:type="dxa"/>
            <w:vAlign w:val="bottom"/>
          </w:tcPr>
          <w:p>
            <w:pPr>
              <w:spacing w:after="0"/>
              <w:rPr>
                <w:sz w:val="20"/>
                <w:szCs w:val="20"/>
                <w:color w:val="auto"/>
              </w:rPr>
            </w:pPr>
            <w:r>
              <w:rPr>
                <w:rFonts w:ascii="Arial" w:cs="Arial" w:eastAsia="Arial" w:hAnsi="Arial"/>
                <w:sz w:val="20"/>
                <w:szCs w:val="20"/>
                <w:color w:val="auto"/>
              </w:rPr>
              <w:t>Carlos Ruiz Sacristán, Director</w:t>
            </w:r>
          </w:p>
        </w:tc>
        <w:tc>
          <w:tcPr>
            <w:tcW w:w="330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Carlos Ruiz Sacristán</w:t>
            </w:r>
          </w:p>
        </w:tc>
        <w:tc>
          <w:tcPr>
            <w:tcW w:w="2300" w:type="dxa"/>
            <w:vAlign w:val="bottom"/>
          </w:tcPr>
          <w:p>
            <w:pPr>
              <w:spacing w:after="0"/>
              <w:rPr>
                <w:sz w:val="20"/>
                <w:szCs w:val="20"/>
                <w:color w:val="auto"/>
              </w:rPr>
            </w:pPr>
            <w:r>
              <w:rPr>
                <w:rFonts w:ascii="Arial" w:cs="Arial" w:eastAsia="Arial" w:hAnsi="Arial"/>
                <w:sz w:val="20"/>
                <w:szCs w:val="20"/>
                <w:color w:val="auto"/>
              </w:rPr>
              <w:t>February 26, 2008</w:t>
            </w:r>
          </w:p>
        </w:tc>
      </w:tr>
      <w:tr>
        <w:trPr>
          <w:trHeight w:val="736"/>
        </w:trPr>
        <w:tc>
          <w:tcPr>
            <w:tcW w:w="3520" w:type="dxa"/>
            <w:vAlign w:val="bottom"/>
          </w:tcPr>
          <w:p>
            <w:pPr>
              <w:spacing w:after="0"/>
              <w:rPr>
                <w:sz w:val="20"/>
                <w:szCs w:val="20"/>
                <w:color w:val="auto"/>
              </w:rPr>
            </w:pPr>
            <w:r>
              <w:rPr>
                <w:rFonts w:ascii="Arial" w:cs="Arial" w:eastAsia="Arial" w:hAnsi="Arial"/>
                <w:sz w:val="20"/>
                <w:szCs w:val="20"/>
                <w:color w:val="auto"/>
              </w:rPr>
              <w:t>Neal E. Schmale, Director</w:t>
            </w:r>
          </w:p>
        </w:tc>
        <w:tc>
          <w:tcPr>
            <w:tcW w:w="330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Neal E. Schmale</w:t>
            </w:r>
          </w:p>
        </w:tc>
        <w:tc>
          <w:tcPr>
            <w:tcW w:w="2300" w:type="dxa"/>
            <w:vAlign w:val="bottom"/>
          </w:tcPr>
          <w:p>
            <w:pPr>
              <w:spacing w:after="0"/>
              <w:rPr>
                <w:sz w:val="20"/>
                <w:szCs w:val="20"/>
                <w:color w:val="auto"/>
              </w:rPr>
            </w:pPr>
            <w:r>
              <w:rPr>
                <w:rFonts w:ascii="Arial" w:cs="Arial" w:eastAsia="Arial" w:hAnsi="Arial"/>
                <w:sz w:val="20"/>
                <w:szCs w:val="20"/>
                <w:color w:val="auto"/>
              </w:rPr>
              <w:t>February 26, 2008</w:t>
            </w:r>
          </w:p>
        </w:tc>
      </w:tr>
    </w:tbl>
    <w:p>
      <w:pPr>
        <w:sectPr>
          <w:pgSz w:w="11900" w:h="16838" w:orient="portrait"/>
          <w:cols w:equalWidth="0" w:num="1">
            <w:col w:w="9120"/>
          </w:cols>
          <w:pgMar w:left="1400" w:top="643" w:right="1379" w:bottom="184" w:gutter="0" w:footer="0" w:header="0"/>
        </w:sectPr>
      </w:pPr>
    </w:p>
    <w:bookmarkStart w:id="41" w:name="page42"/>
    <w:bookmarkEnd w:id="41"/>
    <w:p>
      <w:pP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0219"/>
          </w:cols>
          <w:pgMar w:left="240" w:top="609" w:right="1440" w:bottom="1440" w:gutter="0" w:footer="0" w:header="0"/>
        </w:sectPr>
      </w:pPr>
    </w:p>
    <w:bookmarkStart w:id="42" w:name="page43"/>
    <w:bookmarkEnd w:id="42"/>
    <w:p>
      <w:pPr>
        <w:spacing w:after="0"/>
        <w:rPr>
          <w:sz w:val="20"/>
          <w:szCs w:val="20"/>
          <w:color w:val="auto"/>
        </w:rPr>
      </w:pPr>
      <w:r>
        <w:rPr>
          <w:rFonts w:ascii="Arial" w:cs="Arial" w:eastAsia="Arial" w:hAnsi="Arial"/>
          <w:sz w:val="20"/>
          <w:szCs w:val="20"/>
          <w:b w:val="1"/>
          <w:bCs w:val="1"/>
          <w:color w:val="auto"/>
        </w:rPr>
        <w:t>EXHIBIT INDEX</w:t>
      </w:r>
    </w:p>
    <w:p>
      <w:pPr>
        <w:spacing w:after="0" w:line="249" w:lineRule="exact"/>
        <w:rPr>
          <w:sz w:val="20"/>
          <w:szCs w:val="20"/>
          <w:color w:val="auto"/>
        </w:rPr>
      </w:pPr>
    </w:p>
    <w:p>
      <w:pPr>
        <w:ind w:right="240"/>
        <w:spacing w:after="0" w:line="246" w:lineRule="auto"/>
        <w:rPr>
          <w:sz w:val="20"/>
          <w:szCs w:val="20"/>
          <w:color w:val="auto"/>
        </w:rPr>
      </w:pPr>
      <w:r>
        <w:rPr>
          <w:rFonts w:ascii="Arial" w:cs="Arial" w:eastAsia="Arial" w:hAnsi="Arial"/>
          <w:sz w:val="20"/>
          <w:szCs w:val="20"/>
          <w:color w:val="auto"/>
        </w:rPr>
        <w:t>The Registration Statements and Forms S-8, 8-K, 10-K and 10-Q referred to herein were filed under Commission File Number 1-14201 (Sempra Energy), Commission File Number 1-40 (Pacific Enterprises/Pacific Lighting Corporation), Commission File Number 1-3779 (San Diego Gas &amp; Electric Company), Commission File Number 1-1402 (Southern California Gas Company) and/or Commission File Number 1-11439 (Enova Corporation).</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color w:val="auto"/>
        </w:rPr>
        <w:t>3.a The following exhibits relate to Sempra Energy and its subsidiaries</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Exhibit 3 -- Bylaws and Articles of Incorporation</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Bylaws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3.01  Amended Bylaws of Sempra Energy effective December 4, 2007 (Form 8-K filed on December 5, 2007, Exhibit 3(ii)).</w:t>
      </w:r>
    </w:p>
    <w:p>
      <w:pPr>
        <w:spacing w:after="0" w:line="243" w:lineRule="exact"/>
        <w:rPr>
          <w:sz w:val="20"/>
          <w:szCs w:val="20"/>
          <w:color w:val="auto"/>
        </w:rPr>
      </w:pPr>
    </w:p>
    <w:p>
      <w:pPr>
        <w:ind w:left="520" w:right="80" w:hanging="518"/>
        <w:spacing w:after="0" w:line="260" w:lineRule="auto"/>
        <w:rPr>
          <w:sz w:val="20"/>
          <w:szCs w:val="20"/>
          <w:color w:val="auto"/>
        </w:rPr>
      </w:pPr>
      <w:r>
        <w:rPr>
          <w:rFonts w:ascii="Arial" w:cs="Arial" w:eastAsia="Arial" w:hAnsi="Arial"/>
          <w:sz w:val="20"/>
          <w:szCs w:val="20"/>
          <w:color w:val="auto"/>
        </w:rPr>
        <w:t>3.02 Amended and Restated Bylaws of Sempra Energy effective May 26, 1998 (incorporated by reference from the Registration Statement on Form S-8 Sempra Energy Registration Statement No. 333-56161 dated June 5, 1998, Exhibit 3.2).</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Articles of Incorporation</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3.03  Amended and Restated Articles of Incorporation of Sempra Energy effective May 8, 2006 (June 30, 2006 Form 10-Q, Exhibit 3.01)</w:t>
      </w:r>
    </w:p>
    <w:p>
      <w:pPr>
        <w:spacing w:after="0" w:line="2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Exhibit 4 -- Instruments Defining the Rights of Security Holders, Including Indentures</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The company agrees to furnish a copy of each such instrument to the Commission upon request.</w:t>
      </w:r>
    </w:p>
    <w:p>
      <w:pPr>
        <w:spacing w:after="0" w:line="243" w:lineRule="exact"/>
        <w:rPr>
          <w:sz w:val="20"/>
          <w:szCs w:val="20"/>
          <w:color w:val="auto"/>
        </w:rPr>
      </w:pPr>
    </w:p>
    <w:p>
      <w:pPr>
        <w:ind w:left="520" w:hanging="518"/>
        <w:spacing w:after="0" w:line="260" w:lineRule="auto"/>
        <w:rPr>
          <w:sz w:val="20"/>
          <w:szCs w:val="20"/>
          <w:color w:val="auto"/>
        </w:rPr>
      </w:pPr>
      <w:r>
        <w:rPr>
          <w:rFonts w:ascii="Arial" w:cs="Arial" w:eastAsia="Arial" w:hAnsi="Arial"/>
          <w:sz w:val="20"/>
          <w:szCs w:val="20"/>
          <w:color w:val="auto"/>
        </w:rPr>
        <w:t>4.01 Description of rights of Sempra Energy Common Stock (incorporated by reference from Amended and Restated Articles of Incorporation of Sempra Energy effective May 8, 2006, Exhibit 3.03 above).</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San Diego Gas &amp; Electric Company</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4.02  Mortgage and Deed of Trust dated July 1, 1940 (incorporated by reference from SDG&amp;E Registration Statement No. 2-49810, Exhibit</w:t>
      </w:r>
    </w:p>
    <w:p>
      <w:pPr>
        <w:spacing w:after="0" w:line="39" w:lineRule="exact"/>
        <w:rPr>
          <w:sz w:val="20"/>
          <w:szCs w:val="20"/>
          <w:color w:val="auto"/>
        </w:rPr>
      </w:pPr>
    </w:p>
    <w:p>
      <w:pPr>
        <w:ind w:left="520"/>
        <w:spacing w:after="0"/>
        <w:rPr>
          <w:sz w:val="20"/>
          <w:szCs w:val="20"/>
          <w:color w:val="auto"/>
        </w:rPr>
      </w:pPr>
      <w:r>
        <w:rPr>
          <w:rFonts w:ascii="Arial" w:cs="Arial" w:eastAsia="Arial" w:hAnsi="Arial"/>
          <w:sz w:val="20"/>
          <w:szCs w:val="20"/>
          <w:color w:val="auto"/>
        </w:rPr>
        <w:t>2A).</w:t>
      </w:r>
    </w:p>
    <w:p>
      <w:pPr>
        <w:spacing w:after="0" w:line="227" w:lineRule="exact"/>
        <w:rPr>
          <w:sz w:val="20"/>
          <w:szCs w:val="20"/>
          <w:color w:val="auto"/>
        </w:rPr>
      </w:pPr>
    </w:p>
    <w:p>
      <w:pPr>
        <w:ind w:left="520" w:right="60" w:hanging="518"/>
        <w:spacing w:after="0" w:line="260" w:lineRule="auto"/>
        <w:rPr>
          <w:sz w:val="20"/>
          <w:szCs w:val="20"/>
          <w:color w:val="auto"/>
        </w:rPr>
      </w:pPr>
      <w:r>
        <w:rPr>
          <w:rFonts w:ascii="Arial" w:cs="Arial" w:eastAsia="Arial" w:hAnsi="Arial"/>
          <w:sz w:val="20"/>
          <w:szCs w:val="20"/>
          <w:color w:val="auto"/>
        </w:rPr>
        <w:t>4.03 Ninth Supplemental Indenture dated as of August 1, 1968 (incorporated by reference from SDG&amp;E Registration Statement No. 2-68420, Exhibit 2D).</w:t>
      </w:r>
    </w:p>
    <w:p>
      <w:pPr>
        <w:spacing w:after="0" w:line="204" w:lineRule="exact"/>
        <w:rPr>
          <w:sz w:val="20"/>
          <w:szCs w:val="20"/>
          <w:color w:val="auto"/>
        </w:rPr>
      </w:pPr>
    </w:p>
    <w:p>
      <w:pPr>
        <w:ind w:left="520" w:right="100" w:hanging="518"/>
        <w:spacing w:after="0" w:line="260" w:lineRule="auto"/>
        <w:rPr>
          <w:sz w:val="20"/>
          <w:szCs w:val="20"/>
          <w:color w:val="auto"/>
        </w:rPr>
      </w:pPr>
      <w:r>
        <w:rPr>
          <w:rFonts w:ascii="Arial" w:cs="Arial" w:eastAsia="Arial" w:hAnsi="Arial"/>
          <w:sz w:val="20"/>
          <w:szCs w:val="20"/>
          <w:color w:val="auto"/>
        </w:rPr>
        <w:t>4.04 Sixteenth Supplemental Indenture dated August 28, 1975 (incorporated by reference from SDG&amp;E Registration Statement No. 2-68420, Exhibit 2E).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4.05  Thirtieth Supplemental Indenture dated September 28, 1983 (incorporated by reference from SDG&amp;E Registration Statement No. 33-</w:t>
      </w:r>
    </w:p>
    <w:p>
      <w:pPr>
        <w:spacing w:after="0" w:line="39" w:lineRule="exact"/>
        <w:rPr>
          <w:sz w:val="20"/>
          <w:szCs w:val="20"/>
          <w:color w:val="auto"/>
        </w:rPr>
      </w:pPr>
    </w:p>
    <w:p>
      <w:pPr>
        <w:ind w:left="520"/>
        <w:spacing w:after="0"/>
        <w:rPr>
          <w:sz w:val="20"/>
          <w:szCs w:val="20"/>
          <w:color w:val="auto"/>
        </w:rPr>
      </w:pPr>
      <w:r>
        <w:rPr>
          <w:rFonts w:ascii="Arial" w:cs="Arial" w:eastAsia="Arial" w:hAnsi="Arial"/>
          <w:sz w:val="20"/>
          <w:szCs w:val="20"/>
          <w:color w:val="auto"/>
        </w:rPr>
        <w:t>34017, Exhibit 4.3).</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42</w:t>
      </w:r>
    </w:p>
    <w:p>
      <w:pPr>
        <w:sectPr>
          <w:pgSz w:w="11900" w:h="16838" w:orient="portrait"/>
          <w:cols w:equalWidth="0" w:num="1">
            <w:col w:w="11400"/>
          </w:cols>
          <w:pgMar w:left="240" w:top="360" w:right="259" w:bottom="1440" w:gutter="0" w:footer="0" w:header="0"/>
        </w:sectPr>
      </w:pPr>
    </w:p>
    <w:bookmarkStart w:id="43" w:name="page44"/>
    <w:bookmarkEnd w:id="43"/>
    <w:p>
      <w:pPr>
        <w:spacing w:after="0"/>
        <w:rPr>
          <w:sz w:val="20"/>
          <w:szCs w:val="20"/>
          <w:color w:val="auto"/>
        </w:rPr>
      </w:pPr>
      <w:r>
        <w:rPr>
          <w:rFonts w:ascii="Arial" w:cs="Arial" w:eastAsia="Arial" w:hAnsi="Arial"/>
          <w:sz w:val="20"/>
          <w:szCs w:val="20"/>
          <w:u w:val="single" w:color="auto"/>
          <w:color w:val="auto"/>
        </w:rPr>
        <w:t>Southern California Gas Company</w:t>
      </w:r>
    </w:p>
    <w:p>
      <w:pPr>
        <w:spacing w:after="0" w:line="243" w:lineRule="exact"/>
        <w:rPr>
          <w:sz w:val="20"/>
          <w:szCs w:val="20"/>
          <w:color w:val="auto"/>
        </w:rPr>
      </w:pPr>
    </w:p>
    <w:p>
      <w:pPr>
        <w:ind w:left="520" w:right="180" w:hanging="518"/>
        <w:spacing w:after="0" w:line="260" w:lineRule="auto"/>
        <w:rPr>
          <w:sz w:val="20"/>
          <w:szCs w:val="20"/>
          <w:color w:val="auto"/>
        </w:rPr>
      </w:pPr>
      <w:r>
        <w:rPr>
          <w:rFonts w:ascii="Arial" w:cs="Arial" w:eastAsia="Arial" w:hAnsi="Arial"/>
          <w:sz w:val="20"/>
          <w:szCs w:val="20"/>
          <w:color w:val="auto"/>
        </w:rPr>
        <w:t>4.06 First Mortgage Indenture of Southern California Gas Company to American Trust Company dated as of October 1, 1940 (Registration Statement No. 2-4504 filed by Southern California Gas Company on September 16, 1940, Exhibit B-4).</w:t>
      </w:r>
    </w:p>
    <w:p>
      <w:pPr>
        <w:spacing w:after="0" w:line="204" w:lineRule="exact"/>
        <w:rPr>
          <w:sz w:val="20"/>
          <w:szCs w:val="20"/>
          <w:color w:val="auto"/>
        </w:rPr>
      </w:pPr>
    </w:p>
    <w:p>
      <w:pPr>
        <w:ind w:left="520" w:right="340" w:hanging="518"/>
        <w:spacing w:after="0" w:line="260" w:lineRule="auto"/>
        <w:rPr>
          <w:sz w:val="20"/>
          <w:szCs w:val="20"/>
          <w:color w:val="auto"/>
        </w:rPr>
      </w:pPr>
      <w:r>
        <w:rPr>
          <w:rFonts w:ascii="Arial" w:cs="Arial" w:eastAsia="Arial" w:hAnsi="Arial"/>
          <w:sz w:val="20"/>
          <w:szCs w:val="20"/>
          <w:color w:val="auto"/>
        </w:rPr>
        <w:t>4.07 Supplemental Indenture of Southern California Gas Company to American Trust Company dated as of August 1, 1955 (Registration Statement No. 2-11997 filed by Pacific Lighting Corporation on October 26, 1955, Exhibit 4.07).</w:t>
      </w:r>
    </w:p>
    <w:p>
      <w:pPr>
        <w:spacing w:after="0" w:line="204" w:lineRule="exact"/>
        <w:rPr>
          <w:sz w:val="20"/>
          <w:szCs w:val="20"/>
          <w:color w:val="auto"/>
        </w:rPr>
      </w:pPr>
    </w:p>
    <w:p>
      <w:pPr>
        <w:ind w:left="520" w:right="560" w:hanging="518"/>
        <w:spacing w:after="0" w:line="260" w:lineRule="auto"/>
        <w:rPr>
          <w:sz w:val="20"/>
          <w:szCs w:val="20"/>
          <w:color w:val="auto"/>
        </w:rPr>
      </w:pPr>
      <w:r>
        <w:rPr>
          <w:rFonts w:ascii="Arial" w:cs="Arial" w:eastAsia="Arial" w:hAnsi="Arial"/>
          <w:sz w:val="20"/>
          <w:szCs w:val="20"/>
          <w:color w:val="auto"/>
        </w:rPr>
        <w:t>4.08 Supplemental Indenture of Southern California Gas Company to American Trust Company dated as of June 1, 1956 (Registration Statement No. 2-12456 filed by Southern California Gas Company on April 23, 1956, Exhibit 2.08).</w:t>
      </w:r>
    </w:p>
    <w:p>
      <w:pPr>
        <w:spacing w:after="0" w:line="204" w:lineRule="exact"/>
        <w:rPr>
          <w:sz w:val="20"/>
          <w:szCs w:val="20"/>
          <w:color w:val="auto"/>
        </w:rPr>
      </w:pPr>
    </w:p>
    <w:p>
      <w:pPr>
        <w:ind w:left="520" w:hanging="518"/>
        <w:spacing w:after="0" w:line="260" w:lineRule="auto"/>
        <w:tabs>
          <w:tab w:leader="none" w:pos="500" w:val="left"/>
        </w:tabs>
        <w:rPr>
          <w:sz w:val="20"/>
          <w:szCs w:val="20"/>
          <w:color w:val="auto"/>
        </w:rPr>
      </w:pPr>
      <w:r>
        <w:rPr>
          <w:rFonts w:ascii="Arial" w:cs="Arial" w:eastAsia="Arial" w:hAnsi="Arial"/>
          <w:sz w:val="20"/>
          <w:szCs w:val="20"/>
          <w:color w:val="auto"/>
        </w:rPr>
        <w:t>4.09</w:t>
        <w:tab/>
        <w:t>Supplemental Indenture of Southern California Gas Company to American Trust Company dated as of December 1, 1956 (2006 Sempra Energy Form 10-K, Exhibit 4.09).</w:t>
      </w:r>
    </w:p>
    <w:p>
      <w:pPr>
        <w:spacing w:after="0" w:line="190" w:lineRule="exact"/>
        <w:rPr>
          <w:sz w:val="20"/>
          <w:szCs w:val="20"/>
          <w:color w:val="auto"/>
        </w:rPr>
      </w:pPr>
    </w:p>
    <w:p>
      <w:pPr>
        <w:spacing w:after="0"/>
        <w:tabs>
          <w:tab w:leader="none" w:pos="500" w:val="left"/>
        </w:tabs>
        <w:rPr>
          <w:sz w:val="20"/>
          <w:szCs w:val="20"/>
          <w:color w:val="auto"/>
        </w:rPr>
      </w:pPr>
      <w:r>
        <w:rPr>
          <w:rFonts w:ascii="Arial" w:cs="Arial" w:eastAsia="Arial" w:hAnsi="Arial"/>
          <w:sz w:val="20"/>
          <w:szCs w:val="20"/>
          <w:color w:val="auto"/>
        </w:rPr>
        <w:t>4.10</w:t>
      </w:r>
      <w:r>
        <w:rPr>
          <w:sz w:val="20"/>
          <w:szCs w:val="20"/>
          <w:color w:val="auto"/>
        </w:rPr>
        <w:tab/>
      </w:r>
      <w:r>
        <w:rPr>
          <w:rFonts w:ascii="Arial" w:cs="Arial" w:eastAsia="Arial" w:hAnsi="Arial"/>
          <w:sz w:val="16"/>
          <w:szCs w:val="16"/>
          <w:color w:val="auto"/>
        </w:rPr>
        <w:t>Supplemental Indenture of Southern California Gas Company to Wells Fargo Bank dated as of June 1, 1965 (2006 Sempra Energy Form</w:t>
      </w:r>
    </w:p>
    <w:p>
      <w:pPr>
        <w:spacing w:after="0" w:line="16" w:lineRule="exact"/>
        <w:rPr>
          <w:sz w:val="20"/>
          <w:szCs w:val="20"/>
          <w:color w:val="auto"/>
        </w:rPr>
      </w:pPr>
    </w:p>
    <w:p>
      <w:pPr>
        <w:ind w:left="520"/>
        <w:spacing w:after="0"/>
        <w:rPr>
          <w:sz w:val="20"/>
          <w:szCs w:val="20"/>
          <w:color w:val="auto"/>
        </w:rPr>
      </w:pPr>
      <w:r>
        <w:rPr>
          <w:rFonts w:ascii="Arial" w:cs="Arial" w:eastAsia="Arial" w:hAnsi="Arial"/>
          <w:sz w:val="20"/>
          <w:szCs w:val="20"/>
          <w:color w:val="auto"/>
        </w:rPr>
        <w:t>10-K, Exhibit 4.10).</w:t>
      </w:r>
    </w:p>
    <w:p>
      <w:pPr>
        <w:spacing w:after="0" w:line="227" w:lineRule="exact"/>
        <w:rPr>
          <w:sz w:val="20"/>
          <w:szCs w:val="20"/>
          <w:color w:val="auto"/>
        </w:rPr>
      </w:pPr>
    </w:p>
    <w:p>
      <w:pPr>
        <w:ind w:left="520" w:right="320" w:hanging="518"/>
        <w:spacing w:after="0" w:line="316" w:lineRule="auto"/>
        <w:rPr>
          <w:sz w:val="20"/>
          <w:szCs w:val="20"/>
          <w:color w:val="auto"/>
        </w:rPr>
      </w:pPr>
      <w:r>
        <w:rPr>
          <w:rFonts w:ascii="Arial" w:cs="Arial" w:eastAsia="Arial" w:hAnsi="Arial"/>
          <w:sz w:val="18"/>
          <w:szCs w:val="18"/>
          <w:color w:val="auto"/>
        </w:rPr>
        <w:t>4.11 Supplemental Indenture of Southern California Gas Company to Wells Fargo Bank, National Association dated as of August 1, 1972 (Registration Statement No. 2-59832 filed by Southern California Gas Company on September 6, 1977, Exhibit 2.19).</w:t>
      </w:r>
    </w:p>
    <w:p>
      <w:pPr>
        <w:spacing w:after="0" w:line="157" w:lineRule="exact"/>
        <w:rPr>
          <w:sz w:val="20"/>
          <w:szCs w:val="20"/>
          <w:color w:val="auto"/>
        </w:rPr>
      </w:pPr>
    </w:p>
    <w:p>
      <w:pPr>
        <w:ind w:left="520" w:right="520" w:hanging="518"/>
        <w:spacing w:after="0" w:line="287" w:lineRule="auto"/>
        <w:rPr>
          <w:sz w:val="20"/>
          <w:szCs w:val="20"/>
          <w:color w:val="auto"/>
        </w:rPr>
      </w:pPr>
      <w:r>
        <w:rPr>
          <w:rFonts w:ascii="Arial" w:cs="Arial" w:eastAsia="Arial" w:hAnsi="Arial"/>
          <w:sz w:val="19"/>
          <w:szCs w:val="19"/>
          <w:color w:val="auto"/>
        </w:rPr>
        <w:t>4.12 Supplemental Indenture of Southern California Gas Company to Wells Fargo Bank, National Association dated as of May 1, 1976 (Registration Statement No. 2-56034 filed by Southern California Gas Company on April 14, 1976, Exhibit 2.20).</w:t>
      </w:r>
    </w:p>
    <w:p>
      <w:pPr>
        <w:spacing w:after="0" w:line="180" w:lineRule="exact"/>
        <w:rPr>
          <w:sz w:val="20"/>
          <w:szCs w:val="20"/>
          <w:color w:val="auto"/>
        </w:rPr>
      </w:pPr>
    </w:p>
    <w:p>
      <w:pPr>
        <w:jc w:val="both"/>
        <w:ind w:left="520" w:right="360" w:hanging="518"/>
        <w:spacing w:after="0" w:line="250" w:lineRule="auto"/>
        <w:rPr>
          <w:sz w:val="20"/>
          <w:szCs w:val="20"/>
          <w:color w:val="auto"/>
        </w:rPr>
      </w:pPr>
      <w:r>
        <w:rPr>
          <w:rFonts w:ascii="Arial" w:cs="Arial" w:eastAsia="Arial" w:hAnsi="Arial"/>
          <w:sz w:val="20"/>
          <w:szCs w:val="20"/>
          <w:color w:val="auto"/>
        </w:rPr>
        <w:t>4.13 Supplemental Indenture of Southern California Gas Company to Manufacturers Hanover Trust Company of California, successor to Wells Fargo Bank, National Association, and Crocker National Bank as Successor Trustee dated as of May 18, 1984 (Southern Gas Company 1984 Form 10-K, Exhibit 4.29).</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Exhibit 10 -- Material Contracts</w:t>
      </w:r>
    </w:p>
    <w:p>
      <w:pPr>
        <w:spacing w:after="0" w:line="249" w:lineRule="exact"/>
        <w:rPr>
          <w:sz w:val="20"/>
          <w:szCs w:val="20"/>
          <w:color w:val="auto"/>
        </w:rPr>
      </w:pPr>
    </w:p>
    <w:p>
      <w:pPr>
        <w:ind w:left="520" w:right="200" w:hanging="518"/>
        <w:spacing w:after="0" w:line="250" w:lineRule="auto"/>
        <w:rPr>
          <w:sz w:val="20"/>
          <w:szCs w:val="20"/>
          <w:color w:val="auto"/>
        </w:rPr>
      </w:pPr>
      <w:r>
        <w:rPr>
          <w:rFonts w:ascii="Arial" w:cs="Arial" w:eastAsia="Arial" w:hAnsi="Arial"/>
          <w:sz w:val="20"/>
          <w:szCs w:val="20"/>
          <w:color w:val="auto"/>
        </w:rPr>
        <w:t>10.01 Form of Limited Liability Partnership Agreement of RBS Sempra Commodities LLP among The Royal Bank of Scotland plc, Sempra Global, Sempra Energy Trading International, B.V., RBS Sempra Commodities LLP and Sempra Energy (Form 8-K filed on July 9, 2007, Exhibit 10.1).</w:t>
      </w:r>
    </w:p>
    <w:p>
      <w:pPr>
        <w:spacing w:after="0" w:line="213" w:lineRule="exact"/>
        <w:rPr>
          <w:sz w:val="20"/>
          <w:szCs w:val="20"/>
          <w:color w:val="auto"/>
        </w:rPr>
      </w:pPr>
    </w:p>
    <w:p>
      <w:pPr>
        <w:ind w:left="520" w:right="340" w:hanging="518"/>
        <w:spacing w:after="0" w:line="386" w:lineRule="auto"/>
        <w:rPr>
          <w:sz w:val="20"/>
          <w:szCs w:val="20"/>
          <w:color w:val="auto"/>
        </w:rPr>
      </w:pPr>
      <w:r>
        <w:rPr>
          <w:rFonts w:ascii="Arial" w:cs="Arial" w:eastAsia="Arial" w:hAnsi="Arial"/>
          <w:sz w:val="16"/>
          <w:szCs w:val="16"/>
          <w:color w:val="auto"/>
        </w:rPr>
        <w:t>10.02 Master Formation and Equity Interest Purchase Agreement, dated as of July 9, 2007, by and among Sempra Energy, Sempra Global, Sempra Energy Trading International, B.V. and The Royal Bank of Scotland plc (Form 8-K filed on July 9, 2007, Exhibit 10.2).</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10.03 Form of Indemnity Agreement among Sempra Energy and The Royal Bank of Scotland plc. (Form 8-K filed on July 9, 2007, Exhibit</w:t>
      </w:r>
    </w:p>
    <w:p>
      <w:pPr>
        <w:spacing w:after="0" w:line="39" w:lineRule="exact"/>
        <w:rPr>
          <w:sz w:val="20"/>
          <w:szCs w:val="20"/>
          <w:color w:val="auto"/>
        </w:rPr>
      </w:pPr>
    </w:p>
    <w:p>
      <w:pPr>
        <w:ind w:left="520"/>
        <w:spacing w:after="0"/>
        <w:rPr>
          <w:sz w:val="20"/>
          <w:szCs w:val="20"/>
          <w:color w:val="auto"/>
        </w:rPr>
      </w:pPr>
      <w:r>
        <w:rPr>
          <w:rFonts w:ascii="Arial" w:cs="Arial" w:eastAsia="Arial" w:hAnsi="Arial"/>
          <w:sz w:val="20"/>
          <w:szCs w:val="20"/>
          <w:color w:val="auto"/>
        </w:rPr>
        <w:t>10.3).</w:t>
      </w:r>
    </w:p>
    <w:p>
      <w:pPr>
        <w:spacing w:after="0" w:line="227" w:lineRule="exact"/>
        <w:rPr>
          <w:sz w:val="20"/>
          <w:szCs w:val="20"/>
          <w:color w:val="auto"/>
        </w:rPr>
      </w:pPr>
    </w:p>
    <w:p>
      <w:pPr>
        <w:ind w:left="520" w:right="200" w:hanging="518"/>
        <w:spacing w:after="0" w:line="260" w:lineRule="auto"/>
        <w:rPr>
          <w:sz w:val="20"/>
          <w:szCs w:val="20"/>
          <w:color w:val="auto"/>
        </w:rPr>
      </w:pPr>
      <w:r>
        <w:rPr>
          <w:rFonts w:ascii="Arial" w:cs="Arial" w:eastAsia="Arial" w:hAnsi="Arial"/>
          <w:sz w:val="20"/>
          <w:szCs w:val="20"/>
          <w:color w:val="auto"/>
        </w:rPr>
        <w:t>10.04 Form of Continental Forge and California Class Action Price Reporting Settlement Agreement dated as of January 4, 2006 (Form 8-K filed on January 5, 2006, Exhibit 99.1).</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0"/>
          <w:szCs w:val="20"/>
          <w:color w:val="auto"/>
        </w:rPr>
        <w:t>43</w:t>
      </w:r>
    </w:p>
    <w:p>
      <w:pPr>
        <w:sectPr>
          <w:pgSz w:w="11900" w:h="16838" w:orient="portrait"/>
          <w:cols w:equalWidth="0" w:num="1">
            <w:col w:w="11320"/>
          </w:cols>
          <w:pgMar w:left="240" w:top="366" w:right="339" w:bottom="1440" w:gutter="0" w:footer="0" w:header="0"/>
        </w:sectPr>
      </w:pPr>
    </w:p>
    <w:bookmarkStart w:id="44" w:name="page45"/>
    <w:bookmarkEnd w:id="44"/>
    <w:p>
      <w:pPr>
        <w:spacing w:after="0"/>
        <w:rPr>
          <w:sz w:val="20"/>
          <w:szCs w:val="20"/>
          <w:color w:val="auto"/>
        </w:rPr>
      </w:pPr>
      <w:r>
        <w:rPr>
          <w:rFonts w:ascii="Arial" w:cs="Arial" w:eastAsia="Arial" w:hAnsi="Arial"/>
          <w:sz w:val="19"/>
          <w:szCs w:val="19"/>
          <w:color w:val="auto"/>
        </w:rPr>
        <w:t>10.05 Form of Nevada Antitrust Settlement Agreement dated as of January 4, 2006 (Form 8-K filed on January 5, 2006, Exhibit 99.2).</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10.06 Energy Purchase Agreement between Sempra Energy Resources and the California Department of Water Resources, executed May 4,</w:t>
      </w:r>
    </w:p>
    <w:p>
      <w:pPr>
        <w:spacing w:after="0" w:line="39" w:lineRule="exact"/>
        <w:rPr>
          <w:sz w:val="20"/>
          <w:szCs w:val="20"/>
          <w:color w:val="auto"/>
        </w:rPr>
      </w:pPr>
    </w:p>
    <w:p>
      <w:pPr>
        <w:ind w:left="520"/>
        <w:spacing w:after="0"/>
        <w:rPr>
          <w:sz w:val="20"/>
          <w:szCs w:val="20"/>
          <w:color w:val="auto"/>
        </w:rPr>
      </w:pPr>
      <w:r>
        <w:rPr>
          <w:rFonts w:ascii="Arial" w:cs="Arial" w:eastAsia="Arial" w:hAnsi="Arial"/>
          <w:sz w:val="20"/>
          <w:szCs w:val="20"/>
          <w:color w:val="auto"/>
        </w:rPr>
        <w:t>2001 (2001 Form 10-K, Exhibit 10.01).</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San Diego Gas &amp; Electric Company</w:t>
      </w:r>
    </w:p>
    <w:p>
      <w:pPr>
        <w:spacing w:after="0" w:line="243" w:lineRule="exact"/>
        <w:rPr>
          <w:sz w:val="20"/>
          <w:szCs w:val="20"/>
          <w:color w:val="auto"/>
        </w:rPr>
      </w:pPr>
    </w:p>
    <w:p>
      <w:pPr>
        <w:ind w:left="520" w:hanging="518"/>
        <w:spacing w:after="0" w:line="260" w:lineRule="auto"/>
        <w:rPr>
          <w:sz w:val="20"/>
          <w:szCs w:val="20"/>
          <w:color w:val="auto"/>
        </w:rPr>
      </w:pPr>
      <w:r>
        <w:rPr>
          <w:rFonts w:ascii="Arial" w:cs="Arial" w:eastAsia="Arial" w:hAnsi="Arial"/>
          <w:sz w:val="20"/>
          <w:szCs w:val="20"/>
          <w:color w:val="auto"/>
        </w:rPr>
        <w:t>10.07 Operating Agreement between San Diego Gas &amp; Electric and the California Department of Water Resources dated April 17, 2003 (2003 Sempra Energy Form 10-K, Exhibit 10.06).</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10.08 Servicing Agreement between San Diego Gas &amp; Electric and the California Department of Water Resources dated December 19, 2002</w:t>
      </w:r>
    </w:p>
    <w:p>
      <w:pPr>
        <w:spacing w:after="0" w:line="39" w:lineRule="exact"/>
        <w:rPr>
          <w:sz w:val="20"/>
          <w:szCs w:val="20"/>
          <w:color w:val="auto"/>
        </w:rPr>
      </w:pPr>
    </w:p>
    <w:p>
      <w:pPr>
        <w:ind w:left="520"/>
        <w:spacing w:after="0"/>
        <w:rPr>
          <w:sz w:val="20"/>
          <w:szCs w:val="20"/>
          <w:color w:val="auto"/>
        </w:rPr>
      </w:pPr>
      <w:r>
        <w:rPr>
          <w:rFonts w:ascii="Arial" w:cs="Arial" w:eastAsia="Arial" w:hAnsi="Arial"/>
          <w:sz w:val="20"/>
          <w:szCs w:val="20"/>
          <w:color w:val="auto"/>
        </w:rPr>
        <w:t>(2003 Sempra Energy Form 10-K, Exhibit 10.07).</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Compensation</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10.09 Form of Sempra Energy 1998 Long Term Incentive Plan, 2008 Performance-Based Restricted Stock Unit Award.</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10.10 Form of Sempra Energy 1998 Long Term Incentive Plan, 2008 Non-Qualified Stock Option Agreement.</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10.11 Sempra Energy Excess Cash Balance Plan dated December 5, 2005 (2006 Form 10-K, Exhibit 10.08).</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10.12 Form of Sempra Energy 1998 Non-Employee Directors' Stock Plan Non-Qualified Stock Option Agreement (2006 Form 10-K, Exhibit</w:t>
      </w:r>
    </w:p>
    <w:p>
      <w:pPr>
        <w:spacing w:after="0" w:line="39" w:lineRule="exact"/>
        <w:rPr>
          <w:sz w:val="20"/>
          <w:szCs w:val="20"/>
          <w:color w:val="auto"/>
        </w:rPr>
      </w:pPr>
    </w:p>
    <w:p>
      <w:pPr>
        <w:ind w:left="520"/>
        <w:spacing w:after="0"/>
        <w:rPr>
          <w:sz w:val="20"/>
          <w:szCs w:val="20"/>
          <w:color w:val="auto"/>
        </w:rPr>
      </w:pPr>
      <w:r>
        <w:rPr>
          <w:rFonts w:ascii="Arial" w:cs="Arial" w:eastAsia="Arial" w:hAnsi="Arial"/>
          <w:sz w:val="20"/>
          <w:szCs w:val="20"/>
          <w:color w:val="auto"/>
        </w:rPr>
        <w:t>10.09).</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10.13 Form of Sempra Energy Severance Pay Agreement (2004 Form 10-K, Exhibit 10.10).</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10.14 Sempra Energy 2005 Deferred Compensation Plan (Form 8-K filed on December 7, 2004, Exhibit 10.1).</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10.15 Sempra Energy Employee Stock Incentive Plan (September 30, 2004 Form 10-Q, Exhibit 10.1).</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10.16 Sempra Energy Amended and Restated Executive Life Insurance Plan (September 30, 2004 Form 10-Q, Exhibit 10.2).</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10.17 Sempra Energy Supplemental Executive Retirement Plan (September 30, 2004 Form 10-Q, Exhibit 10.7).</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10.18 Neal Schmale Restricted Stock Award Agreement (September 30, 2004 Form 10-Q, Exhibit 10.8).</w:t>
      </w:r>
    </w:p>
    <w:p>
      <w:pPr>
        <w:spacing w:after="0" w:line="243" w:lineRule="exact"/>
        <w:rPr>
          <w:sz w:val="20"/>
          <w:szCs w:val="20"/>
          <w:color w:val="auto"/>
        </w:rPr>
      </w:pPr>
    </w:p>
    <w:p>
      <w:pPr>
        <w:spacing w:after="0"/>
        <w:rPr>
          <w:sz w:val="20"/>
          <w:szCs w:val="20"/>
          <w:color w:val="auto"/>
        </w:rPr>
      </w:pPr>
      <w:r>
        <w:rPr>
          <w:rFonts w:ascii="Arial" w:cs="Arial" w:eastAsia="Arial" w:hAnsi="Arial"/>
          <w:sz w:val="19"/>
          <w:szCs w:val="19"/>
          <w:color w:val="auto"/>
        </w:rPr>
        <w:t>10.19 Severance Pay Agreement between Sempra Energy and Donald E. Felsinger (September 30, 2004 Form 10-Q, Exhibit 10.9).</w:t>
      </w: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color w:val="auto"/>
        </w:rPr>
        <w:t>10.20 Severance Pay Agreement between Sempra Energy and Neal Schmale (September 30, 2004 Form 10-Q, Exhibit 10.10).</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10.21 Sempra Energy Executive Personal Financial Planning Program Policy Document (September 30, 2004 Form 10-Q, Exhibit 10.11).</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20"/>
          <w:szCs w:val="20"/>
          <w:color w:val="auto"/>
        </w:rPr>
        <w:t>44</w:t>
      </w:r>
    </w:p>
    <w:p>
      <w:pPr>
        <w:sectPr>
          <w:pgSz w:w="11900" w:h="16838" w:orient="portrait"/>
          <w:cols w:equalWidth="0" w:num="1">
            <w:col w:w="11300"/>
          </w:cols>
          <w:pgMar w:left="240" w:top="121" w:right="359" w:bottom="1440" w:gutter="0" w:footer="0" w:header="0"/>
        </w:sectPr>
      </w:pPr>
    </w:p>
    <w:bookmarkStart w:id="45" w:name="page46"/>
    <w:bookmarkEnd w:id="45"/>
    <w:p>
      <w:pPr>
        <w:spacing w:after="0"/>
        <w:rPr>
          <w:sz w:val="20"/>
          <w:szCs w:val="20"/>
          <w:color w:val="auto"/>
        </w:rPr>
      </w:pPr>
      <w:r>
        <w:rPr>
          <w:rFonts w:ascii="Arial" w:cs="Arial" w:eastAsia="Arial" w:hAnsi="Arial"/>
          <w:sz w:val="20"/>
          <w:szCs w:val="20"/>
          <w:color w:val="auto"/>
        </w:rPr>
        <w:t>10.22 2003 Sempra Energy Executive Incentive Plan (2003 Form 10-K, Exhibit 10.10).</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10.23 Amended and Restated Sempra Energy 1998 Long-Term Incentive Plan (June 30, 2003 Form 10-Q, Exhibit 10.2).</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10.24 Sempra Energy Executive Incentive Plan effective January 1, 2003 (2002 Form 10-K, Exhibit 10.09).</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10.25 Amended Sempra Energy Retirement Plan for Directors (2002 Form 10-K, Exhibit 10.10).</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color w:val="auto"/>
        </w:rPr>
        <w:t>10.26 Amended and Restated Sempra Energy Deferred Compensation and Excess Savings Plan (September 30, 2002 Form 10-Q, Exhibit 10.3).</w:t>
      </w:r>
    </w:p>
    <w:p>
      <w:pPr>
        <w:spacing w:after="0" w:line="289" w:lineRule="exact"/>
        <w:rPr>
          <w:sz w:val="20"/>
          <w:szCs w:val="20"/>
          <w:color w:val="auto"/>
        </w:rPr>
      </w:pPr>
    </w:p>
    <w:p>
      <w:pPr>
        <w:ind w:left="520" w:right="460" w:hanging="518"/>
        <w:spacing w:after="0" w:line="260" w:lineRule="auto"/>
        <w:rPr>
          <w:sz w:val="20"/>
          <w:szCs w:val="20"/>
          <w:color w:val="auto"/>
        </w:rPr>
      </w:pPr>
      <w:r>
        <w:rPr>
          <w:rFonts w:ascii="Arial" w:cs="Arial" w:eastAsia="Arial" w:hAnsi="Arial"/>
          <w:sz w:val="20"/>
          <w:szCs w:val="20"/>
          <w:color w:val="auto"/>
        </w:rPr>
        <w:t>10.27 Sempra Energy 1998 Non-Employee Directors' Stock Plan (incorporated by reference from the Registration Statement on Form S-8 Sempra Energy Registration Statement No. 333-56161 dated June 5, 1998, Exhibit 4.2).</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Nuclear</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San Diego Gas &amp; Electric Company</w:t>
      </w:r>
    </w:p>
    <w:p>
      <w:pPr>
        <w:spacing w:after="0" w:line="243" w:lineRule="exact"/>
        <w:rPr>
          <w:sz w:val="20"/>
          <w:szCs w:val="20"/>
          <w:color w:val="auto"/>
        </w:rPr>
      </w:pPr>
    </w:p>
    <w:p>
      <w:pPr>
        <w:ind w:left="520" w:right="360" w:hanging="518"/>
        <w:spacing w:after="0" w:line="260" w:lineRule="auto"/>
        <w:rPr>
          <w:sz w:val="20"/>
          <w:szCs w:val="20"/>
          <w:color w:val="auto"/>
        </w:rPr>
      </w:pPr>
      <w:r>
        <w:rPr>
          <w:rFonts w:ascii="Arial" w:cs="Arial" w:eastAsia="Arial" w:hAnsi="Arial"/>
          <w:sz w:val="20"/>
          <w:szCs w:val="20"/>
          <w:color w:val="auto"/>
        </w:rPr>
        <w:t>10.28 Nuclear Facilities Qualified CPUC Decommissioning Master Trust Agreement for San Onofre Nuclear Generating Station, approved November 25, 1987 (1992 SDG&amp;E Form 10-K, Exhibit 10.7).</w:t>
      </w:r>
    </w:p>
    <w:p>
      <w:pPr>
        <w:spacing w:after="0" w:line="204" w:lineRule="exact"/>
        <w:rPr>
          <w:sz w:val="20"/>
          <w:szCs w:val="20"/>
          <w:color w:val="auto"/>
        </w:rPr>
      </w:pPr>
    </w:p>
    <w:p>
      <w:pPr>
        <w:ind w:left="520" w:right="480" w:hanging="518"/>
        <w:spacing w:after="0" w:line="260" w:lineRule="auto"/>
        <w:rPr>
          <w:sz w:val="20"/>
          <w:szCs w:val="20"/>
          <w:color w:val="auto"/>
        </w:rPr>
      </w:pPr>
      <w:r>
        <w:rPr>
          <w:rFonts w:ascii="Arial" w:cs="Arial" w:eastAsia="Arial" w:hAnsi="Arial"/>
          <w:sz w:val="20"/>
          <w:szCs w:val="20"/>
          <w:color w:val="auto"/>
        </w:rPr>
        <w:t>10.29 Amendment No. 1 to the Qualified CPUC Decommissioning Master Trust Agreement dated September 22, 1994 (see Exhibit 10.28 above)(1994 SDG&amp;E Form 10-K, Exhibit 10.56).</w:t>
      </w:r>
    </w:p>
    <w:p>
      <w:pPr>
        <w:spacing w:after="0" w:line="204" w:lineRule="exact"/>
        <w:rPr>
          <w:sz w:val="20"/>
          <w:szCs w:val="20"/>
          <w:color w:val="auto"/>
        </w:rPr>
      </w:pPr>
    </w:p>
    <w:p>
      <w:pPr>
        <w:jc w:val="center"/>
        <w:ind w:right="500"/>
        <w:spacing w:after="0" w:line="316" w:lineRule="auto"/>
        <w:rPr>
          <w:sz w:val="20"/>
          <w:szCs w:val="20"/>
          <w:color w:val="auto"/>
        </w:rPr>
      </w:pPr>
      <w:r>
        <w:rPr>
          <w:rFonts w:ascii="Arial" w:cs="Arial" w:eastAsia="Arial" w:hAnsi="Arial"/>
          <w:sz w:val="18"/>
          <w:szCs w:val="18"/>
          <w:color w:val="auto"/>
        </w:rPr>
        <w:t>10.30 Second Amendment to the San Diego Gas &amp; Electric Company Nuclear Facilities Qualified CPUC Decommissioning Master Trust Agreement for San Onofre Nuclear Generating Station (see Exhibit 10.28 above)(1994 SDG&amp;E Form 10-K, Exhibit 10.57).</w:t>
      </w:r>
    </w:p>
    <w:p>
      <w:pPr>
        <w:spacing w:after="0" w:line="157" w:lineRule="exact"/>
        <w:rPr>
          <w:sz w:val="20"/>
          <w:szCs w:val="20"/>
          <w:color w:val="auto"/>
        </w:rPr>
      </w:pPr>
    </w:p>
    <w:p>
      <w:pPr>
        <w:ind w:left="520" w:right="640" w:hanging="518"/>
        <w:spacing w:after="0" w:line="316" w:lineRule="auto"/>
        <w:rPr>
          <w:sz w:val="20"/>
          <w:szCs w:val="20"/>
          <w:color w:val="auto"/>
        </w:rPr>
      </w:pPr>
      <w:r>
        <w:rPr>
          <w:rFonts w:ascii="Arial" w:cs="Arial" w:eastAsia="Arial" w:hAnsi="Arial"/>
          <w:sz w:val="18"/>
          <w:szCs w:val="18"/>
          <w:color w:val="auto"/>
        </w:rPr>
        <w:t>10.31 Third Amendment to the San Diego Gas &amp; Electric Company Nuclear Facilities Qualified CPUC Decommissioning Master Trust Agreement for San Onofre Nuclear Generating Station (see Exhibit 10.28 above)(1996 SDG&amp;E Form 10-K, Exhibit 10.59).</w:t>
      </w:r>
    </w:p>
    <w:p>
      <w:pPr>
        <w:spacing w:after="0" w:line="157" w:lineRule="exact"/>
        <w:rPr>
          <w:sz w:val="20"/>
          <w:szCs w:val="20"/>
          <w:color w:val="auto"/>
        </w:rPr>
      </w:pPr>
    </w:p>
    <w:p>
      <w:pPr>
        <w:jc w:val="center"/>
        <w:ind w:right="560"/>
        <w:spacing w:after="0" w:line="287" w:lineRule="auto"/>
        <w:rPr>
          <w:sz w:val="20"/>
          <w:szCs w:val="20"/>
          <w:color w:val="auto"/>
        </w:rPr>
      </w:pPr>
      <w:r>
        <w:rPr>
          <w:rFonts w:ascii="Arial" w:cs="Arial" w:eastAsia="Arial" w:hAnsi="Arial"/>
          <w:sz w:val="19"/>
          <w:szCs w:val="19"/>
          <w:color w:val="auto"/>
        </w:rPr>
        <w:t>10.32 Fourth Amendment to the San Diego Gas &amp; Electric Company Nuclear Facilities Qualified CPUC Decommissioning Master Trust Agreement for San Onofre Nuclear Generating Station (see Exhibit 10.28 above)(1996 SDG&amp;E Form 10-K, Exhibit 10.60).</w:t>
      </w:r>
    </w:p>
    <w:p>
      <w:pPr>
        <w:spacing w:after="0" w:line="180" w:lineRule="exact"/>
        <w:rPr>
          <w:sz w:val="20"/>
          <w:szCs w:val="20"/>
          <w:color w:val="auto"/>
        </w:rPr>
      </w:pPr>
    </w:p>
    <w:p>
      <w:pPr>
        <w:ind w:left="520" w:right="700" w:hanging="518"/>
        <w:spacing w:after="0" w:line="316" w:lineRule="auto"/>
        <w:rPr>
          <w:sz w:val="20"/>
          <w:szCs w:val="20"/>
          <w:color w:val="auto"/>
        </w:rPr>
      </w:pPr>
      <w:r>
        <w:rPr>
          <w:rFonts w:ascii="Arial" w:cs="Arial" w:eastAsia="Arial" w:hAnsi="Arial"/>
          <w:sz w:val="18"/>
          <w:szCs w:val="18"/>
          <w:color w:val="auto"/>
        </w:rPr>
        <w:t>10.33 Fifth Amendment to the San Diego Gas &amp; Electric Company Nuclear Facilities Qualified CPUC Decommissioning Master Trust Agreement for San Onofre Nuclear Generation Station (see Exhibit 10.28 above)(1999 SDG&amp;E Form 10-K, Exhibit 10.26).</w:t>
      </w:r>
    </w:p>
    <w:p>
      <w:pPr>
        <w:spacing w:after="0" w:line="157" w:lineRule="exact"/>
        <w:rPr>
          <w:sz w:val="20"/>
          <w:szCs w:val="20"/>
          <w:color w:val="auto"/>
        </w:rPr>
      </w:pPr>
    </w:p>
    <w:p>
      <w:pPr>
        <w:ind w:left="520" w:right="660" w:hanging="518"/>
        <w:spacing w:after="0" w:line="316" w:lineRule="auto"/>
        <w:rPr>
          <w:sz w:val="20"/>
          <w:szCs w:val="20"/>
          <w:color w:val="auto"/>
        </w:rPr>
      </w:pPr>
      <w:r>
        <w:rPr>
          <w:rFonts w:ascii="Arial" w:cs="Arial" w:eastAsia="Arial" w:hAnsi="Arial"/>
          <w:sz w:val="18"/>
          <w:szCs w:val="18"/>
          <w:color w:val="auto"/>
        </w:rPr>
        <w:t>10.34 Sixth Amendment to the San Diego Gas &amp; Electric Company Nuclear Facilities Qualified CPUC Decommissioning Master Trust Agreement for San Onofre Nuclear Generating Station (see Exhibit 10.28 above)(1999 SDG&amp;E Form 10-K, Exhibit 10.27).</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45</w:t>
      </w:r>
    </w:p>
    <w:p>
      <w:pPr>
        <w:sectPr>
          <w:pgSz w:w="11900" w:h="16838" w:orient="portrait"/>
          <w:cols w:equalWidth="0" w:num="1">
            <w:col w:w="11400"/>
          </w:cols>
          <w:pgMar w:left="240" w:top="366" w:right="259" w:bottom="1440" w:gutter="0" w:footer="0" w:header="0"/>
        </w:sectPr>
      </w:pPr>
    </w:p>
    <w:bookmarkStart w:id="46" w:name="page47"/>
    <w:bookmarkEnd w:id="46"/>
    <w:p>
      <w:pPr>
        <w:ind w:left="520" w:right="100" w:hanging="518"/>
        <w:spacing w:after="0" w:line="250" w:lineRule="auto"/>
        <w:rPr>
          <w:sz w:val="20"/>
          <w:szCs w:val="20"/>
          <w:color w:val="auto"/>
        </w:rPr>
      </w:pPr>
      <w:r>
        <w:rPr>
          <w:rFonts w:ascii="Arial" w:cs="Arial" w:eastAsia="Arial" w:hAnsi="Arial"/>
          <w:sz w:val="20"/>
          <w:szCs w:val="20"/>
          <w:color w:val="auto"/>
        </w:rPr>
        <w:t>10.35 Seventh Amendment to the San Diego Gas &amp; Electric Company Nuclear Facilities Qualified CPUC Decommissioning Master Trust Agreement for San Onofre Nuclear Generating Station dated December 24, 2003 (see Exhibit 10.28 above) (2003 Sempra Energy Form 10-K, Exhibit 10.42).</w:t>
      </w:r>
    </w:p>
    <w:p>
      <w:pPr>
        <w:spacing w:after="0" w:line="214" w:lineRule="exact"/>
        <w:rPr>
          <w:sz w:val="20"/>
          <w:szCs w:val="20"/>
          <w:color w:val="auto"/>
        </w:rPr>
      </w:pPr>
    </w:p>
    <w:p>
      <w:pPr>
        <w:ind w:left="520" w:right="720" w:hanging="518"/>
        <w:spacing w:after="0" w:line="260" w:lineRule="auto"/>
        <w:rPr>
          <w:sz w:val="20"/>
          <w:szCs w:val="20"/>
          <w:color w:val="auto"/>
        </w:rPr>
      </w:pPr>
      <w:r>
        <w:rPr>
          <w:rFonts w:ascii="Arial" w:cs="Arial" w:eastAsia="Arial" w:hAnsi="Arial"/>
          <w:sz w:val="20"/>
          <w:szCs w:val="20"/>
          <w:color w:val="auto"/>
        </w:rPr>
        <w:t>10.36 Nuclear Facilities Non-Qualified CPUC Decommissioning Master Trust Agreement for San Onofre Nuclear Generating Station, approved November 25, 1987 (1992 SDG&amp;E Form 10-K, Exhibit 10.8).</w:t>
      </w:r>
    </w:p>
    <w:p>
      <w:pPr>
        <w:spacing w:after="0" w:line="204" w:lineRule="exact"/>
        <w:rPr>
          <w:sz w:val="20"/>
          <w:szCs w:val="20"/>
          <w:color w:val="auto"/>
        </w:rPr>
      </w:pPr>
    </w:p>
    <w:p>
      <w:pPr>
        <w:ind w:left="520" w:right="300" w:hanging="518"/>
        <w:spacing w:after="0" w:line="316" w:lineRule="auto"/>
        <w:rPr>
          <w:sz w:val="20"/>
          <w:szCs w:val="20"/>
          <w:color w:val="auto"/>
        </w:rPr>
      </w:pPr>
      <w:r>
        <w:rPr>
          <w:rFonts w:ascii="Arial" w:cs="Arial" w:eastAsia="Arial" w:hAnsi="Arial"/>
          <w:sz w:val="18"/>
          <w:szCs w:val="18"/>
          <w:color w:val="auto"/>
        </w:rPr>
        <w:t>10.37 First Amendment to the San Diego Gas &amp; Electric Company Nuclear Facilities Non-Qualified CPUC Decommissioning Master Trust Agreement for San Onofre Nuclear Generating Station (see Exhibit 10.36 above)(1996 SDG&amp;E Form 10-K, Exhibit 10.62).</w:t>
      </w:r>
    </w:p>
    <w:p>
      <w:pPr>
        <w:spacing w:after="0" w:line="157" w:lineRule="exact"/>
        <w:rPr>
          <w:sz w:val="20"/>
          <w:szCs w:val="20"/>
          <w:color w:val="auto"/>
        </w:rPr>
      </w:pPr>
    </w:p>
    <w:p>
      <w:pPr>
        <w:ind w:left="520" w:right="80" w:hanging="518"/>
        <w:spacing w:after="0" w:line="316" w:lineRule="auto"/>
        <w:rPr>
          <w:sz w:val="20"/>
          <w:szCs w:val="20"/>
          <w:color w:val="auto"/>
        </w:rPr>
      </w:pPr>
      <w:r>
        <w:rPr>
          <w:rFonts w:ascii="Arial" w:cs="Arial" w:eastAsia="Arial" w:hAnsi="Arial"/>
          <w:sz w:val="18"/>
          <w:szCs w:val="18"/>
          <w:color w:val="auto"/>
        </w:rPr>
        <w:t>10.38 Second Amendment to the San Diego Gas &amp; Electric Company Nuclear Facilities Non-Qualified CPUC Decommissioning Master Trust Agreement for San Onofre Nuclear Generating Station (see Exhibit 10.36 above)(1996 SDG&amp;E Form 10-K, Exhibit 10.63).</w:t>
      </w:r>
    </w:p>
    <w:p>
      <w:pPr>
        <w:spacing w:after="0" w:line="157" w:lineRule="exact"/>
        <w:rPr>
          <w:sz w:val="20"/>
          <w:szCs w:val="20"/>
          <w:color w:val="auto"/>
        </w:rPr>
      </w:pPr>
    </w:p>
    <w:p>
      <w:pPr>
        <w:ind w:left="520" w:right="220" w:hanging="518"/>
        <w:spacing w:after="0" w:line="316" w:lineRule="auto"/>
        <w:rPr>
          <w:sz w:val="20"/>
          <w:szCs w:val="20"/>
          <w:color w:val="auto"/>
        </w:rPr>
      </w:pPr>
      <w:r>
        <w:rPr>
          <w:rFonts w:ascii="Arial" w:cs="Arial" w:eastAsia="Arial" w:hAnsi="Arial"/>
          <w:sz w:val="18"/>
          <w:szCs w:val="18"/>
          <w:color w:val="auto"/>
        </w:rPr>
        <w:t>10.39 Third Amendment to the San Diego Gas &amp; Electric Company Nuclear Facilities Non-Qualified CPUC Decommissioning Master Trust Agreement for San Onofre Nuclear Generating Station (see Exhibit 10.36 above)(1999 SDG&amp;E Form 10-K, Exhibit 10.31).</w:t>
      </w:r>
    </w:p>
    <w:p>
      <w:pPr>
        <w:spacing w:after="0" w:line="157" w:lineRule="exact"/>
        <w:rPr>
          <w:sz w:val="20"/>
          <w:szCs w:val="20"/>
          <w:color w:val="auto"/>
        </w:rPr>
      </w:pPr>
    </w:p>
    <w:p>
      <w:pPr>
        <w:ind w:left="520" w:right="140" w:hanging="518"/>
        <w:spacing w:after="0" w:line="316" w:lineRule="auto"/>
        <w:rPr>
          <w:sz w:val="20"/>
          <w:szCs w:val="20"/>
          <w:color w:val="auto"/>
        </w:rPr>
      </w:pPr>
      <w:r>
        <w:rPr>
          <w:rFonts w:ascii="Arial" w:cs="Arial" w:eastAsia="Arial" w:hAnsi="Arial"/>
          <w:sz w:val="18"/>
          <w:szCs w:val="18"/>
          <w:color w:val="auto"/>
        </w:rPr>
        <w:t>10.40 Fourth Amendment to the San Diego Gas &amp; Electric Company Nuclear Facilities Non-Qualified CPUC Decommissioning Master Trust Agreement for San Onofre Nuclear Generating Station (see Exhibit 10.36 above)(1999 SDG&amp;E Form 10-K, Exhibit 10.32).</w:t>
      </w:r>
    </w:p>
    <w:p>
      <w:pPr>
        <w:spacing w:after="0" w:line="157" w:lineRule="exact"/>
        <w:rPr>
          <w:sz w:val="20"/>
          <w:szCs w:val="20"/>
          <w:color w:val="auto"/>
        </w:rPr>
      </w:pPr>
    </w:p>
    <w:p>
      <w:pPr>
        <w:ind w:left="520" w:right="140" w:hanging="518"/>
        <w:spacing w:after="0" w:line="250" w:lineRule="auto"/>
        <w:rPr>
          <w:sz w:val="20"/>
          <w:szCs w:val="20"/>
          <w:color w:val="auto"/>
        </w:rPr>
      </w:pPr>
      <w:r>
        <w:rPr>
          <w:rFonts w:ascii="Arial" w:cs="Arial" w:eastAsia="Arial" w:hAnsi="Arial"/>
          <w:sz w:val="20"/>
          <w:szCs w:val="20"/>
          <w:color w:val="auto"/>
        </w:rPr>
        <w:t>10.41 Fifth Amendment to the San Diego Gas &amp; Electric Company Nuclear Facilities Non-Qualified CPUC Decommissioning Master Trust Agreement for San Onofre Nuclear Generating Station dated December 24, 2003 (see Exhibit 10.36 above)(2003 Sempra Energy Form 10-K, Exhibit 10.48).</w:t>
      </w:r>
    </w:p>
    <w:p>
      <w:pPr>
        <w:spacing w:after="0" w:line="213" w:lineRule="exact"/>
        <w:rPr>
          <w:sz w:val="20"/>
          <w:szCs w:val="20"/>
          <w:color w:val="auto"/>
        </w:rPr>
      </w:pPr>
    </w:p>
    <w:p>
      <w:pPr>
        <w:ind w:left="520" w:right="20" w:hanging="518"/>
        <w:spacing w:after="0" w:line="260" w:lineRule="auto"/>
        <w:rPr>
          <w:sz w:val="20"/>
          <w:szCs w:val="20"/>
          <w:color w:val="auto"/>
        </w:rPr>
      </w:pPr>
      <w:r>
        <w:rPr>
          <w:rFonts w:ascii="Arial" w:cs="Arial" w:eastAsia="Arial" w:hAnsi="Arial"/>
          <w:sz w:val="20"/>
          <w:szCs w:val="20"/>
          <w:color w:val="auto"/>
        </w:rPr>
        <w:t>10.42 Second Amended San Onofre Operating Agreement among Southern California Edison Company, SDG&amp;E, the City of Anaheim and the City of Riverside, dated February 26, 1987 (1990 SDG&amp;E Form 10-K, Exhibit 10.6).</w:t>
      </w:r>
    </w:p>
    <w:p>
      <w:pPr>
        <w:spacing w:after="0" w:line="204" w:lineRule="exact"/>
        <w:rPr>
          <w:sz w:val="20"/>
          <w:szCs w:val="20"/>
          <w:color w:val="auto"/>
        </w:rPr>
      </w:pPr>
    </w:p>
    <w:p>
      <w:pPr>
        <w:jc w:val="both"/>
        <w:ind w:left="520" w:hanging="518"/>
        <w:spacing w:after="0" w:line="250" w:lineRule="auto"/>
        <w:rPr>
          <w:sz w:val="20"/>
          <w:szCs w:val="20"/>
          <w:color w:val="auto"/>
        </w:rPr>
      </w:pPr>
      <w:r>
        <w:rPr>
          <w:rFonts w:ascii="Arial" w:cs="Arial" w:eastAsia="Arial" w:hAnsi="Arial"/>
          <w:sz w:val="20"/>
          <w:szCs w:val="20"/>
          <w:color w:val="auto"/>
        </w:rPr>
        <w:t>10.43 U. S. Department of Energy contract for disposal of spent nuclear fuel and/or high-level radioactive waste, entered into between the DOE and Southern California Edison Company, as agent for SDG&amp;E and others; Contract DE-CR01-83NE44418, dated June 10, 1983 (1988 SDG&amp;E Form 10-K, Exhibit 10N).</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color w:val="auto"/>
        </w:rPr>
        <w:t>46</w:t>
      </w:r>
    </w:p>
    <w:p>
      <w:pPr>
        <w:sectPr>
          <w:pgSz w:w="11900" w:h="16838" w:orient="portrait"/>
          <w:cols w:equalWidth="0" w:num="1">
            <w:col w:w="11380"/>
          </w:cols>
          <w:pgMar w:left="240" w:top="122" w:right="279" w:bottom="1440" w:gutter="0" w:footer="0" w:header="0"/>
        </w:sectPr>
      </w:pPr>
    </w:p>
    <w:bookmarkStart w:id="47" w:name="page48"/>
    <w:bookmarkEnd w:id="47"/>
    <w:p>
      <w:pPr>
        <w:spacing w:after="0"/>
        <w:rPr>
          <w:sz w:val="20"/>
          <w:szCs w:val="20"/>
          <w:color w:val="auto"/>
        </w:rPr>
      </w:pPr>
      <w:r>
        <w:rPr>
          <w:rFonts w:ascii="Arial" w:cs="Arial" w:eastAsia="Arial" w:hAnsi="Arial"/>
          <w:sz w:val="20"/>
          <w:szCs w:val="20"/>
          <w:b w:val="1"/>
          <w:bCs w:val="1"/>
          <w:color w:val="auto"/>
        </w:rPr>
        <w:t>Exhibit 12 -- Statement re: Computation of Ratios</w:t>
      </w: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color w:val="auto"/>
        </w:rPr>
        <w:t>12.01 Computation of Ratio of Earnings to Combined Fixed Charges and Preferred Stock Dividends for the years ended December 31, 2007,</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20"/>
          <w:szCs w:val="20"/>
          <w:color w:val="auto"/>
        </w:rPr>
        <w:t>2006, 2005, 2004 and 2003.</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Exhibit 13 -- Annual Report to Security Holders</w:t>
      </w:r>
    </w:p>
    <w:p>
      <w:pPr>
        <w:spacing w:after="0" w:line="249" w:lineRule="exact"/>
        <w:rPr>
          <w:sz w:val="20"/>
          <w:szCs w:val="20"/>
          <w:color w:val="auto"/>
        </w:rPr>
      </w:pPr>
    </w:p>
    <w:p>
      <w:pPr>
        <w:jc w:val="both"/>
        <w:ind w:left="520" w:hanging="518"/>
        <w:spacing w:after="0" w:line="250" w:lineRule="auto"/>
        <w:rPr>
          <w:sz w:val="20"/>
          <w:szCs w:val="20"/>
          <w:color w:val="auto"/>
        </w:rPr>
      </w:pPr>
      <w:r>
        <w:rPr>
          <w:rFonts w:ascii="Arial" w:cs="Arial" w:eastAsia="Arial" w:hAnsi="Arial"/>
          <w:sz w:val="20"/>
          <w:szCs w:val="20"/>
          <w:color w:val="auto"/>
        </w:rPr>
        <w:t>13.01 Sempra Energy 2007 Annual Report to Shareholders. (Such report, except for the portions thereof which are expressly incorporated by reference in this Annual Report, is furnished for the information of the Securities and Exchange Commission and is not to be deemed "filed" as part of this Annual Report).</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Exhibit 21 -- Subsidiaries</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21.01 Schedule of Significant Subsidiaries at December 31, 2007.</w:t>
      </w:r>
    </w:p>
    <w:p>
      <w:pPr>
        <w:spacing w:after="0" w:line="237" w:lineRule="exact"/>
        <w:rPr>
          <w:sz w:val="20"/>
          <w:szCs w:val="20"/>
          <w:color w:val="auto"/>
        </w:rPr>
      </w:pPr>
    </w:p>
    <w:p>
      <w:pPr>
        <w:ind w:right="2140"/>
        <w:spacing w:after="0" w:line="496" w:lineRule="auto"/>
        <w:rPr>
          <w:sz w:val="20"/>
          <w:szCs w:val="20"/>
          <w:color w:val="auto"/>
        </w:rPr>
      </w:pPr>
      <w:r>
        <w:rPr>
          <w:rFonts w:ascii="Arial" w:cs="Arial" w:eastAsia="Arial" w:hAnsi="Arial"/>
          <w:sz w:val="20"/>
          <w:szCs w:val="20"/>
          <w:b w:val="1"/>
          <w:bCs w:val="1"/>
          <w:color w:val="auto"/>
        </w:rPr>
        <w:t>Exhibit 23 -- Consent of Independent Registered Public Accounting Firm and Report on Schedule, page 36. Exhibit 31 -- Section 302 Certifications</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31.1  Statement of Registrant's Chief Executive Officer pursuant to Rules 13a-14 and 15d-14 of the Securities Exchange Act of 1934.</w:t>
      </w:r>
    </w:p>
    <w:p>
      <w:pPr>
        <w:spacing w:after="0" w:line="254" w:lineRule="exact"/>
        <w:rPr>
          <w:sz w:val="20"/>
          <w:szCs w:val="20"/>
          <w:color w:val="auto"/>
        </w:rPr>
      </w:pPr>
    </w:p>
    <w:p>
      <w:pPr>
        <w:spacing w:after="0"/>
        <w:rPr>
          <w:sz w:val="20"/>
          <w:szCs w:val="20"/>
          <w:color w:val="auto"/>
        </w:rPr>
      </w:pPr>
      <w:r>
        <w:rPr>
          <w:rFonts w:ascii="Arial" w:cs="Arial" w:eastAsia="Arial" w:hAnsi="Arial"/>
          <w:sz w:val="19"/>
          <w:szCs w:val="19"/>
          <w:color w:val="auto"/>
        </w:rPr>
        <w:t>31.2  Statement of Registrant's Chief Financial Officer pursuant to Rules 13a-14 and 15d-14 of the Securities Exchange Act of 1934.</w:t>
      </w: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Exhibit 32 -- Section 906 Certifications</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32.1  Statement of Registrant's Chief Executive Officer pursuant to 18 U.S.C. Sec. 1350.</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32.2  Statement of Registrant's Chief Financial Officer pursuant to 18 U.S.C. Sec. 1350.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20"/>
          <w:szCs w:val="20"/>
          <w:color w:val="auto"/>
        </w:rPr>
        <w:t>47</w:t>
      </w:r>
    </w:p>
    <w:p>
      <w:pPr>
        <w:sectPr>
          <w:pgSz w:w="11900" w:h="16838" w:orient="portrait"/>
          <w:cols w:equalWidth="0" w:num="1">
            <w:col w:w="11180"/>
          </w:cols>
          <w:pgMar w:left="240" w:top="360" w:right="479" w:bottom="1440" w:gutter="0" w:footer="0" w:header="0"/>
        </w:sectPr>
      </w:pPr>
    </w:p>
    <w:bookmarkStart w:id="48" w:name="page49"/>
    <w:bookmarkEnd w:id="48"/>
    <w:p>
      <w:pPr>
        <w:spacing w:after="0"/>
        <w:rPr>
          <w:sz w:val="20"/>
          <w:szCs w:val="20"/>
          <w:color w:val="auto"/>
        </w:rPr>
      </w:pPr>
      <w:r>
        <w:rPr>
          <w:rFonts w:ascii="Arial" w:cs="Arial" w:eastAsia="Arial" w:hAnsi="Arial"/>
          <w:sz w:val="19"/>
          <w:szCs w:val="19"/>
          <w:b w:val="1"/>
          <w:bCs w:val="1"/>
          <w:color w:val="auto"/>
        </w:rPr>
        <w:t>GLOSSARY</w:t>
      </w:r>
    </w:p>
    <w:p>
      <w:pPr>
        <w:sectPr>
          <w:pgSz w:w="11900" w:h="16838" w:orient="portrait"/>
          <w:cols w:equalWidth="0" w:num="1">
            <w:col w:w="10219"/>
          </w:cols>
          <w:pgMar w:left="240" w:top="118" w:right="1440" w:bottom="1440" w:gutter="0" w:footer="0" w:header="0"/>
        </w:sect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auto"/>
        </w:rPr>
        <w:t>AEP</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AFUDC</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ALJ</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APBO</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ARB</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BCAP</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Bcf</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Black-Scholes Model</w:t>
      </w: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color w:val="auto"/>
        </w:rPr>
        <w:t>Cal Fire</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CARB</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CEC</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CEQA</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CFE</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Coleto Creek</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Conoco</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CPUC</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CRRs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DOE</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DRA</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DSM</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DWR</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Edison</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EIR</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EIS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EITF</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color w:val="auto"/>
        </w:rPr>
        <w:t>American Electric Power</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Allowance for Funds Used During Construction</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Administrative Law Judge</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Accounting Principles Board Opinion</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Accounting Research Bulletin</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Biennial Cost Allocation Proceeding</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Billion Cubic Feet (of natural gas)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Black-Scholes Option-Pricing Model</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California Department of Forestry and Fire Protection</w:t>
      </w: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color w:val="auto"/>
        </w:rPr>
        <w:t>California Air Resources Board</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California Energy Commission</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California Environmental Quality Act</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Comisión Federal de Electricidad</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Coleto Creek Power Station</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ConocoPhillips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California Public Utilities Commission</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Congestion Revenue Rights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Department of Energy</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Division of Ratepayer Advocates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Demand-Side Management</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Department of Water Resources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Southern California Edison Company</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Environmental Impact Report</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Environmental Impact Study</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Emerging Issues Task Force</w:t>
      </w:r>
    </w:p>
    <w:p>
      <w:pPr>
        <w:spacing w:after="0" w:line="200" w:lineRule="exact"/>
        <w:rPr>
          <w:sz w:val="20"/>
          <w:szCs w:val="20"/>
          <w:color w:val="auto"/>
        </w:rPr>
      </w:pPr>
    </w:p>
    <w:p>
      <w:pPr>
        <w:sectPr>
          <w:pgSz w:w="11900" w:h="16838" w:orient="portrait"/>
          <w:cols w:equalWidth="0" w:num="2">
            <w:col w:w="1720" w:space="240"/>
            <w:col w:w="8259"/>
          </w:cols>
          <w:pgMar w:left="240" w:top="118" w:right="1440" w:bottom="1440" w:gutter="0" w:footer="0" w:header="0"/>
          <w:type w:val="continuous"/>
        </w:sectPr>
      </w:pP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0219"/>
          </w:cols>
          <w:pgMar w:left="240" w:top="118" w:right="1440" w:bottom="1440" w:gutter="0" w:footer="0" w:header="0"/>
          <w:type w:val="continuous"/>
        </w:sectPr>
      </w:pPr>
    </w:p>
    <w:bookmarkStart w:id="49" w:name="page50"/>
    <w:bookmarkEnd w:id="49"/>
    <w:p>
      <w:pPr>
        <w:spacing w:after="0"/>
        <w:rPr>
          <w:sz w:val="20"/>
          <w:szCs w:val="20"/>
          <w:color w:val="auto"/>
        </w:rPr>
      </w:pPr>
      <w:r>
        <w:rPr>
          <w:rFonts w:ascii="Arial" w:cs="Arial" w:eastAsia="Arial" w:hAnsi="Arial"/>
          <w:sz w:val="20"/>
          <w:szCs w:val="20"/>
          <w:color w:val="auto"/>
        </w:rPr>
        <w:t>Elk Hills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ENI</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EPS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ESOP</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FASB</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FERC</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FIN</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FSA</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FSP</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GAAP</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GCIM</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GHG</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GRC</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ICSID</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IFRS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IOUs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IRS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ISFSI</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ISO</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KMP</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Liberty</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LIFO</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LNG</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LTPP</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Luz del Sur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color w:val="auto"/>
        </w:rPr>
        <w:t>Elk Hills Power</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ENI USA Gas Marketing LLC</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Earnings per Share</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Employee Stock Ownership Plan</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Financial Accounting Standards Board</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Federal Energy Regulatory Commission</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FASB Interpretation</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Financial Services Authority</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FASB Staff Position</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Accounting Principles Generally Accepted in the United States of America</w:t>
      </w: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color w:val="auto"/>
        </w:rPr>
        <w:t>Gas Cost Incentive Mechanism</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Greenhouse Gas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General Rate Case</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International Center for the Settlement of Investment Disputes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International Financial Reporting Standards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Investor-Owned Utilities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Internal Revenue Service</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Independent Spent Fuel Storage Installation</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Independent System Operator</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Kinder Morgan Energy Partners, L.P.</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Liberty Gas Storage</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Last-in first-out inventory costing method</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Liquefied Natural Gas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Long-Term Procurement Plan</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Luz del Sur S.A.A.</w:t>
      </w:r>
    </w:p>
    <w:p>
      <w:pPr>
        <w:spacing w:after="0" w:line="200" w:lineRule="exact"/>
        <w:rPr>
          <w:sz w:val="20"/>
          <w:szCs w:val="20"/>
          <w:color w:val="auto"/>
        </w:rPr>
      </w:pPr>
    </w:p>
    <w:p>
      <w:pPr>
        <w:sectPr>
          <w:pgSz w:w="11900" w:h="16838" w:orient="portrait"/>
          <w:cols w:equalWidth="0" w:num="2">
            <w:col w:w="1240" w:space="720"/>
            <w:col w:w="8259"/>
          </w:cols>
          <w:pgMar w:left="240" w:top="366" w:right="1440" w:bottom="1440" w:gutter="0" w:footer="0" w:header="0"/>
        </w:sect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0219"/>
          </w:cols>
          <w:pgMar w:left="240" w:top="366" w:right="1440" w:bottom="1440" w:gutter="0" w:footer="0" w:header="0"/>
          <w:type w:val="continuous"/>
        </w:sectPr>
      </w:pPr>
    </w:p>
    <w:bookmarkStart w:id="50" w:name="page51"/>
    <w:bookmarkEnd w:id="50"/>
    <w:p>
      <w:pPr>
        <w:spacing w:after="0"/>
        <w:rPr>
          <w:sz w:val="20"/>
          <w:szCs w:val="20"/>
          <w:color w:val="auto"/>
        </w:rPr>
      </w:pPr>
      <w:r>
        <w:rPr>
          <w:rFonts w:ascii="Arial" w:cs="Arial" w:eastAsia="Arial" w:hAnsi="Arial"/>
          <w:sz w:val="20"/>
          <w:szCs w:val="20"/>
          <w:color w:val="auto"/>
        </w:rPr>
        <w:t>MLC</w:t>
      </w:r>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color w:val="auto"/>
        </w:rPr>
        <w:t>MMBtu</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color w:val="auto"/>
        </w:rPr>
        <w:t>MSCI</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MW</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color w:val="auto"/>
        </w:rPr>
        <w:t>Merrill Lynch Commodities, Inc.</w:t>
      </w:r>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color w:val="auto"/>
        </w:rPr>
        <w:t>Million British Thermal Units</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(of natural gas)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Capital International</w:t>
      </w: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color w:val="auto"/>
        </w:rPr>
        <w:t>Megawatt</w:t>
      </w:r>
    </w:p>
    <w:p>
      <w:pPr>
        <w:spacing w:after="0" w:line="200" w:lineRule="exact"/>
        <w:rPr>
          <w:sz w:val="20"/>
          <w:szCs w:val="20"/>
          <w:color w:val="auto"/>
        </w:rPr>
      </w:pPr>
    </w:p>
    <w:p>
      <w:pPr>
        <w:sectPr>
          <w:pgSz w:w="11900" w:h="16838" w:orient="portrait"/>
          <w:cols w:equalWidth="0" w:num="2">
            <w:col w:w="1240" w:space="720"/>
            <w:col w:w="8259"/>
          </w:cols>
          <w:pgMar w:left="240" w:top="122" w:right="1440" w:bottom="1440" w:gutter="0" w:footer="0" w:header="0"/>
        </w:sectPr>
      </w:pP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Ninth Circuit Court</w:t>
      </w:r>
    </w:p>
    <w:p>
      <w:pPr>
        <w:sectPr>
          <w:pgSz w:w="11900" w:h="16838" w:orient="portrait"/>
          <w:cols w:equalWidth="0" w:num="1">
            <w:col w:w="10219"/>
          </w:cols>
          <w:pgMar w:left="240" w:top="122" w:right="1440" w:bottom="1440" w:gutter="0" w:footer="0" w:header="0"/>
          <w:type w:val="continuous"/>
        </w:sectPr>
      </w:pPr>
    </w:p>
    <w:p>
      <w:pPr>
        <w:spacing w:after="0" w:line="32" w:lineRule="exact"/>
        <w:rPr>
          <w:sz w:val="20"/>
          <w:szCs w:val="20"/>
          <w:color w:val="auto"/>
        </w:rPr>
      </w:pPr>
    </w:p>
    <w:p>
      <w:pPr>
        <w:spacing w:after="0"/>
        <w:rPr>
          <w:sz w:val="20"/>
          <w:szCs w:val="20"/>
          <w:color w:val="auto"/>
        </w:rPr>
      </w:pPr>
      <w:r>
        <w:rPr>
          <w:rFonts w:ascii="Arial" w:cs="Arial" w:eastAsia="Arial" w:hAnsi="Arial"/>
          <w:sz w:val="20"/>
          <w:szCs w:val="20"/>
          <w:color w:val="auto"/>
        </w:rPr>
        <w:t>of Appeals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NRC</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OIR</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OMEC</w:t>
      </w:r>
    </w:p>
    <w:p>
      <w:pPr>
        <w:spacing w:after="0" w:line="243" w:lineRule="exact"/>
        <w:rPr>
          <w:sz w:val="20"/>
          <w:szCs w:val="20"/>
          <w:color w:val="auto"/>
        </w:rPr>
      </w:pPr>
    </w:p>
    <w:p>
      <w:pPr>
        <w:spacing w:after="0"/>
        <w:rPr>
          <w:sz w:val="20"/>
          <w:szCs w:val="20"/>
          <w:color w:val="auto"/>
        </w:rPr>
      </w:pPr>
      <w:r>
        <w:rPr>
          <w:rFonts w:ascii="Arial" w:cs="Arial" w:eastAsia="Arial" w:hAnsi="Arial"/>
          <w:sz w:val="19"/>
          <w:szCs w:val="19"/>
          <w:color w:val="auto"/>
        </w:rPr>
        <w:t>OMEC LLC</w:t>
      </w: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color w:val="auto"/>
        </w:rPr>
        <w:t>OTC</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Overthrust</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PBR</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PE</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PGE</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PRP</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PX</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QFs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RBS</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U.S. Court of Appeals for the Ninth Circuit</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color w:val="auto"/>
        </w:rPr>
        <w:t>Nuclear Regulatory Commission</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Order Instituting Rulemaking</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Otay Mesa Energy Center</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Otay Mesa Energy Center, LLC</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Over-the-counter</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Overthrust Pipeline Company</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Performance-Based Regulation</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Pacific Enterprises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Portland General Electric Company</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Potentially Responsible Party</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Power Exchange</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Qualifying Facilities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The Royal Bank of Scotland plc</w:t>
      </w:r>
    </w:p>
    <w:p>
      <w:pPr>
        <w:spacing w:after="0" w:line="213" w:lineRule="exact"/>
        <w:rPr>
          <w:sz w:val="20"/>
          <w:szCs w:val="20"/>
          <w:color w:val="auto"/>
        </w:rPr>
      </w:pPr>
    </w:p>
    <w:p>
      <w:pPr>
        <w:sectPr>
          <w:pgSz w:w="11900" w:h="16838" w:orient="portrait"/>
          <w:cols w:equalWidth="0" w:num="2">
            <w:col w:w="1240" w:space="720"/>
            <w:col w:w="8259"/>
          </w:cols>
          <w:pgMar w:left="240" w:top="122" w:right="1440"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RBS Sempra</w:t>
      </w:r>
    </w:p>
    <w:p>
      <w:pPr>
        <w:sectPr>
          <w:pgSz w:w="11900" w:h="16838" w:orient="portrait"/>
          <w:cols w:equalWidth="0" w:num="1">
            <w:col w:w="10219"/>
          </w:cols>
          <w:pgMar w:left="240" w:top="122" w:right="1440" w:bottom="1440" w:gutter="0" w:footer="0" w:header="0"/>
          <w:type w:val="continuous"/>
        </w:sectPr>
      </w:pPr>
    </w:p>
    <w:p>
      <w:pPr>
        <w:spacing w:after="0" w:line="66" w:lineRule="exact"/>
        <w:rPr>
          <w:sz w:val="20"/>
          <w:szCs w:val="20"/>
          <w:color w:val="auto"/>
        </w:rPr>
      </w:pPr>
    </w:p>
    <w:p>
      <w:pPr>
        <w:spacing w:after="0"/>
        <w:rPr>
          <w:sz w:val="20"/>
          <w:szCs w:val="20"/>
          <w:color w:val="auto"/>
        </w:rPr>
      </w:pPr>
      <w:r>
        <w:rPr>
          <w:rFonts w:ascii="Arial" w:cs="Arial" w:eastAsia="Arial" w:hAnsi="Arial"/>
          <w:sz w:val="20"/>
          <w:szCs w:val="20"/>
          <w:color w:val="auto"/>
        </w:rPr>
        <w:t>Commodities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REX</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color w:val="auto"/>
        </w:rPr>
        <w:t>Rockies Express</w:t>
      </w:r>
    </w:p>
    <w:p>
      <w:pPr>
        <w:spacing w:after="0" w:line="275" w:lineRule="exact"/>
        <w:rPr>
          <w:sz w:val="20"/>
          <w:szCs w:val="20"/>
          <w:color w:val="auto"/>
        </w:rPr>
      </w:pPr>
    </w:p>
    <w:p>
      <w:pPr>
        <w:spacing w:after="0"/>
        <w:rPr>
          <w:sz w:val="20"/>
          <w:szCs w:val="20"/>
          <w:color w:val="auto"/>
        </w:rPr>
      </w:pPr>
      <w:r>
        <w:rPr>
          <w:rFonts w:ascii="Arial" w:cs="Arial" w:eastAsia="Arial" w:hAnsi="Arial"/>
          <w:sz w:val="20"/>
          <w:szCs w:val="20"/>
          <w:color w:val="auto"/>
        </w:rPr>
        <w:t>ROE</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RPS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SDG&amp;E</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rPr>
          <w:sz w:val="20"/>
          <w:szCs w:val="20"/>
          <w:color w:val="auto"/>
        </w:rPr>
      </w:pPr>
      <w:r>
        <w:rPr>
          <w:rFonts w:ascii="Arial" w:cs="Arial" w:eastAsia="Arial" w:hAnsi="Arial"/>
          <w:sz w:val="20"/>
          <w:szCs w:val="20"/>
          <w:color w:val="auto"/>
        </w:rPr>
        <w:t>RBS Sempra Commodities LLP</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Rockies Express Pipeline</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Rockies Express Pipeline LLC</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Return on Equity</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Renewable Portfolio Standards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San Diego Gas &amp; Electric Company</w:t>
      </w:r>
    </w:p>
    <w:p>
      <w:pPr>
        <w:spacing w:after="0" w:line="236" w:lineRule="exact"/>
        <w:rPr>
          <w:sz w:val="20"/>
          <w:szCs w:val="20"/>
          <w:color w:val="auto"/>
        </w:rPr>
      </w:pPr>
    </w:p>
    <w:p>
      <w:pPr>
        <w:sectPr>
          <w:pgSz w:w="11900" w:h="16838" w:orient="portrait"/>
          <w:cols w:equalWidth="0" w:num="2">
            <w:col w:w="1320" w:space="640"/>
            <w:col w:w="8259"/>
          </w:cols>
          <w:pgMar w:left="240" w:top="122" w:right="1440" w:bottom="1440" w:gutter="0" w:footer="0" w:header="0"/>
          <w:type w:val="continuous"/>
        </w:sect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0219"/>
          </w:cols>
          <w:pgMar w:left="240" w:top="122" w:right="1440" w:bottom="1440" w:gutter="0" w:footer="0" w:header="0"/>
          <w:type w:val="continuous"/>
        </w:sectPr>
      </w:pPr>
    </w:p>
    <w:bookmarkStart w:id="51" w:name="page52"/>
    <w:bookmarkEnd w:id="51"/>
    <w:p>
      <w:pPr>
        <w:spacing w:after="0"/>
        <w:rPr>
          <w:sz w:val="20"/>
          <w:szCs w:val="20"/>
          <w:color w:val="auto"/>
        </w:rPr>
      </w:pPr>
      <w:r>
        <w:rPr>
          <w:rFonts w:ascii="Arial" w:cs="Arial" w:eastAsia="Arial" w:hAnsi="Arial"/>
          <w:sz w:val="18"/>
          <w:szCs w:val="18"/>
          <w:color w:val="auto"/>
        </w:rPr>
        <w:t>Sempra Utilities</w:t>
      </w:r>
    </w:p>
    <w:p>
      <w:pPr>
        <w:spacing w:after="0" w:line="267" w:lineRule="exact"/>
        <w:rPr>
          <w:sz w:val="20"/>
          <w:szCs w:val="20"/>
          <w:color w:val="auto"/>
        </w:rPr>
      </w:pPr>
    </w:p>
    <w:p>
      <w:pPr>
        <w:spacing w:after="0"/>
        <w:rPr>
          <w:sz w:val="20"/>
          <w:szCs w:val="20"/>
          <w:color w:val="auto"/>
        </w:rPr>
      </w:pPr>
      <w:r>
        <w:rPr>
          <w:rFonts w:ascii="Arial" w:cs="Arial" w:eastAsia="Arial" w:hAnsi="Arial"/>
          <w:sz w:val="20"/>
          <w:szCs w:val="20"/>
          <w:color w:val="auto"/>
        </w:rPr>
        <w:t>SEPCO</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SFAS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SoCalGas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SONGS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Tangguh PSC</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Topaz</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Trust</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TURN</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Twin Oaks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VaR</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VIE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Southern California Gas Company and San Diego Gas &amp; Electric Company</w:t>
      </w:r>
    </w:p>
    <w:p>
      <w:pPr>
        <w:spacing w:after="0" w:line="267" w:lineRule="exact"/>
        <w:rPr>
          <w:sz w:val="20"/>
          <w:szCs w:val="20"/>
          <w:color w:val="auto"/>
        </w:rPr>
      </w:pPr>
    </w:p>
    <w:p>
      <w:pPr>
        <w:spacing w:after="0"/>
        <w:rPr>
          <w:sz w:val="20"/>
          <w:szCs w:val="20"/>
          <w:color w:val="auto"/>
        </w:rPr>
      </w:pPr>
      <w:r>
        <w:rPr>
          <w:rFonts w:ascii="Arial" w:cs="Arial" w:eastAsia="Arial" w:hAnsi="Arial"/>
          <w:sz w:val="20"/>
          <w:szCs w:val="20"/>
          <w:color w:val="auto"/>
        </w:rPr>
        <w:t>Sempra Energy Production Company</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Statement of Financial Accounting Standards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Southern California Gas Company</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San Onofre Nuclear Generating Station</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Tangguh PSC Contractors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Topaz Power Partners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ESOP Trust</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The Utility Reform Network</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Twin Oaks Power Plant</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Value at Risk</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Variable Interest Entity</w:t>
      </w:r>
    </w:p>
    <w:p>
      <w:pPr>
        <w:spacing w:after="0" w:line="213" w:lineRule="exact"/>
        <w:rPr>
          <w:sz w:val="20"/>
          <w:szCs w:val="20"/>
          <w:color w:val="auto"/>
        </w:rPr>
      </w:pPr>
    </w:p>
    <w:p>
      <w:pPr>
        <w:sectPr>
          <w:pgSz w:w="11900" w:h="16838" w:orient="portrait"/>
          <w:cols w:equalWidth="0" w:num="2">
            <w:col w:w="1300" w:space="660"/>
            <w:col w:w="8259"/>
          </w:cols>
          <w:pgMar w:left="240" w:top="122" w:right="1440" w:bottom="1440" w:gutter="0" w:footer="0" w:header="0"/>
        </w:sect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0219"/>
          </w:cols>
          <w:pgMar w:left="240" w:top="122" w:right="1440" w:bottom="1440" w:gutter="0" w:footer="0" w:header="0"/>
          <w:type w:val="continuous"/>
        </w:sectPr>
      </w:pPr>
    </w:p>
    <w:bookmarkStart w:id="52" w:name="page53"/>
    <w:bookmarkEnd w:id="52"/>
    <w:p>
      <w:pPr>
        <w:jc w:val="right"/>
        <w:spacing w:after="0"/>
        <w:rPr>
          <w:sz w:val="20"/>
          <w:szCs w:val="20"/>
          <w:color w:val="auto"/>
        </w:rPr>
      </w:pPr>
      <w:r>
        <w:rPr>
          <w:rFonts w:ascii="Arial" w:cs="Arial" w:eastAsia="Arial" w:hAnsi="Arial"/>
          <w:sz w:val="22"/>
          <w:szCs w:val="22"/>
          <w:b w:val="1"/>
          <w:bCs w:val="1"/>
          <w:color w:val="auto"/>
        </w:rPr>
        <w:t>Exhibit 10.09</w:t>
      </w:r>
    </w:p>
    <w:p>
      <w:pPr>
        <w:spacing w:after="0" w:line="97" w:lineRule="exact"/>
        <w:rPr>
          <w:sz w:val="20"/>
          <w:szCs w:val="20"/>
          <w:color w:val="auto"/>
        </w:rPr>
      </w:pPr>
    </w:p>
    <w:p>
      <w:pPr>
        <w:jc w:val="center"/>
        <w:ind w:right="1120"/>
        <w:spacing w:after="0"/>
        <w:rPr>
          <w:sz w:val="20"/>
          <w:szCs w:val="20"/>
          <w:color w:val="auto"/>
        </w:rPr>
      </w:pPr>
      <w:r>
        <w:rPr>
          <w:rFonts w:ascii="Arial" w:cs="Arial" w:eastAsia="Arial" w:hAnsi="Arial"/>
          <w:sz w:val="24"/>
          <w:szCs w:val="24"/>
          <w:b w:val="1"/>
          <w:bCs w:val="1"/>
          <w:color w:val="auto"/>
        </w:rPr>
        <w:t>SEMPRA ENERGY</w:t>
      </w:r>
    </w:p>
    <w:p>
      <w:pPr>
        <w:spacing w:after="0" w:line="116" w:lineRule="exact"/>
        <w:rPr>
          <w:sz w:val="20"/>
          <w:szCs w:val="20"/>
          <w:color w:val="auto"/>
        </w:rPr>
      </w:pPr>
    </w:p>
    <w:p>
      <w:pPr>
        <w:jc w:val="center"/>
        <w:ind w:right="1120"/>
        <w:spacing w:after="0"/>
        <w:rPr>
          <w:sz w:val="20"/>
          <w:szCs w:val="20"/>
          <w:color w:val="auto"/>
        </w:rPr>
      </w:pPr>
      <w:r>
        <w:rPr>
          <w:rFonts w:ascii="Arial" w:cs="Arial" w:eastAsia="Arial" w:hAnsi="Arial"/>
          <w:sz w:val="24"/>
          <w:szCs w:val="24"/>
          <w:b w:val="1"/>
          <w:bCs w:val="1"/>
          <w:color w:val="auto"/>
        </w:rPr>
        <w:t>1998 LONG TERM INCENTIVE PLAN</w:t>
      </w:r>
    </w:p>
    <w:p>
      <w:pPr>
        <w:spacing w:after="0" w:line="116" w:lineRule="exact"/>
        <w:rPr>
          <w:sz w:val="20"/>
          <w:szCs w:val="20"/>
          <w:color w:val="auto"/>
        </w:rPr>
      </w:pPr>
    </w:p>
    <w:p>
      <w:pPr>
        <w:jc w:val="center"/>
        <w:ind w:right="1120"/>
        <w:spacing w:after="0"/>
        <w:rPr>
          <w:sz w:val="20"/>
          <w:szCs w:val="20"/>
          <w:color w:val="auto"/>
        </w:rPr>
      </w:pPr>
      <w:r>
        <w:rPr>
          <w:rFonts w:ascii="Arial" w:cs="Arial" w:eastAsia="Arial" w:hAnsi="Arial"/>
          <w:sz w:val="24"/>
          <w:szCs w:val="24"/>
          <w:b w:val="1"/>
          <w:bCs w:val="1"/>
          <w:color w:val="auto"/>
        </w:rPr>
        <w:t>2008 PERFORMANCE-BASED RESTRICTED STOCK UNIT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74295</wp:posOffset>
            </wp:positionV>
            <wp:extent cx="5840095" cy="342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840095" cy="342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142875</wp:posOffset>
            </wp:positionV>
            <wp:extent cx="5840095" cy="342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840095" cy="34290"/>
                    </a:xfrm>
                    <a:prstGeom prst="rect">
                      <a:avLst/>
                    </a:prstGeom>
                    <a:noFill/>
                  </pic:spPr>
                </pic:pic>
              </a:graphicData>
            </a:graphic>
          </wp:anchor>
        </w:drawing>
      </w:r>
    </w:p>
    <w:p>
      <w:pPr>
        <w:spacing w:after="0" w:line="372" w:lineRule="exact"/>
        <w:rPr>
          <w:sz w:val="20"/>
          <w:szCs w:val="20"/>
          <w:color w:val="auto"/>
        </w:rPr>
      </w:pPr>
    </w:p>
    <w:p>
      <w:pPr>
        <w:ind w:right="1320"/>
        <w:spacing w:after="0" w:line="274" w:lineRule="auto"/>
        <w:rPr>
          <w:sz w:val="20"/>
          <w:szCs w:val="20"/>
          <w:color w:val="auto"/>
        </w:rPr>
      </w:pPr>
      <w:r>
        <w:rPr>
          <w:rFonts w:ascii="Arial" w:cs="Arial" w:eastAsia="Arial" w:hAnsi="Arial"/>
          <w:sz w:val="17"/>
          <w:szCs w:val="17"/>
          <w:color w:val="auto"/>
        </w:rPr>
        <w:t>You have been granted a performance-based restricted stock unit award representing the right to receive the number of shares of Sempra Energy Common Stock set forth below, subject to the vesting conditions set forth below. The restricted stock units, and dividend equivalents with respect to the restricted stock units, under your award may not be sold or assigned and will be subject to forfeiture unless and until they vest based upon the satisfaction of total shareholder return performance criteria for a performance period beginning on January 1, 2008 and ending in January 2012. Shares of Common Stock will be distributed to you after the completion of the performance period ending in January 2012, if the restricted stock units vest under the terms and conditions of your award.</w:t>
      </w:r>
    </w:p>
    <w:p>
      <w:pPr>
        <w:spacing w:after="0" w:line="167" w:lineRule="exact"/>
        <w:rPr>
          <w:sz w:val="20"/>
          <w:szCs w:val="20"/>
          <w:color w:val="auto"/>
        </w:rPr>
      </w:pPr>
    </w:p>
    <w:p>
      <w:pPr>
        <w:jc w:val="both"/>
        <w:ind w:right="1260"/>
        <w:spacing w:after="0" w:line="245" w:lineRule="auto"/>
        <w:rPr>
          <w:sz w:val="20"/>
          <w:szCs w:val="20"/>
          <w:color w:val="auto"/>
        </w:rPr>
      </w:pPr>
      <w:r>
        <w:rPr>
          <w:rFonts w:ascii="Arial" w:cs="Arial" w:eastAsia="Arial" w:hAnsi="Arial"/>
          <w:sz w:val="19"/>
          <w:szCs w:val="19"/>
          <w:i w:val="1"/>
          <w:iCs w:val="1"/>
          <w:color w:val="auto"/>
        </w:rPr>
        <w:t>The terms and conditions of your award are set forth in the attached Year 2008 Restricted Stock Unit Award Agreement and in the Sempra Energy 1998 Long Term Incentive Plan, which is enclosed. The summary below highlights selected terms and conditions but it is not complete and you should carefully read the attachments to fully understand the terms and conditions of your award.</w:t>
      </w:r>
    </w:p>
    <w:p>
      <w:pPr>
        <w:spacing w:after="0" w:line="101" w:lineRule="exact"/>
        <w:rPr>
          <w:sz w:val="20"/>
          <w:szCs w:val="20"/>
          <w:color w:val="auto"/>
        </w:rPr>
      </w:pPr>
    </w:p>
    <w:p>
      <w:pPr>
        <w:jc w:val="center"/>
        <w:ind w:right="320"/>
        <w:spacing w:after="0"/>
        <w:rPr>
          <w:sz w:val="20"/>
          <w:szCs w:val="20"/>
          <w:color w:val="auto"/>
        </w:rPr>
      </w:pPr>
      <w:r>
        <w:rPr>
          <w:rFonts w:ascii="Arial" w:cs="Arial" w:eastAsia="Arial" w:hAnsi="Arial"/>
          <w:sz w:val="24"/>
          <w:szCs w:val="24"/>
          <w:b w:val="1"/>
          <w:bCs w:val="1"/>
          <w:color w:val="auto"/>
        </w:rPr>
        <w:t>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584009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840095" cy="26035"/>
                    </a:xfrm>
                    <a:prstGeom prst="rect">
                      <a:avLst/>
                    </a:prstGeom>
                    <a:noFill/>
                  </pic:spPr>
                </pic:pic>
              </a:graphicData>
            </a:graphic>
          </wp:anchor>
        </w:drawing>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3620" w:type="dxa"/>
            <w:vAlign w:val="bottom"/>
          </w:tcPr>
          <w:p>
            <w:pPr>
              <w:spacing w:after="0"/>
              <w:rPr>
                <w:sz w:val="20"/>
                <w:szCs w:val="20"/>
                <w:color w:val="auto"/>
              </w:rPr>
            </w:pPr>
            <w:r>
              <w:rPr>
                <w:rFonts w:ascii="Arial" w:cs="Arial" w:eastAsia="Arial" w:hAnsi="Arial"/>
                <w:sz w:val="19"/>
                <w:szCs w:val="19"/>
                <w:b w:val="1"/>
                <w:bCs w:val="1"/>
                <w:color w:val="auto"/>
              </w:rPr>
              <w:t>Date of Award:</w:t>
            </w:r>
          </w:p>
        </w:tc>
        <w:tc>
          <w:tcPr>
            <w:tcW w:w="5580" w:type="dxa"/>
            <w:vAlign w:val="bottom"/>
            <w:tcBorders>
              <w:bottom w:val="single" w:sz="8" w:color="auto"/>
            </w:tcBorders>
          </w:tcPr>
          <w:p>
            <w:pPr>
              <w:spacing w:after="0"/>
              <w:rPr>
                <w:sz w:val="20"/>
                <w:szCs w:val="20"/>
                <w:color w:val="auto"/>
              </w:rPr>
            </w:pPr>
            <w:r>
              <w:rPr>
                <w:rFonts w:ascii="Arial" w:cs="Arial" w:eastAsia="Arial" w:hAnsi="Arial"/>
                <w:sz w:val="19"/>
                <w:szCs w:val="19"/>
                <w:b w:val="1"/>
                <w:bCs w:val="1"/>
                <w:color w:val="auto"/>
              </w:rPr>
              <w:t>January 2, 2008</w:t>
            </w:r>
          </w:p>
        </w:tc>
        <w:tc>
          <w:tcPr>
            <w:tcW w:w="0" w:type="dxa"/>
            <w:vAlign w:val="bottom"/>
          </w:tcPr>
          <w:p>
            <w:pPr>
              <w:spacing w:after="0"/>
              <w:rPr>
                <w:sz w:val="1"/>
                <w:szCs w:val="1"/>
                <w:color w:val="auto"/>
              </w:rPr>
            </w:pPr>
          </w:p>
        </w:tc>
      </w:tr>
      <w:tr>
        <w:trPr>
          <w:trHeight w:val="318"/>
        </w:trPr>
        <w:tc>
          <w:tcPr>
            <w:tcW w:w="3620" w:type="dxa"/>
            <w:vAlign w:val="bottom"/>
          </w:tcPr>
          <w:p>
            <w:pPr>
              <w:spacing w:after="0"/>
              <w:rPr>
                <w:sz w:val="20"/>
                <w:szCs w:val="20"/>
                <w:color w:val="auto"/>
              </w:rPr>
            </w:pPr>
            <w:r>
              <w:rPr>
                <w:rFonts w:ascii="Arial" w:cs="Arial" w:eastAsia="Arial" w:hAnsi="Arial"/>
                <w:sz w:val="19"/>
                <w:szCs w:val="19"/>
                <w:b w:val="1"/>
                <w:bCs w:val="1"/>
                <w:color w:val="auto"/>
              </w:rPr>
              <w:t>Name of Recipient:</w:t>
            </w:r>
          </w:p>
        </w:tc>
        <w:tc>
          <w:tcPr>
            <w:tcW w:w="5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3620" w:type="dxa"/>
            <w:vAlign w:val="bottom"/>
          </w:tcPr>
          <w:p>
            <w:pPr>
              <w:spacing w:after="0"/>
              <w:rPr>
                <w:sz w:val="20"/>
                <w:szCs w:val="20"/>
                <w:color w:val="auto"/>
              </w:rPr>
            </w:pPr>
            <w:r>
              <w:rPr>
                <w:rFonts w:ascii="Arial" w:cs="Arial" w:eastAsia="Arial" w:hAnsi="Arial"/>
                <w:sz w:val="19"/>
                <w:szCs w:val="19"/>
                <w:b w:val="1"/>
                <w:bCs w:val="1"/>
                <w:color w:val="auto"/>
              </w:rPr>
              <w:t>Recipient’s Employee Number:</w:t>
            </w:r>
          </w:p>
        </w:tc>
        <w:tc>
          <w:tcPr>
            <w:tcW w:w="5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3620" w:type="dxa"/>
            <w:vAlign w:val="bottom"/>
          </w:tcPr>
          <w:p>
            <w:pPr>
              <w:spacing w:after="0"/>
              <w:rPr>
                <w:sz w:val="20"/>
                <w:szCs w:val="20"/>
                <w:color w:val="auto"/>
              </w:rPr>
            </w:pPr>
            <w:r>
              <w:rPr>
                <w:rFonts w:ascii="Arial" w:cs="Arial" w:eastAsia="Arial" w:hAnsi="Arial"/>
                <w:sz w:val="19"/>
                <w:szCs w:val="19"/>
                <w:b w:val="1"/>
                <w:bCs w:val="1"/>
                <w:color w:val="auto"/>
                <w:w w:val="94"/>
              </w:rPr>
              <w:t>Number of Restricted Stock Units (prior to</w:t>
            </w:r>
          </w:p>
        </w:tc>
        <w:tc>
          <w:tcPr>
            <w:tcW w:w="5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3620" w:type="dxa"/>
            <w:vAlign w:val="bottom"/>
          </w:tcPr>
          <w:p>
            <w:pPr>
              <w:spacing w:after="0"/>
              <w:rPr>
                <w:sz w:val="20"/>
                <w:szCs w:val="20"/>
                <w:color w:val="auto"/>
              </w:rPr>
            </w:pPr>
            <w:r>
              <w:rPr>
                <w:rFonts w:ascii="Arial" w:cs="Arial" w:eastAsia="Arial" w:hAnsi="Arial"/>
                <w:sz w:val="19"/>
                <w:szCs w:val="19"/>
                <w:b w:val="1"/>
                <w:bCs w:val="1"/>
                <w:color w:val="auto"/>
              </w:rPr>
              <w:t>any dividend equivalents):</w:t>
            </w:r>
          </w:p>
        </w:tc>
        <w:tc>
          <w:tcPr>
            <w:tcW w:w="5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6"/>
        </w:trPr>
        <w:tc>
          <w:tcPr>
            <w:tcW w:w="3620" w:type="dxa"/>
            <w:vAlign w:val="bottom"/>
          </w:tcPr>
          <w:p>
            <w:pPr>
              <w:ind w:left="420"/>
              <w:spacing w:after="0"/>
              <w:rPr>
                <w:sz w:val="20"/>
                <w:szCs w:val="20"/>
                <w:color w:val="auto"/>
              </w:rPr>
            </w:pPr>
            <w:r>
              <w:rPr>
                <w:rFonts w:ascii="Arial" w:cs="Arial" w:eastAsia="Arial" w:hAnsi="Arial"/>
                <w:sz w:val="19"/>
                <w:szCs w:val="19"/>
                <w:b w:val="1"/>
                <w:bCs w:val="1"/>
                <w:color w:val="auto"/>
              </w:rPr>
              <w:t>At Target:</w:t>
            </w:r>
          </w:p>
        </w:tc>
        <w:tc>
          <w:tcPr>
            <w:tcW w:w="5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3620" w:type="dxa"/>
            <w:vAlign w:val="bottom"/>
          </w:tcPr>
          <w:p>
            <w:pPr>
              <w:ind w:left="420"/>
              <w:spacing w:after="0"/>
              <w:rPr>
                <w:sz w:val="20"/>
                <w:szCs w:val="20"/>
                <w:color w:val="auto"/>
              </w:rPr>
            </w:pPr>
            <w:r>
              <w:rPr>
                <w:rFonts w:ascii="Arial" w:cs="Arial" w:eastAsia="Arial" w:hAnsi="Arial"/>
                <w:sz w:val="19"/>
                <w:szCs w:val="19"/>
                <w:b w:val="1"/>
                <w:bCs w:val="1"/>
                <w:color w:val="auto"/>
              </w:rPr>
              <w:t>At Maximum (150% of Target)</w:t>
            </w:r>
          </w:p>
        </w:tc>
        <w:tc>
          <w:tcPr>
            <w:tcW w:w="5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3620" w:type="dxa"/>
            <w:vAlign w:val="bottom"/>
          </w:tcPr>
          <w:p>
            <w:pPr>
              <w:spacing w:after="0"/>
              <w:rPr>
                <w:sz w:val="20"/>
                <w:szCs w:val="20"/>
                <w:color w:val="auto"/>
              </w:rPr>
            </w:pPr>
            <w:r>
              <w:rPr>
                <w:rFonts w:ascii="Arial" w:cs="Arial" w:eastAsia="Arial" w:hAnsi="Arial"/>
                <w:sz w:val="19"/>
                <w:szCs w:val="19"/>
                <w:b w:val="1"/>
                <w:bCs w:val="1"/>
                <w:color w:val="auto"/>
                <w:w w:val="93"/>
              </w:rPr>
              <w:t>Award Date Fair Market Value per Share of</w:t>
            </w:r>
          </w:p>
        </w:tc>
        <w:tc>
          <w:tcPr>
            <w:tcW w:w="5580" w:type="dxa"/>
            <w:vAlign w:val="bottom"/>
            <w:vMerge w:val="restart"/>
          </w:tcPr>
          <w:p>
            <w:pPr>
              <w:spacing w:after="0"/>
              <w:rPr>
                <w:sz w:val="20"/>
                <w:szCs w:val="20"/>
                <w:color w:val="auto"/>
              </w:rPr>
            </w:pPr>
            <w:r>
              <w:rPr>
                <w:rFonts w:ascii="Arial" w:cs="Arial" w:eastAsia="Arial" w:hAnsi="Arial"/>
                <w:sz w:val="19"/>
                <w:szCs w:val="19"/>
                <w:b w:val="1"/>
                <w:bCs w:val="1"/>
                <w:color w:val="auto"/>
              </w:rPr>
              <w:t>$61.41</w:t>
            </w:r>
          </w:p>
        </w:tc>
        <w:tc>
          <w:tcPr>
            <w:tcW w:w="0" w:type="dxa"/>
            <w:vAlign w:val="bottom"/>
          </w:tcPr>
          <w:p>
            <w:pPr>
              <w:spacing w:after="0"/>
              <w:rPr>
                <w:sz w:val="1"/>
                <w:szCs w:val="1"/>
                <w:color w:val="auto"/>
              </w:rPr>
            </w:pPr>
          </w:p>
        </w:tc>
      </w:tr>
      <w:tr>
        <w:trPr>
          <w:trHeight w:val="249"/>
        </w:trPr>
        <w:tc>
          <w:tcPr>
            <w:tcW w:w="3620" w:type="dxa"/>
            <w:vAlign w:val="bottom"/>
          </w:tcPr>
          <w:p>
            <w:pPr>
              <w:spacing w:after="0"/>
              <w:rPr>
                <w:sz w:val="20"/>
                <w:szCs w:val="20"/>
                <w:color w:val="auto"/>
              </w:rPr>
            </w:pPr>
            <w:r>
              <w:rPr>
                <w:rFonts w:ascii="Arial" w:cs="Arial" w:eastAsia="Arial" w:hAnsi="Arial"/>
                <w:sz w:val="19"/>
                <w:szCs w:val="19"/>
                <w:b w:val="1"/>
                <w:bCs w:val="1"/>
                <w:color w:val="auto"/>
              </w:rPr>
              <w:t>Common Stock:</w:t>
            </w:r>
          </w:p>
        </w:tc>
        <w:tc>
          <w:tcPr>
            <w:tcW w:w="55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Restricted Stock Units:</w:t>
      </w:r>
    </w:p>
    <w:p>
      <w:pPr>
        <w:spacing w:after="0" w:line="31" w:lineRule="exact"/>
        <w:rPr>
          <w:sz w:val="20"/>
          <w:szCs w:val="20"/>
          <w:color w:val="auto"/>
        </w:rPr>
      </w:pPr>
    </w:p>
    <w:p>
      <w:pPr>
        <w:ind w:right="1280"/>
        <w:spacing w:after="0" w:line="280" w:lineRule="auto"/>
        <w:rPr>
          <w:sz w:val="20"/>
          <w:szCs w:val="20"/>
          <w:color w:val="auto"/>
        </w:rPr>
      </w:pPr>
      <w:r>
        <w:rPr>
          <w:rFonts w:ascii="Arial" w:cs="Arial" w:eastAsia="Arial" w:hAnsi="Arial"/>
          <w:sz w:val="17"/>
          <w:szCs w:val="17"/>
          <w:color w:val="auto"/>
        </w:rPr>
        <w:t>Your restricted stock units represent the right to receive shares of Common Stock in the future, subject to the terms and conditions of your award. Your restricted stock units are not shares of Common Stock. The target number of restricted</w:t>
      </w:r>
    </w:p>
    <w:p>
      <w:pPr>
        <w:ind w:right="1280"/>
        <w:spacing w:after="0" w:line="212" w:lineRule="auto"/>
        <w:rPr>
          <w:sz w:val="20"/>
          <w:szCs w:val="20"/>
          <w:color w:val="auto"/>
        </w:rPr>
      </w:pPr>
      <w:r>
        <w:rPr>
          <w:rFonts w:ascii="Arial" w:cs="Arial" w:eastAsia="Arial" w:hAnsi="Arial"/>
          <w:sz w:val="19"/>
          <w:szCs w:val="19"/>
          <w:color w:val="auto"/>
        </w:rPr>
        <w:t>stock units will vest (as described below), if the target total shareholder return (a return at the 50</w:t>
      </w:r>
      <w:r>
        <w:rPr>
          <w:rFonts w:ascii="Arial" w:cs="Arial" w:eastAsia="Arial" w:hAnsi="Arial"/>
          <w:sz w:val="31"/>
          <w:szCs w:val="31"/>
          <w:color w:val="auto"/>
          <w:vertAlign w:val="superscript"/>
        </w:rPr>
        <w:t>th</w:t>
      </w:r>
      <w:r>
        <w:rPr>
          <w:rFonts w:ascii="Arial" w:cs="Arial" w:eastAsia="Arial" w:hAnsi="Arial"/>
          <w:sz w:val="19"/>
          <w:szCs w:val="19"/>
          <w:color w:val="auto"/>
        </w:rPr>
        <w:t xml:space="preserve"> percentile) is achieved. If above target total shareholder return is achieved, you may vest in up to the maximum number of restricted stock units.</w:t>
      </w:r>
    </w:p>
    <w:p>
      <w:pPr>
        <w:spacing w:after="0" w:line="9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Vesting/Forfeiture of Restricted Stock Units:</w:t>
      </w:r>
    </w:p>
    <w:p>
      <w:pPr>
        <w:spacing w:after="0" w:line="31" w:lineRule="exact"/>
        <w:rPr>
          <w:sz w:val="20"/>
          <w:szCs w:val="20"/>
          <w:color w:val="auto"/>
        </w:rPr>
      </w:pPr>
    </w:p>
    <w:p>
      <w:pPr>
        <w:ind w:right="1280"/>
        <w:spacing w:after="0" w:line="243" w:lineRule="auto"/>
        <w:rPr>
          <w:sz w:val="20"/>
          <w:szCs w:val="20"/>
          <w:color w:val="auto"/>
        </w:rPr>
      </w:pPr>
      <w:r>
        <w:rPr>
          <w:rFonts w:ascii="Arial" w:cs="Arial" w:eastAsia="Arial" w:hAnsi="Arial"/>
          <w:sz w:val="19"/>
          <w:szCs w:val="19"/>
          <w:color w:val="auto"/>
        </w:rPr>
        <w:t>Your restricted stock units will vest only upon and only to the extent that the Compensation Committee determines and certifies that Sempra Energy has met specified total shareholder return performance criteria for the performance period beginning on January 1, 2008 and ending at the close of trading on the first New York Stock Exchange trading day of 2012. Any restricted stock units that do not vest upon the Compensation Committee's determination and certification will be forfeited.</w:t>
      </w:r>
    </w:p>
    <w:p>
      <w:pPr>
        <w:spacing w:after="0" w:line="11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Transfer Restrictions:</w:t>
      </w:r>
    </w:p>
    <w:p>
      <w:pPr>
        <w:spacing w:after="0" w:line="31" w:lineRule="exact"/>
        <w:rPr>
          <w:sz w:val="20"/>
          <w:szCs w:val="20"/>
          <w:color w:val="auto"/>
        </w:rPr>
      </w:pPr>
    </w:p>
    <w:p>
      <w:pPr>
        <w:ind w:right="1200"/>
        <w:spacing w:after="0" w:line="261" w:lineRule="auto"/>
        <w:rPr>
          <w:sz w:val="20"/>
          <w:szCs w:val="20"/>
          <w:color w:val="auto"/>
        </w:rPr>
      </w:pPr>
      <w:r>
        <w:rPr>
          <w:rFonts w:ascii="Arial" w:cs="Arial" w:eastAsia="Arial" w:hAnsi="Arial"/>
          <w:sz w:val="19"/>
          <w:szCs w:val="19"/>
          <w:color w:val="auto"/>
        </w:rPr>
        <w:t>Your restricted stock units may not be sold or otherwise transferred and will remain subject to forfeiture conditions until they vest.</w:t>
      </w:r>
    </w:p>
    <w:p>
      <w:pPr>
        <w:spacing w:after="0" w:line="10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Termination of Employment:</w:t>
      </w:r>
    </w:p>
    <w:p>
      <w:pPr>
        <w:spacing w:after="0" w:line="31" w:lineRule="exact"/>
        <w:rPr>
          <w:sz w:val="20"/>
          <w:szCs w:val="20"/>
          <w:color w:val="auto"/>
        </w:rPr>
      </w:pPr>
    </w:p>
    <w:p>
      <w:pPr>
        <w:spacing w:after="0"/>
        <w:rPr>
          <w:sz w:val="20"/>
          <w:szCs w:val="20"/>
          <w:color w:val="auto"/>
        </w:rPr>
      </w:pPr>
      <w:r>
        <w:rPr>
          <w:rFonts w:ascii="Arial" w:cs="Arial" w:eastAsia="Arial" w:hAnsi="Arial"/>
          <w:sz w:val="19"/>
          <w:szCs w:val="19"/>
          <w:color w:val="auto"/>
        </w:rPr>
        <w:t>Your restricted stock units also may be forfeited if your employment terminates.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330200</wp:posOffset>
            </wp:positionV>
            <wp:extent cx="7246620" cy="342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398780</wp:posOffset>
            </wp:positionV>
            <wp:extent cx="7246620" cy="342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300"/>
          </w:cols>
          <w:pgMar w:left="1360" w:top="166" w:right="239" w:bottom="1440" w:gutter="0" w:footer="0" w:header="0"/>
        </w:sectPr>
      </w:pPr>
    </w:p>
    <w:bookmarkStart w:id="53" w:name="page54"/>
    <w:bookmarkEnd w:id="53"/>
    <w:p>
      <w:pPr>
        <w:ind w:right="4760"/>
        <w:spacing w:after="0" w:line="295" w:lineRule="auto"/>
        <w:rPr>
          <w:sz w:val="20"/>
          <w:szCs w:val="20"/>
          <w:color w:val="auto"/>
        </w:rPr>
      </w:pPr>
      <w:r>
        <w:rPr>
          <w:rFonts w:ascii="Arial" w:cs="Arial" w:eastAsia="Arial" w:hAnsi="Arial"/>
          <w:sz w:val="20"/>
          <w:szCs w:val="20"/>
          <w:b w:val="1"/>
          <w:bCs w:val="1"/>
          <w:color w:val="auto"/>
        </w:rPr>
        <w:t>SEMPRA ENERGY 1998 LONG TERM INCENTIVE PLAN Year 2008 Restricted Stock Unit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1120"/>
        <w:spacing w:after="0"/>
        <w:rPr>
          <w:sz w:val="20"/>
          <w:szCs w:val="20"/>
          <w:color w:val="auto"/>
        </w:rPr>
      </w:pPr>
      <w:r>
        <w:rPr>
          <w:rFonts w:ascii="Arial" w:cs="Arial" w:eastAsia="Arial" w:hAnsi="Arial"/>
          <w:sz w:val="19"/>
          <w:szCs w:val="19"/>
          <w:b w:val="1"/>
          <w:bCs w:val="1"/>
          <w:color w:val="auto"/>
        </w:rPr>
        <w:t>Dividend Equivalents:</w:t>
      </w:r>
    </w:p>
    <w:p>
      <w:pPr>
        <w:spacing w:after="0" w:line="31" w:lineRule="exact"/>
        <w:rPr>
          <w:sz w:val="20"/>
          <w:szCs w:val="20"/>
          <w:color w:val="auto"/>
        </w:rPr>
      </w:pPr>
    </w:p>
    <w:p>
      <w:pPr>
        <w:ind w:left="1120"/>
        <w:spacing w:after="0" w:line="254" w:lineRule="auto"/>
        <w:rPr>
          <w:sz w:val="20"/>
          <w:szCs w:val="20"/>
          <w:color w:val="auto"/>
        </w:rPr>
      </w:pPr>
      <w:r>
        <w:rPr>
          <w:rFonts w:ascii="Arial" w:cs="Arial" w:eastAsia="Arial" w:hAnsi="Arial"/>
          <w:sz w:val="18"/>
          <w:szCs w:val="18"/>
          <w:color w:val="auto"/>
        </w:rPr>
        <w:t>You also have been awarded dividend equivalents with respect to your restricted stock units. Your dividend equivalents represent the right to receive additional shares of Common Stock in the future, subject to the terms and conditions of your award. Your dividend equivalents will be determined based on the dividends that you would have received, had you held shares of Common Stock equal to the vested number of your restricted stock units from the date of your award to the date of the distribution of shares of Common Stock following the vesting of your restricted stock units, and assuming that the dividends were reinvested in Common Stock (and any dividends on such shares were reinvested in Common Stock). The dividends will be deemed reinvested in Common Stock in the same manner as dividends reinvested pursuant to the terms of the Sempra Dividend Reinvestment Plan. &amp;nb sp;Your dividend equivalents will be subject to the same transfer restrictions and forfeiture and vesting conditions as the shares represented by your restricted stock units.</w:t>
      </w:r>
    </w:p>
    <w:p>
      <w:pPr>
        <w:spacing w:after="0" w:line="113" w:lineRule="exact"/>
        <w:rPr>
          <w:sz w:val="20"/>
          <w:szCs w:val="20"/>
          <w:color w:val="auto"/>
        </w:rPr>
      </w:pPr>
    </w:p>
    <w:p>
      <w:pPr>
        <w:ind w:left="1120"/>
        <w:spacing w:after="0"/>
        <w:rPr>
          <w:sz w:val="20"/>
          <w:szCs w:val="20"/>
          <w:color w:val="auto"/>
        </w:rPr>
      </w:pPr>
      <w:r>
        <w:rPr>
          <w:rFonts w:ascii="Arial" w:cs="Arial" w:eastAsia="Arial" w:hAnsi="Arial"/>
          <w:sz w:val="19"/>
          <w:szCs w:val="19"/>
          <w:b w:val="1"/>
          <w:bCs w:val="1"/>
          <w:color w:val="auto"/>
        </w:rPr>
        <w:t>Distribution of Shares:</w:t>
      </w:r>
    </w:p>
    <w:p>
      <w:pPr>
        <w:spacing w:after="0" w:line="31" w:lineRule="exact"/>
        <w:rPr>
          <w:sz w:val="20"/>
          <w:szCs w:val="20"/>
          <w:color w:val="auto"/>
        </w:rPr>
      </w:pPr>
    </w:p>
    <w:p>
      <w:pPr>
        <w:ind w:left="1120" w:right="20"/>
        <w:spacing w:after="0" w:line="283" w:lineRule="auto"/>
        <w:rPr>
          <w:sz w:val="20"/>
          <w:szCs w:val="20"/>
          <w:color w:val="auto"/>
        </w:rPr>
      </w:pPr>
      <w:r>
        <w:rPr>
          <w:rFonts w:ascii="Arial" w:cs="Arial" w:eastAsia="Arial" w:hAnsi="Arial"/>
          <w:sz w:val="17"/>
          <w:szCs w:val="17"/>
          <w:color w:val="auto"/>
        </w:rPr>
        <w:t>Shares of Common Stock will be distributed to you to the extent your restricted stock units vest. The shares will be distributed to you after the completion of the performance period ending in January 2012 and the Compensation Committee’s determination and certification of Sempra Energy’s total shareholder return for the performance period. The shares of Common Stock will include the additional shares to be distributed pursuant to your dividend equivalents.</w:t>
      </w:r>
    </w:p>
    <w:p>
      <w:pPr>
        <w:spacing w:after="0" w:line="85" w:lineRule="exact"/>
        <w:rPr>
          <w:sz w:val="20"/>
          <w:szCs w:val="20"/>
          <w:color w:val="auto"/>
        </w:rPr>
      </w:pPr>
    </w:p>
    <w:p>
      <w:pPr>
        <w:ind w:left="1120"/>
        <w:spacing w:after="0"/>
        <w:rPr>
          <w:sz w:val="20"/>
          <w:szCs w:val="20"/>
          <w:color w:val="auto"/>
        </w:rPr>
      </w:pPr>
      <w:r>
        <w:rPr>
          <w:rFonts w:ascii="Arial" w:cs="Arial" w:eastAsia="Arial" w:hAnsi="Arial"/>
          <w:sz w:val="19"/>
          <w:szCs w:val="19"/>
          <w:b w:val="1"/>
          <w:bCs w:val="1"/>
          <w:color w:val="auto"/>
        </w:rPr>
        <w:t>Taxes:</w:t>
      </w:r>
    </w:p>
    <w:p>
      <w:pPr>
        <w:spacing w:after="0" w:line="31" w:lineRule="exact"/>
        <w:rPr>
          <w:sz w:val="20"/>
          <w:szCs w:val="20"/>
          <w:color w:val="auto"/>
        </w:rPr>
      </w:pPr>
    </w:p>
    <w:p>
      <w:pPr>
        <w:ind w:left="1120"/>
        <w:spacing w:after="0" w:line="261" w:lineRule="auto"/>
        <w:rPr>
          <w:sz w:val="20"/>
          <w:szCs w:val="20"/>
          <w:color w:val="auto"/>
        </w:rPr>
      </w:pPr>
      <w:r>
        <w:rPr>
          <w:rFonts w:ascii="Arial" w:cs="Arial" w:eastAsia="Arial" w:hAnsi="Arial"/>
          <w:sz w:val="19"/>
          <w:szCs w:val="19"/>
          <w:color w:val="auto"/>
        </w:rPr>
        <w:t>Upon distribution of shares of Common Stock to you, you will be subject to income taxes on the value of the distributed shares at the time of distribution and must pay applicable withholding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72390</wp:posOffset>
            </wp:positionV>
            <wp:extent cx="5840095" cy="342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840095" cy="34290"/>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140970</wp:posOffset>
            </wp:positionV>
            <wp:extent cx="5840095" cy="342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840095" cy="34290"/>
                    </a:xfrm>
                    <a:prstGeom prst="rect">
                      <a:avLst/>
                    </a:prstGeom>
                    <a:noFill/>
                  </pic:spPr>
                </pic:pic>
              </a:graphicData>
            </a:graphic>
          </wp:anchor>
        </w:drawing>
      </w:r>
    </w:p>
    <w:p>
      <w:pPr>
        <w:spacing w:after="0" w:line="248" w:lineRule="exact"/>
        <w:rPr>
          <w:sz w:val="20"/>
          <w:szCs w:val="20"/>
          <w:color w:val="auto"/>
        </w:rPr>
      </w:pPr>
    </w:p>
    <w:p>
      <w:pPr>
        <w:jc w:val="both"/>
        <w:ind w:left="1120" w:right="200"/>
        <w:spacing w:after="0" w:line="318" w:lineRule="auto"/>
        <w:rPr>
          <w:sz w:val="20"/>
          <w:szCs w:val="20"/>
          <w:color w:val="auto"/>
        </w:rPr>
      </w:pPr>
      <w:r>
        <w:rPr>
          <w:rFonts w:ascii="Arial" w:cs="Arial" w:eastAsia="Arial" w:hAnsi="Arial"/>
          <w:sz w:val="16"/>
          <w:szCs w:val="16"/>
          <w:b w:val="1"/>
          <w:bCs w:val="1"/>
          <w:i w:val="1"/>
          <w:iCs w:val="1"/>
          <w:color w:val="auto"/>
        </w:rPr>
        <w:t>To accept your award you must sign the accompanying copy of this page and promptly return it to Sempra Energy. By doing so, you agree to all of the terms and conditions set forth in this Cover Page/Summary, the attached Year 2008 Restricted Stock Unit Award Agreement and the Sempra Energy 1998 Long Term Incentive Plan.</w:t>
      </w:r>
    </w:p>
    <w:p>
      <w:pPr>
        <w:spacing w:after="0" w:line="344" w:lineRule="exact"/>
        <w:rPr>
          <w:sz w:val="20"/>
          <w:szCs w:val="20"/>
          <w:color w:val="auto"/>
        </w:rPr>
      </w:pPr>
    </w:p>
    <w:tbl>
      <w:tblPr>
        <w:tblLayout w:type="fixed"/>
        <w:tblInd w:w="2560" w:type="dxa"/>
        <w:tblCellMar>
          <w:top w:w="0" w:type="dxa"/>
          <w:left w:w="0" w:type="dxa"/>
          <w:bottom w:w="0" w:type="dxa"/>
          <w:right w:w="0" w:type="dxa"/>
        </w:tblCellMar>
      </w:tblPr>
      <w:tr>
        <w:trPr>
          <w:trHeight w:val="338"/>
        </w:trPr>
        <w:tc>
          <w:tcPr>
            <w:tcW w:w="1740" w:type="dxa"/>
            <w:vAlign w:val="bottom"/>
          </w:tcPr>
          <w:p>
            <w:pPr>
              <w:spacing w:after="0"/>
              <w:rPr>
                <w:sz w:val="20"/>
                <w:szCs w:val="20"/>
                <w:color w:val="auto"/>
              </w:rPr>
            </w:pPr>
            <w:r>
              <w:rPr>
                <w:rFonts w:ascii="Arial" w:cs="Arial" w:eastAsia="Arial" w:hAnsi="Arial"/>
                <w:sz w:val="19"/>
                <w:szCs w:val="19"/>
                <w:color w:val="auto"/>
              </w:rPr>
              <w:t>Recipient:</w:t>
            </w:r>
          </w:p>
        </w:tc>
        <w:tc>
          <w:tcPr>
            <w:tcW w:w="4600" w:type="dxa"/>
            <w:vAlign w:val="bottom"/>
            <w:tcBorders>
              <w:bottom w:val="single" w:sz="8" w:color="auto"/>
            </w:tcBorders>
          </w:tcPr>
          <w:p>
            <w:pPr>
              <w:spacing w:after="0"/>
              <w:rPr>
                <w:sz w:val="20"/>
                <w:szCs w:val="20"/>
                <w:color w:val="auto"/>
              </w:rPr>
            </w:pPr>
            <w:r>
              <w:rPr>
                <w:rFonts w:ascii="Arial" w:cs="Arial" w:eastAsia="Arial" w:hAnsi="Arial"/>
                <w:sz w:val="27"/>
                <w:szCs w:val="27"/>
                <w:b w:val="1"/>
                <w:bCs w:val="1"/>
                <w:color w:val="auto"/>
              </w:rPr>
              <w:t>X</w:t>
            </w:r>
          </w:p>
        </w:tc>
      </w:tr>
      <w:tr>
        <w:trPr>
          <w:trHeight w:val="228"/>
        </w:trPr>
        <w:tc>
          <w:tcPr>
            <w:tcW w:w="1740" w:type="dxa"/>
            <w:vAlign w:val="bottom"/>
          </w:tcPr>
          <w:p>
            <w:pPr>
              <w:spacing w:after="0"/>
              <w:rPr>
                <w:sz w:val="19"/>
                <w:szCs w:val="19"/>
                <w:color w:val="auto"/>
              </w:rPr>
            </w:pPr>
          </w:p>
        </w:tc>
        <w:tc>
          <w:tcPr>
            <w:tcW w:w="4600" w:type="dxa"/>
            <w:vAlign w:val="bottom"/>
          </w:tcPr>
          <w:p>
            <w:pPr>
              <w:jc w:val="center"/>
              <w:spacing w:after="0"/>
              <w:rPr>
                <w:sz w:val="20"/>
                <w:szCs w:val="20"/>
                <w:color w:val="auto"/>
              </w:rPr>
            </w:pPr>
            <w:r>
              <w:rPr>
                <w:rFonts w:ascii="Arial" w:cs="Arial" w:eastAsia="Arial" w:hAnsi="Arial"/>
                <w:sz w:val="19"/>
                <w:szCs w:val="19"/>
                <w:color w:val="auto"/>
                <w:w w:val="91"/>
              </w:rPr>
              <w:t>(Signature)</w:t>
            </w:r>
          </w:p>
        </w:tc>
      </w:tr>
      <w:tr>
        <w:trPr>
          <w:trHeight w:val="252"/>
        </w:trPr>
        <w:tc>
          <w:tcPr>
            <w:tcW w:w="1740" w:type="dxa"/>
            <w:vAlign w:val="bottom"/>
          </w:tcPr>
          <w:p>
            <w:pPr>
              <w:spacing w:after="0"/>
              <w:rPr>
                <w:sz w:val="20"/>
                <w:szCs w:val="20"/>
                <w:color w:val="auto"/>
              </w:rPr>
            </w:pPr>
            <w:r>
              <w:rPr>
                <w:rFonts w:ascii="Arial" w:cs="Arial" w:eastAsia="Arial" w:hAnsi="Arial"/>
                <w:sz w:val="19"/>
                <w:szCs w:val="19"/>
                <w:color w:val="auto"/>
              </w:rPr>
              <w:t>Sempra Energy:</w:t>
            </w:r>
          </w:p>
        </w:tc>
        <w:tc>
          <w:tcPr>
            <w:tcW w:w="460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w w:val="91"/>
              </w:rPr>
              <w:t>/S/ Donald E. Felsinger</w:t>
            </w:r>
          </w:p>
        </w:tc>
      </w:tr>
      <w:tr>
        <w:trPr>
          <w:trHeight w:val="228"/>
        </w:trPr>
        <w:tc>
          <w:tcPr>
            <w:tcW w:w="1740" w:type="dxa"/>
            <w:vAlign w:val="bottom"/>
          </w:tcPr>
          <w:p>
            <w:pPr>
              <w:spacing w:after="0"/>
              <w:rPr>
                <w:sz w:val="19"/>
                <w:szCs w:val="19"/>
                <w:color w:val="auto"/>
              </w:rPr>
            </w:pPr>
          </w:p>
        </w:tc>
        <w:tc>
          <w:tcPr>
            <w:tcW w:w="4600" w:type="dxa"/>
            <w:vAlign w:val="bottom"/>
          </w:tcPr>
          <w:p>
            <w:pPr>
              <w:jc w:val="center"/>
              <w:spacing w:after="0"/>
              <w:rPr>
                <w:sz w:val="20"/>
                <w:szCs w:val="20"/>
                <w:color w:val="auto"/>
              </w:rPr>
            </w:pPr>
            <w:r>
              <w:rPr>
                <w:rFonts w:ascii="Arial" w:cs="Arial" w:eastAsia="Arial" w:hAnsi="Arial"/>
                <w:sz w:val="19"/>
                <w:szCs w:val="19"/>
                <w:color w:val="auto"/>
                <w:w w:val="91"/>
              </w:rPr>
              <w:t>(Signature)</w:t>
            </w:r>
          </w:p>
        </w:tc>
      </w:tr>
      <w:tr>
        <w:trPr>
          <w:trHeight w:val="246"/>
        </w:trPr>
        <w:tc>
          <w:tcPr>
            <w:tcW w:w="1740" w:type="dxa"/>
            <w:vAlign w:val="bottom"/>
          </w:tcPr>
          <w:p>
            <w:pPr>
              <w:spacing w:after="0"/>
              <w:rPr>
                <w:sz w:val="20"/>
                <w:szCs w:val="20"/>
                <w:color w:val="auto"/>
              </w:rPr>
            </w:pPr>
            <w:r>
              <w:rPr>
                <w:rFonts w:ascii="Arial" w:cs="Arial" w:eastAsia="Arial" w:hAnsi="Arial"/>
                <w:sz w:val="19"/>
                <w:szCs w:val="19"/>
                <w:color w:val="auto"/>
              </w:rPr>
              <w:t>Title:</w:t>
            </w:r>
          </w:p>
        </w:tc>
        <w:tc>
          <w:tcPr>
            <w:tcW w:w="460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w w:val="93"/>
              </w:rPr>
              <w:t>Chairman &amp;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20"/>
        <w:spacing w:after="0"/>
        <w:rPr>
          <w:sz w:val="20"/>
          <w:szCs w:val="20"/>
          <w:color w:val="auto"/>
        </w:rPr>
      </w:pPr>
      <w:r>
        <w:rPr>
          <w:rFonts w:ascii="Arial" w:cs="Arial" w:eastAsia="Arial" w:hAnsi="Arial"/>
          <w:sz w:val="17"/>
          <w:szCs w:val="17"/>
          <w:color w:val="auto"/>
        </w:rPr>
        <w:t>Page 2</w:t>
      </w:r>
    </w:p>
    <w:p>
      <w:pPr>
        <w:sectPr>
          <w:pgSz w:w="11900" w:h="16838" w:orient="portrait"/>
          <w:cols w:equalWidth="0" w:num="1">
            <w:col w:w="10220"/>
          </w:cols>
          <w:pgMar w:left="240" w:top="120" w:right="14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76"/>
        </w:trPr>
        <w:tc>
          <w:tcPr>
            <w:tcW w:w="11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7840" w:type="dxa"/>
            <w:vAlign w:val="bottom"/>
          </w:tcPr>
          <w:p>
            <w:pPr>
              <w:jc w:val="center"/>
              <w:ind w:right="1174"/>
              <w:spacing w:after="0"/>
              <w:rPr>
                <w:sz w:val="20"/>
                <w:szCs w:val="20"/>
                <w:color w:val="auto"/>
              </w:rPr>
            </w:pPr>
            <w:r>
              <w:rPr>
                <w:rFonts w:ascii="Arial" w:cs="Arial" w:eastAsia="Arial" w:hAnsi="Arial"/>
                <w:sz w:val="24"/>
                <w:szCs w:val="24"/>
                <w:b w:val="1"/>
                <w:bCs w:val="1"/>
                <w:color w:val="auto"/>
              </w:rPr>
              <w:t>SEMPRA ENERGY</w:t>
            </w:r>
          </w:p>
        </w:tc>
        <w:tc>
          <w:tcPr>
            <w:tcW w:w="1140" w:type="dxa"/>
            <w:vAlign w:val="bottom"/>
          </w:tcPr>
          <w:p>
            <w:pPr>
              <w:spacing w:after="0"/>
              <w:rPr>
                <w:sz w:val="23"/>
                <w:szCs w:val="23"/>
                <w:color w:val="auto"/>
              </w:rPr>
            </w:pPr>
          </w:p>
        </w:tc>
      </w:tr>
      <w:tr>
        <w:trPr>
          <w:trHeight w:val="317"/>
        </w:trPr>
        <w:tc>
          <w:tcPr>
            <w:tcW w:w="1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840" w:type="dxa"/>
            <w:vAlign w:val="bottom"/>
          </w:tcPr>
          <w:p>
            <w:pPr>
              <w:jc w:val="center"/>
              <w:ind w:right="1194"/>
              <w:spacing w:after="0"/>
              <w:rPr>
                <w:sz w:val="20"/>
                <w:szCs w:val="20"/>
                <w:color w:val="auto"/>
              </w:rPr>
            </w:pPr>
            <w:r>
              <w:rPr>
                <w:rFonts w:ascii="Arial" w:cs="Arial" w:eastAsia="Arial" w:hAnsi="Arial"/>
                <w:sz w:val="24"/>
                <w:szCs w:val="24"/>
                <w:b w:val="1"/>
                <w:bCs w:val="1"/>
                <w:color w:val="auto"/>
              </w:rPr>
              <w:t>1998 LONG TERM INCENTIVE PLAN</w:t>
            </w:r>
          </w:p>
        </w:tc>
        <w:tc>
          <w:tcPr>
            <w:tcW w:w="1140" w:type="dxa"/>
            <w:vAlign w:val="bottom"/>
          </w:tcPr>
          <w:p>
            <w:pPr>
              <w:spacing w:after="0"/>
              <w:rPr>
                <w:sz w:val="24"/>
                <w:szCs w:val="24"/>
                <w:color w:val="auto"/>
              </w:rPr>
            </w:pPr>
          </w:p>
        </w:tc>
      </w:tr>
      <w:tr>
        <w:trPr>
          <w:trHeight w:val="513"/>
        </w:trPr>
        <w:tc>
          <w:tcPr>
            <w:tcW w:w="1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840" w:type="dxa"/>
            <w:vAlign w:val="bottom"/>
          </w:tcPr>
          <w:p>
            <w:pPr>
              <w:jc w:val="center"/>
              <w:ind w:right="1174"/>
              <w:spacing w:after="0"/>
              <w:rPr>
                <w:sz w:val="20"/>
                <w:szCs w:val="20"/>
                <w:color w:val="auto"/>
              </w:rPr>
            </w:pPr>
            <w:r>
              <w:rPr>
                <w:rFonts w:ascii="Arial" w:cs="Arial" w:eastAsia="Arial" w:hAnsi="Arial"/>
                <w:sz w:val="24"/>
                <w:szCs w:val="24"/>
                <w:b w:val="1"/>
                <w:bCs w:val="1"/>
                <w:color w:val="auto"/>
                <w:w w:val="92"/>
              </w:rPr>
              <w:t>Year 2008 Restricted Stock Unit Award Agreement</w:t>
            </w:r>
          </w:p>
        </w:tc>
        <w:tc>
          <w:tcPr>
            <w:tcW w:w="1140" w:type="dxa"/>
            <w:vAlign w:val="bottom"/>
          </w:tcPr>
          <w:p>
            <w:pPr>
              <w:spacing w:after="0"/>
              <w:rPr>
                <w:sz w:val="24"/>
                <w:szCs w:val="24"/>
                <w:color w:val="auto"/>
              </w:rPr>
            </w:pPr>
          </w:p>
        </w:tc>
      </w:tr>
      <w:tr>
        <w:trPr>
          <w:trHeight w:val="286"/>
        </w:trPr>
        <w:tc>
          <w:tcPr>
            <w:tcW w:w="1160" w:type="dxa"/>
            <w:vAlign w:val="bottom"/>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7840" w:type="dxa"/>
            <w:vAlign w:val="bottom"/>
            <w:tcBorders>
              <w:bottom w:val="single" w:sz="8" w:color="auto"/>
            </w:tcBorders>
          </w:tcPr>
          <w:p>
            <w:pPr>
              <w:spacing w:after="0"/>
              <w:rPr>
                <w:sz w:val="24"/>
                <w:szCs w:val="24"/>
                <w:color w:val="auto"/>
              </w:rPr>
            </w:pPr>
          </w:p>
        </w:tc>
        <w:tc>
          <w:tcPr>
            <w:tcW w:w="1140" w:type="dxa"/>
            <w:vAlign w:val="bottom"/>
          </w:tcPr>
          <w:p>
            <w:pPr>
              <w:spacing w:after="0"/>
              <w:rPr>
                <w:sz w:val="24"/>
                <w:szCs w:val="24"/>
                <w:color w:val="auto"/>
              </w:rPr>
            </w:pPr>
          </w:p>
        </w:tc>
      </w:tr>
      <w:tr>
        <w:trPr>
          <w:trHeight w:val="88"/>
        </w:trPr>
        <w:tc>
          <w:tcPr>
            <w:tcW w:w="1160" w:type="dxa"/>
            <w:vAlign w:val="bottom"/>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7840" w:type="dxa"/>
            <w:vAlign w:val="bottom"/>
            <w:tcBorders>
              <w:bottom w:val="single" w:sz="8" w:color="auto"/>
            </w:tcBorders>
          </w:tcPr>
          <w:p>
            <w:pPr>
              <w:spacing w:after="0"/>
              <w:rPr>
                <w:sz w:val="7"/>
                <w:szCs w:val="7"/>
                <w:color w:val="auto"/>
              </w:rPr>
            </w:pPr>
          </w:p>
        </w:tc>
        <w:tc>
          <w:tcPr>
            <w:tcW w:w="1140" w:type="dxa"/>
            <w:vAlign w:val="bottom"/>
          </w:tcPr>
          <w:p>
            <w:pPr>
              <w:spacing w:after="0"/>
              <w:rPr>
                <w:sz w:val="7"/>
                <w:szCs w:val="7"/>
                <w:color w:val="auto"/>
              </w:rPr>
            </w:pPr>
          </w:p>
        </w:tc>
      </w:tr>
      <w:tr>
        <w:trPr>
          <w:trHeight w:val="378"/>
        </w:trPr>
        <w:tc>
          <w:tcPr>
            <w:tcW w:w="116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21"/>
                <w:szCs w:val="21"/>
                <w:b w:val="1"/>
                <w:bCs w:val="1"/>
                <w:color w:val="auto"/>
              </w:rPr>
              <w:t>Award:</w:t>
            </w:r>
          </w:p>
        </w:tc>
        <w:tc>
          <w:tcPr>
            <w:tcW w:w="7840" w:type="dxa"/>
            <w:vAlign w:val="bottom"/>
          </w:tcPr>
          <w:p>
            <w:pPr>
              <w:ind w:left="1340"/>
              <w:spacing w:after="0"/>
              <w:rPr>
                <w:sz w:val="20"/>
                <w:szCs w:val="20"/>
                <w:color w:val="auto"/>
              </w:rPr>
            </w:pPr>
            <w:r>
              <w:rPr>
                <w:rFonts w:ascii="Arial" w:cs="Arial" w:eastAsia="Arial" w:hAnsi="Arial"/>
                <w:sz w:val="21"/>
                <w:szCs w:val="21"/>
                <w:color w:val="auto"/>
                <w:w w:val="88"/>
              </w:rPr>
              <w:t>You have been granted a performance-based restricted stock unit award under</w:t>
            </w:r>
          </w:p>
        </w:tc>
        <w:tc>
          <w:tcPr>
            <w:tcW w:w="1140" w:type="dxa"/>
            <w:vAlign w:val="bottom"/>
          </w:tcPr>
          <w:p>
            <w:pPr>
              <w:spacing w:after="0"/>
              <w:rPr>
                <w:sz w:val="24"/>
                <w:szCs w:val="24"/>
                <w:color w:val="auto"/>
              </w:rPr>
            </w:pPr>
          </w:p>
        </w:tc>
      </w:tr>
      <w:tr>
        <w:trPr>
          <w:trHeight w:val="243"/>
        </w:trPr>
        <w:tc>
          <w:tcPr>
            <w:tcW w:w="11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7840" w:type="dxa"/>
            <w:vAlign w:val="bottom"/>
          </w:tcPr>
          <w:p>
            <w:pPr>
              <w:ind w:left="1340"/>
              <w:spacing w:after="0"/>
              <w:rPr>
                <w:sz w:val="20"/>
                <w:szCs w:val="20"/>
                <w:color w:val="auto"/>
              </w:rPr>
            </w:pPr>
            <w:r>
              <w:rPr>
                <w:rFonts w:ascii="Arial" w:cs="Arial" w:eastAsia="Arial" w:hAnsi="Arial"/>
                <w:sz w:val="21"/>
                <w:szCs w:val="21"/>
                <w:color w:val="auto"/>
                <w:w w:val="91"/>
              </w:rPr>
              <w:t>Sempra Energy’s 1998 Long Term Incentive Plan. The award consists of the</w:t>
            </w:r>
          </w:p>
        </w:tc>
        <w:tc>
          <w:tcPr>
            <w:tcW w:w="1140" w:type="dxa"/>
            <w:vAlign w:val="bottom"/>
          </w:tcPr>
          <w:p>
            <w:pPr>
              <w:spacing w:after="0"/>
              <w:rPr>
                <w:sz w:val="21"/>
                <w:szCs w:val="21"/>
                <w:color w:val="auto"/>
              </w:rPr>
            </w:pPr>
          </w:p>
        </w:tc>
      </w:tr>
      <w:tr>
        <w:trPr>
          <w:trHeight w:val="243"/>
        </w:trPr>
        <w:tc>
          <w:tcPr>
            <w:tcW w:w="11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7840" w:type="dxa"/>
            <w:vAlign w:val="bottom"/>
          </w:tcPr>
          <w:p>
            <w:pPr>
              <w:ind w:left="1340"/>
              <w:spacing w:after="0"/>
              <w:rPr>
                <w:sz w:val="20"/>
                <w:szCs w:val="20"/>
                <w:color w:val="auto"/>
              </w:rPr>
            </w:pPr>
            <w:r>
              <w:rPr>
                <w:rFonts w:ascii="Arial" w:cs="Arial" w:eastAsia="Arial" w:hAnsi="Arial"/>
                <w:sz w:val="21"/>
                <w:szCs w:val="21"/>
                <w:color w:val="auto"/>
                <w:w w:val="91"/>
              </w:rPr>
              <w:t>number of restricted stock units set forth on the Cover Page/Summary to this</w:t>
            </w:r>
          </w:p>
        </w:tc>
        <w:tc>
          <w:tcPr>
            <w:tcW w:w="1140" w:type="dxa"/>
            <w:vAlign w:val="bottom"/>
          </w:tcPr>
          <w:p>
            <w:pPr>
              <w:spacing w:after="0"/>
              <w:rPr>
                <w:sz w:val="21"/>
                <w:szCs w:val="21"/>
                <w:color w:val="auto"/>
              </w:rPr>
            </w:pPr>
          </w:p>
        </w:tc>
      </w:tr>
      <w:tr>
        <w:trPr>
          <w:trHeight w:val="243"/>
        </w:trPr>
        <w:tc>
          <w:tcPr>
            <w:tcW w:w="11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7840" w:type="dxa"/>
            <w:vAlign w:val="bottom"/>
          </w:tcPr>
          <w:p>
            <w:pPr>
              <w:ind w:left="1340"/>
              <w:spacing w:after="0"/>
              <w:rPr>
                <w:sz w:val="20"/>
                <w:szCs w:val="20"/>
                <w:color w:val="auto"/>
              </w:rPr>
            </w:pPr>
            <w:r>
              <w:rPr>
                <w:rFonts w:ascii="Arial" w:cs="Arial" w:eastAsia="Arial" w:hAnsi="Arial"/>
                <w:sz w:val="21"/>
                <w:szCs w:val="21"/>
                <w:color w:val="auto"/>
                <w:w w:val="90"/>
              </w:rPr>
              <w:t>Agreement, and dividend equivalents with respect to the restricted stock units</w:t>
            </w:r>
          </w:p>
        </w:tc>
        <w:tc>
          <w:tcPr>
            <w:tcW w:w="1140" w:type="dxa"/>
            <w:vAlign w:val="bottom"/>
          </w:tcPr>
          <w:p>
            <w:pPr>
              <w:spacing w:after="0"/>
              <w:rPr>
                <w:sz w:val="21"/>
                <w:szCs w:val="21"/>
                <w:color w:val="auto"/>
              </w:rPr>
            </w:pPr>
          </w:p>
        </w:tc>
      </w:tr>
      <w:tr>
        <w:trPr>
          <w:trHeight w:val="264"/>
        </w:trPr>
        <w:tc>
          <w:tcPr>
            <w:tcW w:w="11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7840" w:type="dxa"/>
            <w:vAlign w:val="bottom"/>
          </w:tcPr>
          <w:p>
            <w:pPr>
              <w:ind w:left="1340"/>
              <w:spacing w:after="0"/>
              <w:rPr>
                <w:sz w:val="20"/>
                <w:szCs w:val="20"/>
                <w:color w:val="auto"/>
              </w:rPr>
            </w:pPr>
            <w:r>
              <w:rPr>
                <w:rFonts w:ascii="Arial" w:cs="Arial" w:eastAsia="Arial" w:hAnsi="Arial"/>
                <w:sz w:val="21"/>
                <w:szCs w:val="21"/>
                <w:color w:val="auto"/>
              </w:rPr>
              <w:t>(described below).</w:t>
            </w:r>
          </w:p>
        </w:tc>
        <w:tc>
          <w:tcPr>
            <w:tcW w:w="1140" w:type="dxa"/>
            <w:vAlign w:val="bottom"/>
          </w:tcPr>
          <w:p>
            <w:pPr>
              <w:spacing w:after="0"/>
              <w:rPr>
                <w:sz w:val="22"/>
                <w:szCs w:val="22"/>
                <w:color w:val="auto"/>
              </w:rPr>
            </w:pPr>
          </w:p>
        </w:tc>
      </w:tr>
      <w:tr>
        <w:trPr>
          <w:trHeight w:val="438"/>
        </w:trPr>
        <w:tc>
          <w:tcPr>
            <w:tcW w:w="1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840" w:type="dxa"/>
            <w:vAlign w:val="bottom"/>
          </w:tcPr>
          <w:p>
            <w:pPr>
              <w:ind w:left="1340"/>
              <w:spacing w:after="0"/>
              <w:rPr>
                <w:sz w:val="20"/>
                <w:szCs w:val="20"/>
                <w:color w:val="auto"/>
              </w:rPr>
            </w:pPr>
            <w:r>
              <w:rPr>
                <w:rFonts w:ascii="Arial" w:cs="Arial" w:eastAsia="Arial" w:hAnsi="Arial"/>
                <w:sz w:val="21"/>
                <w:szCs w:val="21"/>
                <w:color w:val="auto"/>
                <w:w w:val="92"/>
              </w:rPr>
              <w:t>Your restricted stock units represent the right to receive shares of Common</w:t>
            </w:r>
          </w:p>
        </w:tc>
        <w:tc>
          <w:tcPr>
            <w:tcW w:w="1140" w:type="dxa"/>
            <w:vAlign w:val="bottom"/>
          </w:tcPr>
          <w:p>
            <w:pPr>
              <w:spacing w:after="0"/>
              <w:rPr>
                <w:sz w:val="24"/>
                <w:szCs w:val="24"/>
                <w:color w:val="auto"/>
              </w:rPr>
            </w:pPr>
          </w:p>
        </w:tc>
      </w:tr>
      <w:tr>
        <w:trPr>
          <w:trHeight w:val="243"/>
        </w:trPr>
        <w:tc>
          <w:tcPr>
            <w:tcW w:w="11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7840" w:type="dxa"/>
            <w:vAlign w:val="bottom"/>
          </w:tcPr>
          <w:p>
            <w:pPr>
              <w:ind w:left="1340"/>
              <w:spacing w:after="0"/>
              <w:rPr>
                <w:sz w:val="20"/>
                <w:szCs w:val="20"/>
                <w:color w:val="auto"/>
              </w:rPr>
            </w:pPr>
            <w:r>
              <w:rPr>
                <w:rFonts w:ascii="Arial" w:cs="Arial" w:eastAsia="Arial" w:hAnsi="Arial"/>
                <w:sz w:val="21"/>
                <w:szCs w:val="21"/>
                <w:color w:val="auto"/>
                <w:w w:val="93"/>
              </w:rPr>
              <w:t>Stock in the future, subject to the terms and conditions of your award. Your</w:t>
            </w:r>
          </w:p>
        </w:tc>
        <w:tc>
          <w:tcPr>
            <w:tcW w:w="1140" w:type="dxa"/>
            <w:vAlign w:val="bottom"/>
          </w:tcPr>
          <w:p>
            <w:pPr>
              <w:spacing w:after="0"/>
              <w:rPr>
                <w:sz w:val="21"/>
                <w:szCs w:val="21"/>
                <w:color w:val="auto"/>
              </w:rPr>
            </w:pPr>
          </w:p>
        </w:tc>
      </w:tr>
      <w:tr>
        <w:trPr>
          <w:trHeight w:val="264"/>
        </w:trPr>
        <w:tc>
          <w:tcPr>
            <w:tcW w:w="11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7840" w:type="dxa"/>
            <w:vAlign w:val="bottom"/>
          </w:tcPr>
          <w:p>
            <w:pPr>
              <w:ind w:left="1340"/>
              <w:spacing w:after="0"/>
              <w:rPr>
                <w:sz w:val="20"/>
                <w:szCs w:val="20"/>
                <w:color w:val="auto"/>
              </w:rPr>
            </w:pPr>
            <w:r>
              <w:rPr>
                <w:rFonts w:ascii="Arial" w:cs="Arial" w:eastAsia="Arial" w:hAnsi="Arial"/>
                <w:sz w:val="21"/>
                <w:szCs w:val="21"/>
                <w:color w:val="auto"/>
              </w:rPr>
              <w:t>restricted stock units are not shares of Common Stock.</w:t>
            </w:r>
          </w:p>
        </w:tc>
        <w:tc>
          <w:tcPr>
            <w:tcW w:w="1140" w:type="dxa"/>
            <w:vAlign w:val="bottom"/>
          </w:tcPr>
          <w:p>
            <w:pPr>
              <w:spacing w:after="0"/>
              <w:rPr>
                <w:sz w:val="22"/>
                <w:szCs w:val="22"/>
                <w:color w:val="auto"/>
              </w:rPr>
            </w:pPr>
          </w:p>
        </w:tc>
      </w:tr>
      <w:tr>
        <w:trPr>
          <w:trHeight w:val="438"/>
        </w:trPr>
        <w:tc>
          <w:tcPr>
            <w:tcW w:w="1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840" w:type="dxa"/>
            <w:vAlign w:val="bottom"/>
          </w:tcPr>
          <w:p>
            <w:pPr>
              <w:ind w:left="1340"/>
              <w:spacing w:after="0"/>
              <w:rPr>
                <w:sz w:val="20"/>
                <w:szCs w:val="20"/>
                <w:color w:val="auto"/>
              </w:rPr>
            </w:pPr>
            <w:r>
              <w:rPr>
                <w:rFonts w:ascii="Arial" w:cs="Arial" w:eastAsia="Arial" w:hAnsi="Arial"/>
                <w:sz w:val="21"/>
                <w:szCs w:val="21"/>
                <w:color w:val="auto"/>
              </w:rPr>
              <w:t>Each restricted stock unit represents the right to receive one share of</w:t>
            </w:r>
          </w:p>
        </w:tc>
        <w:tc>
          <w:tcPr>
            <w:tcW w:w="1140" w:type="dxa"/>
            <w:vAlign w:val="bottom"/>
          </w:tcPr>
          <w:p>
            <w:pPr>
              <w:spacing w:after="0"/>
              <w:rPr>
                <w:sz w:val="24"/>
                <w:szCs w:val="24"/>
                <w:color w:val="auto"/>
              </w:rPr>
            </w:pPr>
          </w:p>
        </w:tc>
      </w:tr>
      <w:tr>
        <w:trPr>
          <w:trHeight w:val="264"/>
        </w:trPr>
        <w:tc>
          <w:tcPr>
            <w:tcW w:w="11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7840" w:type="dxa"/>
            <w:vAlign w:val="bottom"/>
          </w:tcPr>
          <w:p>
            <w:pPr>
              <w:ind w:left="1340"/>
              <w:spacing w:after="0"/>
              <w:rPr>
                <w:sz w:val="20"/>
                <w:szCs w:val="20"/>
                <w:color w:val="auto"/>
              </w:rPr>
            </w:pPr>
            <w:r>
              <w:rPr>
                <w:rFonts w:ascii="Arial" w:cs="Arial" w:eastAsia="Arial" w:hAnsi="Arial"/>
                <w:sz w:val="21"/>
                <w:szCs w:val="21"/>
                <w:color w:val="auto"/>
              </w:rPr>
              <w:t>Common Stock upon the vesting of the unit.</w:t>
            </w:r>
          </w:p>
        </w:tc>
        <w:tc>
          <w:tcPr>
            <w:tcW w:w="1140" w:type="dxa"/>
            <w:vAlign w:val="bottom"/>
          </w:tcPr>
          <w:p>
            <w:pPr>
              <w:spacing w:after="0"/>
              <w:rPr>
                <w:sz w:val="22"/>
                <w:szCs w:val="22"/>
                <w:color w:val="auto"/>
              </w:rPr>
            </w:pPr>
          </w:p>
        </w:tc>
      </w:tr>
      <w:tr>
        <w:trPr>
          <w:trHeight w:val="438"/>
        </w:trPr>
        <w:tc>
          <w:tcPr>
            <w:tcW w:w="1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840" w:type="dxa"/>
            <w:vAlign w:val="bottom"/>
          </w:tcPr>
          <w:p>
            <w:pPr>
              <w:ind w:left="1340"/>
              <w:spacing w:after="0"/>
              <w:rPr>
                <w:sz w:val="20"/>
                <w:szCs w:val="20"/>
                <w:color w:val="auto"/>
              </w:rPr>
            </w:pPr>
            <w:r>
              <w:rPr>
                <w:rFonts w:ascii="Arial" w:cs="Arial" w:eastAsia="Arial" w:hAnsi="Arial"/>
                <w:sz w:val="21"/>
                <w:szCs w:val="21"/>
                <w:color w:val="auto"/>
                <w:w w:val="99"/>
              </w:rPr>
              <w:t>Unless and until they vest, your restricted stock units and any dividend</w:t>
            </w:r>
          </w:p>
        </w:tc>
        <w:tc>
          <w:tcPr>
            <w:tcW w:w="1140" w:type="dxa"/>
            <w:vAlign w:val="bottom"/>
          </w:tcPr>
          <w:p>
            <w:pPr>
              <w:spacing w:after="0"/>
              <w:rPr>
                <w:sz w:val="24"/>
                <w:szCs w:val="24"/>
                <w:color w:val="auto"/>
              </w:rPr>
            </w:pPr>
          </w:p>
        </w:tc>
      </w:tr>
      <w:tr>
        <w:trPr>
          <w:trHeight w:val="243"/>
        </w:trPr>
        <w:tc>
          <w:tcPr>
            <w:tcW w:w="11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7840" w:type="dxa"/>
            <w:vAlign w:val="bottom"/>
          </w:tcPr>
          <w:p>
            <w:pPr>
              <w:ind w:left="1340"/>
              <w:spacing w:after="0"/>
              <w:rPr>
                <w:sz w:val="20"/>
                <w:szCs w:val="20"/>
                <w:color w:val="auto"/>
              </w:rPr>
            </w:pPr>
            <w:r>
              <w:rPr>
                <w:rFonts w:ascii="Arial" w:cs="Arial" w:eastAsia="Arial" w:hAnsi="Arial"/>
                <w:sz w:val="21"/>
                <w:szCs w:val="21"/>
                <w:color w:val="auto"/>
                <w:w w:val="93"/>
              </w:rPr>
              <w:t>equivalents (as described below) will be subject to transfer restrictions and</w:t>
            </w:r>
          </w:p>
        </w:tc>
        <w:tc>
          <w:tcPr>
            <w:tcW w:w="1140" w:type="dxa"/>
            <w:vAlign w:val="bottom"/>
          </w:tcPr>
          <w:p>
            <w:pPr>
              <w:spacing w:after="0"/>
              <w:rPr>
                <w:sz w:val="21"/>
                <w:szCs w:val="21"/>
                <w:color w:val="auto"/>
              </w:rPr>
            </w:pPr>
          </w:p>
        </w:tc>
      </w:tr>
      <w:tr>
        <w:trPr>
          <w:trHeight w:val="264"/>
        </w:trPr>
        <w:tc>
          <w:tcPr>
            <w:tcW w:w="11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7840" w:type="dxa"/>
            <w:vAlign w:val="bottom"/>
          </w:tcPr>
          <w:p>
            <w:pPr>
              <w:ind w:left="1340"/>
              <w:spacing w:after="0"/>
              <w:rPr>
                <w:sz w:val="20"/>
                <w:szCs w:val="20"/>
                <w:color w:val="auto"/>
              </w:rPr>
            </w:pPr>
            <w:r>
              <w:rPr>
                <w:rFonts w:ascii="Arial" w:cs="Arial" w:eastAsia="Arial" w:hAnsi="Arial"/>
                <w:sz w:val="21"/>
                <w:szCs w:val="21"/>
                <w:color w:val="auto"/>
              </w:rPr>
              <w:t>forfeiture and vesting conditions.</w:t>
            </w:r>
          </w:p>
        </w:tc>
        <w:tc>
          <w:tcPr>
            <w:tcW w:w="1140" w:type="dxa"/>
            <w:vAlign w:val="bottom"/>
          </w:tcPr>
          <w:p>
            <w:pPr>
              <w:spacing w:after="0"/>
              <w:rPr>
                <w:sz w:val="22"/>
                <w:szCs w:val="22"/>
                <w:color w:val="auto"/>
              </w:rPr>
            </w:pPr>
          </w:p>
        </w:tc>
      </w:tr>
      <w:tr>
        <w:trPr>
          <w:trHeight w:val="330"/>
        </w:trPr>
        <w:tc>
          <w:tcPr>
            <w:tcW w:w="1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840" w:type="dxa"/>
            <w:vAlign w:val="bottom"/>
          </w:tcPr>
          <w:p>
            <w:pPr>
              <w:ind w:left="1340"/>
              <w:spacing w:after="0"/>
              <w:rPr>
                <w:sz w:val="20"/>
                <w:szCs w:val="20"/>
                <w:color w:val="auto"/>
              </w:rPr>
            </w:pPr>
            <w:r>
              <w:rPr>
                <w:rFonts w:ascii="Arial" w:cs="Arial" w:eastAsia="Arial" w:hAnsi="Arial"/>
                <w:sz w:val="21"/>
                <w:szCs w:val="21"/>
                <w:color w:val="auto"/>
                <w:w w:val="91"/>
              </w:rPr>
              <w:t>Your restricted stock units (and dividend equivalents) will vest only upon and</w:t>
            </w:r>
          </w:p>
        </w:tc>
        <w:tc>
          <w:tcPr>
            <w:tcW w:w="1140" w:type="dxa"/>
            <w:vAlign w:val="bottom"/>
          </w:tcPr>
          <w:p>
            <w:pPr>
              <w:spacing w:after="0"/>
              <w:rPr>
                <w:sz w:val="24"/>
                <w:szCs w:val="24"/>
                <w:color w:val="auto"/>
              </w:rPr>
            </w:pPr>
          </w:p>
        </w:tc>
      </w:tr>
      <w:tr>
        <w:trPr>
          <w:trHeight w:val="243"/>
        </w:trPr>
        <w:tc>
          <w:tcPr>
            <w:tcW w:w="11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7840" w:type="dxa"/>
            <w:vAlign w:val="bottom"/>
          </w:tcPr>
          <w:p>
            <w:pPr>
              <w:ind w:left="1340"/>
              <w:spacing w:after="0"/>
              <w:rPr>
                <w:sz w:val="20"/>
                <w:szCs w:val="20"/>
                <w:color w:val="auto"/>
              </w:rPr>
            </w:pPr>
            <w:r>
              <w:rPr>
                <w:rFonts w:ascii="Arial" w:cs="Arial" w:eastAsia="Arial" w:hAnsi="Arial"/>
                <w:sz w:val="21"/>
                <w:szCs w:val="21"/>
                <w:color w:val="auto"/>
                <w:w w:val="96"/>
              </w:rPr>
              <w:t>only to the extent that the Compensation Committee of Sempra Energy's</w:t>
            </w:r>
          </w:p>
        </w:tc>
        <w:tc>
          <w:tcPr>
            <w:tcW w:w="1140" w:type="dxa"/>
            <w:vAlign w:val="bottom"/>
          </w:tcPr>
          <w:p>
            <w:pPr>
              <w:spacing w:after="0"/>
              <w:rPr>
                <w:sz w:val="21"/>
                <w:szCs w:val="21"/>
                <w:color w:val="auto"/>
              </w:rPr>
            </w:pPr>
          </w:p>
        </w:tc>
      </w:tr>
      <w:tr>
        <w:trPr>
          <w:trHeight w:val="243"/>
        </w:trPr>
        <w:tc>
          <w:tcPr>
            <w:tcW w:w="11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7840" w:type="dxa"/>
            <w:vAlign w:val="bottom"/>
          </w:tcPr>
          <w:p>
            <w:pPr>
              <w:ind w:left="1340"/>
              <w:spacing w:after="0"/>
              <w:rPr>
                <w:sz w:val="20"/>
                <w:szCs w:val="20"/>
                <w:color w:val="auto"/>
              </w:rPr>
            </w:pPr>
            <w:r>
              <w:rPr>
                <w:rFonts w:ascii="Arial" w:cs="Arial" w:eastAsia="Arial" w:hAnsi="Arial"/>
                <w:sz w:val="21"/>
                <w:szCs w:val="21"/>
                <w:color w:val="auto"/>
                <w:w w:val="96"/>
              </w:rPr>
              <w:t>Board of Directors determines and certifies that Sempra Energy has met</w:t>
            </w:r>
          </w:p>
        </w:tc>
        <w:tc>
          <w:tcPr>
            <w:tcW w:w="1140" w:type="dxa"/>
            <w:vAlign w:val="bottom"/>
          </w:tcPr>
          <w:p>
            <w:pPr>
              <w:spacing w:after="0"/>
              <w:rPr>
                <w:sz w:val="21"/>
                <w:szCs w:val="21"/>
                <w:color w:val="auto"/>
              </w:rPr>
            </w:pPr>
          </w:p>
        </w:tc>
      </w:tr>
      <w:tr>
        <w:trPr>
          <w:trHeight w:val="243"/>
        </w:trPr>
        <w:tc>
          <w:tcPr>
            <w:tcW w:w="11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7840" w:type="dxa"/>
            <w:vAlign w:val="bottom"/>
          </w:tcPr>
          <w:p>
            <w:pPr>
              <w:ind w:left="1340"/>
              <w:spacing w:after="0"/>
              <w:rPr>
                <w:sz w:val="20"/>
                <w:szCs w:val="20"/>
                <w:color w:val="auto"/>
              </w:rPr>
            </w:pPr>
            <w:r>
              <w:rPr>
                <w:rFonts w:ascii="Arial" w:cs="Arial" w:eastAsia="Arial" w:hAnsi="Arial"/>
                <w:sz w:val="21"/>
                <w:szCs w:val="21"/>
                <w:color w:val="auto"/>
              </w:rPr>
              <w:t>specified total shareholder return criteria for the performance period</w:t>
            </w:r>
          </w:p>
        </w:tc>
        <w:tc>
          <w:tcPr>
            <w:tcW w:w="1140" w:type="dxa"/>
            <w:vAlign w:val="bottom"/>
          </w:tcPr>
          <w:p>
            <w:pPr>
              <w:spacing w:after="0"/>
              <w:rPr>
                <w:sz w:val="21"/>
                <w:szCs w:val="21"/>
                <w:color w:val="auto"/>
              </w:rPr>
            </w:pPr>
          </w:p>
        </w:tc>
      </w:tr>
      <w:tr>
        <w:trPr>
          <w:trHeight w:val="243"/>
        </w:trPr>
        <w:tc>
          <w:tcPr>
            <w:tcW w:w="11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7840" w:type="dxa"/>
            <w:vAlign w:val="bottom"/>
          </w:tcPr>
          <w:p>
            <w:pPr>
              <w:ind w:left="1340"/>
              <w:spacing w:after="0"/>
              <w:rPr>
                <w:sz w:val="20"/>
                <w:szCs w:val="20"/>
                <w:color w:val="auto"/>
              </w:rPr>
            </w:pPr>
            <w:r>
              <w:rPr>
                <w:rFonts w:ascii="Arial" w:cs="Arial" w:eastAsia="Arial" w:hAnsi="Arial"/>
                <w:sz w:val="21"/>
                <w:szCs w:val="21"/>
                <w:color w:val="auto"/>
                <w:w w:val="91"/>
              </w:rPr>
              <w:t>beginning January 1, 2008 and ending in January 2012. Any restricted stock</w:t>
            </w:r>
          </w:p>
        </w:tc>
        <w:tc>
          <w:tcPr>
            <w:tcW w:w="1140" w:type="dxa"/>
            <w:vAlign w:val="bottom"/>
          </w:tcPr>
          <w:p>
            <w:pPr>
              <w:spacing w:after="0"/>
              <w:rPr>
                <w:sz w:val="21"/>
                <w:szCs w:val="21"/>
                <w:color w:val="auto"/>
              </w:rPr>
            </w:pPr>
          </w:p>
        </w:tc>
      </w:tr>
      <w:tr>
        <w:trPr>
          <w:trHeight w:val="243"/>
        </w:trPr>
        <w:tc>
          <w:tcPr>
            <w:tcW w:w="11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7840" w:type="dxa"/>
            <w:vAlign w:val="bottom"/>
          </w:tcPr>
          <w:p>
            <w:pPr>
              <w:ind w:left="1340"/>
              <w:spacing w:after="0"/>
              <w:rPr>
                <w:sz w:val="20"/>
                <w:szCs w:val="20"/>
                <w:color w:val="auto"/>
              </w:rPr>
            </w:pPr>
            <w:r>
              <w:rPr>
                <w:rFonts w:ascii="Arial" w:cs="Arial" w:eastAsia="Arial" w:hAnsi="Arial"/>
                <w:sz w:val="21"/>
                <w:szCs w:val="21"/>
                <w:color w:val="auto"/>
                <w:w w:val="96"/>
              </w:rPr>
              <w:t>units (and dividend equivalents) that do not vest upon the Compensation</w:t>
            </w:r>
          </w:p>
        </w:tc>
        <w:tc>
          <w:tcPr>
            <w:tcW w:w="1140" w:type="dxa"/>
            <w:vAlign w:val="bottom"/>
          </w:tcPr>
          <w:p>
            <w:pPr>
              <w:spacing w:after="0"/>
              <w:rPr>
                <w:sz w:val="21"/>
                <w:szCs w:val="21"/>
                <w:color w:val="auto"/>
              </w:rPr>
            </w:pPr>
          </w:p>
        </w:tc>
      </w:tr>
      <w:tr>
        <w:trPr>
          <w:trHeight w:val="264"/>
        </w:trPr>
        <w:tc>
          <w:tcPr>
            <w:tcW w:w="11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7840" w:type="dxa"/>
            <w:vAlign w:val="bottom"/>
          </w:tcPr>
          <w:p>
            <w:pPr>
              <w:ind w:left="1340"/>
              <w:spacing w:after="0"/>
              <w:rPr>
                <w:sz w:val="20"/>
                <w:szCs w:val="20"/>
                <w:color w:val="auto"/>
              </w:rPr>
            </w:pPr>
            <w:r>
              <w:rPr>
                <w:rFonts w:ascii="Arial" w:cs="Arial" w:eastAsia="Arial" w:hAnsi="Arial"/>
                <w:sz w:val="21"/>
                <w:szCs w:val="21"/>
                <w:color w:val="auto"/>
              </w:rPr>
              <w:t>Committee's determination and certification will be forfeited.</w:t>
            </w:r>
          </w:p>
        </w:tc>
        <w:tc>
          <w:tcPr>
            <w:tcW w:w="1140" w:type="dxa"/>
            <w:vAlign w:val="bottom"/>
          </w:tcPr>
          <w:p>
            <w:pPr>
              <w:spacing w:after="0"/>
              <w:rPr>
                <w:sz w:val="22"/>
                <w:szCs w:val="22"/>
                <w:color w:val="auto"/>
              </w:rPr>
            </w:pPr>
          </w:p>
        </w:tc>
      </w:tr>
      <w:tr>
        <w:trPr>
          <w:trHeight w:val="330"/>
        </w:trPr>
        <w:tc>
          <w:tcPr>
            <w:tcW w:w="1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840" w:type="dxa"/>
            <w:vAlign w:val="bottom"/>
          </w:tcPr>
          <w:p>
            <w:pPr>
              <w:ind w:left="1340"/>
              <w:spacing w:after="0"/>
              <w:rPr>
                <w:sz w:val="20"/>
                <w:szCs w:val="20"/>
                <w:color w:val="auto"/>
              </w:rPr>
            </w:pPr>
            <w:r>
              <w:rPr>
                <w:rFonts w:ascii="Arial" w:cs="Arial" w:eastAsia="Arial" w:hAnsi="Arial"/>
                <w:sz w:val="21"/>
                <w:szCs w:val="21"/>
                <w:color w:val="auto"/>
                <w:w w:val="91"/>
              </w:rPr>
              <w:t>Your restricted stock units (and dividend equivalents) also may be forfeited if</w:t>
            </w:r>
          </w:p>
        </w:tc>
        <w:tc>
          <w:tcPr>
            <w:tcW w:w="1140" w:type="dxa"/>
            <w:vAlign w:val="bottom"/>
          </w:tcPr>
          <w:p>
            <w:pPr>
              <w:spacing w:after="0"/>
              <w:rPr>
                <w:sz w:val="24"/>
                <w:szCs w:val="24"/>
                <w:color w:val="auto"/>
              </w:rPr>
            </w:pPr>
          </w:p>
        </w:tc>
      </w:tr>
      <w:tr>
        <w:trPr>
          <w:trHeight w:val="264"/>
        </w:trPr>
        <w:tc>
          <w:tcPr>
            <w:tcW w:w="11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7840" w:type="dxa"/>
            <w:vAlign w:val="bottom"/>
          </w:tcPr>
          <w:p>
            <w:pPr>
              <w:ind w:left="1340"/>
              <w:spacing w:after="0"/>
              <w:rPr>
                <w:sz w:val="20"/>
                <w:szCs w:val="20"/>
                <w:color w:val="auto"/>
              </w:rPr>
            </w:pPr>
            <w:r>
              <w:rPr>
                <w:rFonts w:ascii="Arial" w:cs="Arial" w:eastAsia="Arial" w:hAnsi="Arial"/>
                <w:sz w:val="21"/>
                <w:szCs w:val="21"/>
                <w:color w:val="auto"/>
              </w:rPr>
              <w:t>your employment terminates before they vest.</w:t>
            </w:r>
          </w:p>
        </w:tc>
        <w:tc>
          <w:tcPr>
            <w:tcW w:w="1140" w:type="dxa"/>
            <w:vAlign w:val="bottom"/>
          </w:tcPr>
          <w:p>
            <w:pPr>
              <w:spacing w:after="0"/>
              <w:rPr>
                <w:sz w:val="22"/>
                <w:szCs w:val="22"/>
                <w:color w:val="auto"/>
              </w:rPr>
            </w:pPr>
          </w:p>
        </w:tc>
      </w:tr>
      <w:tr>
        <w:trPr>
          <w:trHeight w:val="316"/>
        </w:trPr>
        <w:tc>
          <w:tcPr>
            <w:tcW w:w="1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840" w:type="dxa"/>
            <w:vAlign w:val="bottom"/>
          </w:tcPr>
          <w:p>
            <w:pPr>
              <w:ind w:left="1340"/>
              <w:spacing w:after="0"/>
              <w:rPr>
                <w:sz w:val="20"/>
                <w:szCs w:val="20"/>
                <w:color w:val="auto"/>
              </w:rPr>
            </w:pPr>
            <w:r>
              <w:rPr>
                <w:rFonts w:ascii="Arial" w:cs="Arial" w:eastAsia="Arial" w:hAnsi="Arial"/>
                <w:sz w:val="21"/>
                <w:szCs w:val="21"/>
                <w:color w:val="auto"/>
              </w:rPr>
              <w:t>See “Vesting/Forfeiture,” “Transfer Restrictions,” and “Termination of</w:t>
            </w:r>
          </w:p>
        </w:tc>
        <w:tc>
          <w:tcPr>
            <w:tcW w:w="1140" w:type="dxa"/>
            <w:vAlign w:val="bottom"/>
          </w:tcPr>
          <w:p>
            <w:pPr>
              <w:spacing w:after="0"/>
              <w:rPr>
                <w:sz w:val="24"/>
                <w:szCs w:val="24"/>
                <w:color w:val="auto"/>
              </w:rPr>
            </w:pPr>
          </w:p>
        </w:tc>
      </w:tr>
      <w:tr>
        <w:trPr>
          <w:trHeight w:val="264"/>
        </w:trPr>
        <w:tc>
          <w:tcPr>
            <w:tcW w:w="11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7840" w:type="dxa"/>
            <w:vAlign w:val="bottom"/>
          </w:tcPr>
          <w:p>
            <w:pPr>
              <w:ind w:left="1340"/>
              <w:spacing w:after="0"/>
              <w:rPr>
                <w:sz w:val="20"/>
                <w:szCs w:val="20"/>
                <w:color w:val="auto"/>
              </w:rPr>
            </w:pPr>
            <w:r>
              <w:rPr>
                <w:rFonts w:ascii="Arial" w:cs="Arial" w:eastAsia="Arial" w:hAnsi="Arial"/>
                <w:sz w:val="21"/>
                <w:szCs w:val="21"/>
                <w:color w:val="auto"/>
              </w:rPr>
              <w:t>Employment” below.</w:t>
            </w:r>
          </w:p>
        </w:tc>
        <w:tc>
          <w:tcPr>
            <w:tcW w:w="1140" w:type="dxa"/>
            <w:vAlign w:val="bottom"/>
          </w:tcPr>
          <w:p>
            <w:pPr>
              <w:spacing w:after="0"/>
              <w:rPr>
                <w:sz w:val="22"/>
                <w:szCs w:val="22"/>
                <w:color w:val="auto"/>
              </w:rPr>
            </w:pPr>
          </w:p>
        </w:tc>
      </w:tr>
      <w:tr>
        <w:trPr>
          <w:trHeight w:val="634"/>
        </w:trPr>
        <w:tc>
          <w:tcPr>
            <w:tcW w:w="1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78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88"/>
        </w:trPr>
        <w:tc>
          <w:tcPr>
            <w:tcW w:w="116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784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r>
      <w:tr>
        <w:trPr>
          <w:trHeight w:val="331"/>
        </w:trPr>
        <w:tc>
          <w:tcPr>
            <w:tcW w:w="1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78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88"/>
        </w:trPr>
        <w:tc>
          <w:tcPr>
            <w:tcW w:w="116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784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r>
    </w:tbl>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Page 3</w:t>
      </w:r>
    </w:p>
    <w:p>
      <w:pPr>
        <w:sectPr>
          <w:pgSz w:w="11900" w:h="16838" w:orient="portrait"/>
          <w:cols w:equalWidth="0" w:num="1">
            <w:col w:w="11420"/>
          </w:cols>
          <w:pgMar w:left="240" w:top="105" w:right="239" w:bottom="1440" w:gutter="0" w:footer="0" w:header="0"/>
        </w:sectPr>
      </w:pPr>
    </w:p>
    <w:bookmarkStart w:id="55" w:name="page56"/>
    <w:bookmarkEnd w:id="55"/>
    <w:p>
      <w:pPr>
        <w:spacing w:after="0" w:line="143" w:lineRule="exact"/>
        <w:rPr>
          <w:sz w:val="20"/>
          <w:szCs w:val="20"/>
          <w:color w:val="auto"/>
        </w:rPr>
      </w:pPr>
    </w:p>
    <w:p>
      <w:pPr>
        <w:ind w:right="4800"/>
        <w:spacing w:after="0" w:line="295" w:lineRule="auto"/>
        <w:rPr>
          <w:sz w:val="20"/>
          <w:szCs w:val="20"/>
          <w:color w:val="auto"/>
        </w:rPr>
      </w:pPr>
      <w:r>
        <w:rPr>
          <w:rFonts w:ascii="Arial" w:cs="Arial" w:eastAsia="Arial" w:hAnsi="Arial"/>
          <w:sz w:val="20"/>
          <w:szCs w:val="20"/>
          <w:b w:val="1"/>
          <w:bCs w:val="1"/>
          <w:color w:val="auto"/>
        </w:rPr>
        <w:t>SEMPRA ENERGY 1998 LONG TERM INCENTIVE PLAN Year 2008 Restricted Stock Unit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3780" w:hanging="2619"/>
        <w:spacing w:after="0" w:line="277" w:lineRule="auto"/>
        <w:tabs>
          <w:tab w:leader="none" w:pos="3760" w:val="left"/>
        </w:tabs>
        <w:rPr>
          <w:sz w:val="20"/>
          <w:szCs w:val="20"/>
          <w:color w:val="auto"/>
        </w:rPr>
      </w:pPr>
      <w:r>
        <w:rPr>
          <w:rFonts w:ascii="Arial" w:cs="Arial" w:eastAsia="Arial" w:hAnsi="Arial"/>
          <w:sz w:val="19"/>
          <w:szCs w:val="19"/>
          <w:b w:val="1"/>
          <w:bCs w:val="1"/>
          <w:color w:val="auto"/>
        </w:rPr>
        <w:t>Vesting/Forfeiture:</w:t>
      </w:r>
      <w:r>
        <w:rPr>
          <w:sz w:val="20"/>
          <w:szCs w:val="20"/>
          <w:color w:val="auto"/>
        </w:rPr>
        <w:tab/>
      </w:r>
      <w:r>
        <w:rPr>
          <w:rFonts w:ascii="Arial" w:cs="Arial" w:eastAsia="Arial" w:hAnsi="Arial"/>
          <w:sz w:val="19"/>
          <w:szCs w:val="19"/>
          <w:color w:val="auto"/>
        </w:rPr>
        <w:t>Your restricted stock units (and dividend equivalents, as described below) will vest only upon and only to the extent that the Compensation Committee of Sempra Energy's Board of Directors determines and certifies that Sempra Energy has met the following total shareholder return performance criteria for the performance period beginning on January 1, 2008 and ending on the close of trading on the first New York Stock Exchange trading day of 2012:</w:t>
      </w:r>
    </w:p>
    <w:p>
      <w:pPr>
        <w:spacing w:after="0" w:line="168" w:lineRule="exact"/>
        <w:rPr>
          <w:sz w:val="20"/>
          <w:szCs w:val="20"/>
          <w:color w:val="auto"/>
        </w:rPr>
      </w:pPr>
    </w:p>
    <w:p>
      <w:pPr>
        <w:ind w:left="4180" w:right="20" w:hanging="332"/>
        <w:spacing w:after="0" w:line="259" w:lineRule="auto"/>
        <w:tabs>
          <w:tab w:leader="none" w:pos="4180" w:val="left"/>
        </w:tabs>
        <w:numPr>
          <w:ilvl w:val="0"/>
          <w:numId w:val="10"/>
        </w:numPr>
        <w:rPr>
          <w:rFonts w:ascii="Arial" w:cs="Arial" w:eastAsia="Arial" w:hAnsi="Arial"/>
          <w:sz w:val="20"/>
          <w:szCs w:val="20"/>
          <w:color w:val="auto"/>
        </w:rPr>
      </w:pPr>
      <w:r>
        <w:rPr>
          <w:rFonts w:ascii="Arial" w:cs="Arial" w:eastAsia="Arial" w:hAnsi="Arial"/>
          <w:sz w:val="20"/>
          <w:szCs w:val="20"/>
          <w:color w:val="auto"/>
        </w:rPr>
        <w:t>Your target number of restricted stock units will vest based on the percentile ranking of Sempra Energy’s cumulative total shareholder return (consisting of per share appreciation in Common Stock plus dividends and other distributions paid on Common Stock), as determined and certified by the Compensation Committee, for the performance period among the companies (ranked by cumulative total shareholder returns) in the Standard &amp; Poors 500 Utility Index.</w:t>
      </w:r>
    </w:p>
    <w:p>
      <w:pPr>
        <w:spacing w:after="0" w:line="180" w:lineRule="exact"/>
        <w:rPr>
          <w:rFonts w:ascii="Arial" w:cs="Arial" w:eastAsia="Arial" w:hAnsi="Arial"/>
          <w:sz w:val="20"/>
          <w:szCs w:val="20"/>
          <w:color w:val="auto"/>
        </w:rPr>
      </w:pPr>
    </w:p>
    <w:p>
      <w:pPr>
        <w:ind w:left="4180" w:right="40" w:hanging="332"/>
        <w:spacing w:after="0" w:line="298" w:lineRule="auto"/>
        <w:tabs>
          <w:tab w:leader="none" w:pos="4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percentage of your target number of restricted stock units that vest will be determined as follows, based on the percentile ranking of Sempra Energy’s cumulative total shareholder return among the companies (ranked by cumulative total shareholder returns) in the S&amp;P 500 Utility Index, as determined and certified by the Compensation Committee.</w:t>
      </w:r>
    </w:p>
    <w:p>
      <w:pPr>
        <w:spacing w:after="0" w:line="147" w:lineRule="exact"/>
        <w:rPr>
          <w:sz w:val="20"/>
          <w:szCs w:val="20"/>
          <w:color w:val="auto"/>
        </w:rPr>
      </w:pPr>
    </w:p>
    <w:tbl>
      <w:tblPr>
        <w:tblLayout w:type="fixed"/>
        <w:tblInd w:w="4820" w:type="dxa"/>
        <w:tblCellMar>
          <w:top w:w="0" w:type="dxa"/>
          <w:left w:w="0" w:type="dxa"/>
          <w:bottom w:w="0" w:type="dxa"/>
          <w:right w:w="0" w:type="dxa"/>
        </w:tblCellMar>
      </w:tblPr>
      <w:tr>
        <w:trPr>
          <w:trHeight w:val="243"/>
        </w:trPr>
        <w:tc>
          <w:tcPr>
            <w:tcW w:w="2160" w:type="dxa"/>
            <w:vAlign w:val="bottom"/>
            <w:gridSpan w:val="2"/>
          </w:tcPr>
          <w:p>
            <w:pPr>
              <w:jc w:val="center"/>
              <w:ind w:right="680"/>
              <w:spacing w:after="0"/>
              <w:rPr>
                <w:sz w:val="20"/>
                <w:szCs w:val="20"/>
                <w:color w:val="auto"/>
              </w:rPr>
            </w:pPr>
            <w:r>
              <w:rPr>
                <w:rFonts w:ascii="Arial" w:cs="Arial" w:eastAsia="Arial" w:hAnsi="Arial"/>
                <w:sz w:val="21"/>
                <w:szCs w:val="21"/>
                <w:color w:val="auto"/>
                <w:w w:val="88"/>
              </w:rPr>
              <w:t>Total Shareholder</w:t>
            </w:r>
          </w:p>
        </w:tc>
        <w:tc>
          <w:tcPr>
            <w:tcW w:w="2460" w:type="dxa"/>
            <w:vAlign w:val="bottom"/>
            <w:gridSpan w:val="3"/>
          </w:tcPr>
          <w:p>
            <w:pPr>
              <w:jc w:val="center"/>
              <w:ind w:left="496"/>
              <w:spacing w:after="0"/>
              <w:rPr>
                <w:sz w:val="20"/>
                <w:szCs w:val="20"/>
                <w:color w:val="auto"/>
              </w:rPr>
            </w:pPr>
            <w:r>
              <w:rPr>
                <w:rFonts w:ascii="Arial" w:cs="Arial" w:eastAsia="Arial" w:hAnsi="Arial"/>
                <w:sz w:val="21"/>
                <w:szCs w:val="21"/>
                <w:color w:val="auto"/>
                <w:w w:val="86"/>
              </w:rPr>
              <w:t>Percentage of Target</w:t>
            </w:r>
          </w:p>
        </w:tc>
      </w:tr>
      <w:tr>
        <w:trPr>
          <w:trHeight w:val="243"/>
        </w:trPr>
        <w:tc>
          <w:tcPr>
            <w:tcW w:w="2160" w:type="dxa"/>
            <w:vAlign w:val="bottom"/>
            <w:gridSpan w:val="2"/>
          </w:tcPr>
          <w:p>
            <w:pPr>
              <w:jc w:val="center"/>
              <w:ind w:right="720"/>
              <w:spacing w:after="0"/>
              <w:rPr>
                <w:sz w:val="20"/>
                <w:szCs w:val="20"/>
                <w:color w:val="auto"/>
              </w:rPr>
            </w:pPr>
            <w:r>
              <w:rPr>
                <w:rFonts w:ascii="Arial" w:cs="Arial" w:eastAsia="Arial" w:hAnsi="Arial"/>
                <w:sz w:val="21"/>
                <w:szCs w:val="21"/>
                <w:color w:val="auto"/>
                <w:w w:val="88"/>
              </w:rPr>
              <w:t>Return Percentile</w:t>
            </w:r>
          </w:p>
        </w:tc>
        <w:tc>
          <w:tcPr>
            <w:tcW w:w="2460" w:type="dxa"/>
            <w:vAlign w:val="bottom"/>
            <w:gridSpan w:val="3"/>
          </w:tcPr>
          <w:p>
            <w:pPr>
              <w:ind w:left="680"/>
              <w:spacing w:after="0"/>
              <w:rPr>
                <w:sz w:val="20"/>
                <w:szCs w:val="20"/>
                <w:color w:val="auto"/>
              </w:rPr>
            </w:pPr>
            <w:r>
              <w:rPr>
                <w:rFonts w:ascii="Arial" w:cs="Arial" w:eastAsia="Arial" w:hAnsi="Arial"/>
                <w:sz w:val="21"/>
                <w:szCs w:val="21"/>
                <w:color w:val="auto"/>
                <w:w w:val="88"/>
              </w:rPr>
              <w:t>Number of Restricted</w:t>
            </w:r>
          </w:p>
        </w:tc>
      </w:tr>
      <w:tr>
        <w:trPr>
          <w:trHeight w:val="216"/>
        </w:trPr>
        <w:tc>
          <w:tcPr>
            <w:tcW w:w="2160" w:type="dxa"/>
            <w:vAlign w:val="bottom"/>
            <w:gridSpan w:val="2"/>
          </w:tcPr>
          <w:p>
            <w:pPr>
              <w:jc w:val="center"/>
              <w:ind w:right="740"/>
              <w:spacing w:after="0" w:line="216" w:lineRule="exact"/>
              <w:rPr>
                <w:sz w:val="20"/>
                <w:szCs w:val="20"/>
                <w:color w:val="auto"/>
              </w:rPr>
            </w:pPr>
            <w:r>
              <w:rPr>
                <w:rFonts w:ascii="Arial" w:cs="Arial" w:eastAsia="Arial" w:hAnsi="Arial"/>
                <w:sz w:val="21"/>
                <w:szCs w:val="21"/>
                <w:color w:val="auto"/>
                <w:w w:val="90"/>
              </w:rPr>
              <w:t>Ranking</w:t>
            </w:r>
          </w:p>
        </w:tc>
        <w:tc>
          <w:tcPr>
            <w:tcW w:w="2460" w:type="dxa"/>
            <w:vAlign w:val="bottom"/>
            <w:gridSpan w:val="3"/>
          </w:tcPr>
          <w:p>
            <w:pPr>
              <w:jc w:val="center"/>
              <w:ind w:left="536"/>
              <w:spacing w:after="0" w:line="216" w:lineRule="exact"/>
              <w:rPr>
                <w:sz w:val="20"/>
                <w:szCs w:val="20"/>
                <w:color w:val="auto"/>
              </w:rPr>
            </w:pPr>
            <w:r>
              <w:rPr>
                <w:rFonts w:ascii="Arial" w:cs="Arial" w:eastAsia="Arial" w:hAnsi="Arial"/>
                <w:sz w:val="21"/>
                <w:szCs w:val="21"/>
                <w:color w:val="auto"/>
                <w:w w:val="89"/>
              </w:rPr>
              <w:t>Stock Units that Vest</w:t>
            </w:r>
          </w:p>
        </w:tc>
      </w:tr>
      <w:tr>
        <w:trPr>
          <w:trHeight w:val="555"/>
        </w:trPr>
        <w:tc>
          <w:tcPr>
            <w:tcW w:w="1060" w:type="dxa"/>
            <w:vAlign w:val="bottom"/>
            <w:tcBorders>
              <w:top w:val="single" w:sz="8" w:color="auto"/>
            </w:tcBorders>
          </w:tcPr>
          <w:p>
            <w:pPr>
              <w:ind w:left="480"/>
              <w:spacing w:after="0"/>
              <w:rPr>
                <w:sz w:val="20"/>
                <w:szCs w:val="20"/>
                <w:color w:val="auto"/>
              </w:rPr>
            </w:pPr>
            <w:r>
              <w:rPr>
                <w:rFonts w:ascii="Arial" w:cs="Arial" w:eastAsia="Arial" w:hAnsi="Arial"/>
                <w:sz w:val="21"/>
                <w:szCs w:val="21"/>
                <w:color w:val="auto"/>
              </w:rPr>
              <w:t>75</w:t>
            </w:r>
            <w:r>
              <w:rPr>
                <w:rFonts w:ascii="Arial" w:cs="Arial" w:eastAsia="Arial" w:hAnsi="Arial"/>
                <w:sz w:val="34"/>
                <w:szCs w:val="34"/>
                <w:color w:val="auto"/>
                <w:vertAlign w:val="superscript"/>
              </w:rPr>
              <w:t>th</w:t>
            </w:r>
          </w:p>
        </w:tc>
        <w:tc>
          <w:tcPr>
            <w:tcW w:w="1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740" w:type="dxa"/>
            <w:vAlign w:val="bottom"/>
            <w:tcBorders>
              <w:top w:val="single" w:sz="8" w:color="auto"/>
            </w:tcBorders>
          </w:tcPr>
          <w:p>
            <w:pPr>
              <w:ind w:left="480"/>
              <w:spacing w:after="0"/>
              <w:rPr>
                <w:sz w:val="20"/>
                <w:szCs w:val="20"/>
                <w:color w:val="auto"/>
              </w:rPr>
            </w:pPr>
            <w:r>
              <w:rPr>
                <w:rFonts w:ascii="Arial" w:cs="Arial" w:eastAsia="Arial" w:hAnsi="Arial"/>
                <w:sz w:val="21"/>
                <w:szCs w:val="21"/>
                <w:color w:val="auto"/>
              </w:rPr>
              <w:t>150%</w:t>
            </w:r>
          </w:p>
        </w:tc>
        <w:tc>
          <w:tcPr>
            <w:tcW w:w="40" w:type="dxa"/>
            <w:vAlign w:val="bottom"/>
          </w:tcPr>
          <w:p>
            <w:pPr>
              <w:spacing w:after="0"/>
              <w:rPr>
                <w:sz w:val="24"/>
                <w:szCs w:val="24"/>
                <w:color w:val="auto"/>
              </w:rPr>
            </w:pPr>
          </w:p>
        </w:tc>
      </w:tr>
      <w:tr>
        <w:trPr>
          <w:trHeight w:val="311"/>
        </w:trPr>
        <w:tc>
          <w:tcPr>
            <w:tcW w:w="2160" w:type="dxa"/>
            <w:vAlign w:val="bottom"/>
            <w:gridSpan w:val="2"/>
          </w:tcPr>
          <w:p>
            <w:pPr>
              <w:ind w:left="480"/>
              <w:spacing w:after="0" w:line="310" w:lineRule="exact"/>
              <w:rPr>
                <w:sz w:val="20"/>
                <w:szCs w:val="20"/>
                <w:color w:val="auto"/>
              </w:rPr>
            </w:pPr>
            <w:r>
              <w:rPr>
                <w:rFonts w:ascii="Arial" w:cs="Arial" w:eastAsia="Arial" w:hAnsi="Arial"/>
                <w:sz w:val="21"/>
                <w:szCs w:val="21"/>
                <w:color w:val="auto"/>
              </w:rPr>
              <w:t>70</w:t>
            </w:r>
            <w:r>
              <w:rPr>
                <w:rFonts w:ascii="Arial" w:cs="Arial" w:eastAsia="Arial" w:hAnsi="Arial"/>
                <w:sz w:val="34"/>
                <w:szCs w:val="34"/>
                <w:color w:val="auto"/>
                <w:vertAlign w:val="superscript"/>
              </w:rPr>
              <w:t>th</w:t>
            </w:r>
          </w:p>
        </w:tc>
        <w:tc>
          <w:tcPr>
            <w:tcW w:w="2420" w:type="dxa"/>
            <w:vAlign w:val="bottom"/>
            <w:gridSpan w:val="2"/>
          </w:tcPr>
          <w:p>
            <w:pPr>
              <w:ind w:left="1160"/>
              <w:spacing w:after="0"/>
              <w:rPr>
                <w:sz w:val="20"/>
                <w:szCs w:val="20"/>
                <w:color w:val="auto"/>
              </w:rPr>
            </w:pPr>
            <w:r>
              <w:rPr>
                <w:rFonts w:ascii="Arial" w:cs="Arial" w:eastAsia="Arial" w:hAnsi="Arial"/>
                <w:sz w:val="21"/>
                <w:szCs w:val="21"/>
                <w:color w:val="auto"/>
              </w:rPr>
              <w:t>140%</w:t>
            </w:r>
          </w:p>
        </w:tc>
        <w:tc>
          <w:tcPr>
            <w:tcW w:w="40" w:type="dxa"/>
            <w:vAlign w:val="bottom"/>
          </w:tcPr>
          <w:p>
            <w:pPr>
              <w:spacing w:after="0"/>
              <w:rPr>
                <w:sz w:val="24"/>
                <w:szCs w:val="24"/>
                <w:color w:val="auto"/>
              </w:rPr>
            </w:pPr>
          </w:p>
        </w:tc>
      </w:tr>
      <w:tr>
        <w:trPr>
          <w:trHeight w:val="311"/>
        </w:trPr>
        <w:tc>
          <w:tcPr>
            <w:tcW w:w="2160" w:type="dxa"/>
            <w:vAlign w:val="bottom"/>
            <w:gridSpan w:val="2"/>
          </w:tcPr>
          <w:p>
            <w:pPr>
              <w:ind w:left="480"/>
              <w:spacing w:after="0" w:line="310" w:lineRule="exact"/>
              <w:rPr>
                <w:sz w:val="20"/>
                <w:szCs w:val="20"/>
                <w:color w:val="auto"/>
              </w:rPr>
            </w:pPr>
            <w:r>
              <w:rPr>
                <w:rFonts w:ascii="Arial" w:cs="Arial" w:eastAsia="Arial" w:hAnsi="Arial"/>
                <w:sz w:val="21"/>
                <w:szCs w:val="21"/>
                <w:color w:val="auto"/>
              </w:rPr>
              <w:t>65</w:t>
            </w:r>
            <w:r>
              <w:rPr>
                <w:rFonts w:ascii="Arial" w:cs="Arial" w:eastAsia="Arial" w:hAnsi="Arial"/>
                <w:sz w:val="34"/>
                <w:szCs w:val="34"/>
                <w:color w:val="auto"/>
                <w:vertAlign w:val="superscript"/>
              </w:rPr>
              <w:t>th</w:t>
            </w:r>
          </w:p>
        </w:tc>
        <w:tc>
          <w:tcPr>
            <w:tcW w:w="2420" w:type="dxa"/>
            <w:vAlign w:val="bottom"/>
            <w:gridSpan w:val="2"/>
          </w:tcPr>
          <w:p>
            <w:pPr>
              <w:ind w:left="1160"/>
              <w:spacing w:after="0"/>
              <w:rPr>
                <w:sz w:val="20"/>
                <w:szCs w:val="20"/>
                <w:color w:val="auto"/>
              </w:rPr>
            </w:pPr>
            <w:r>
              <w:rPr>
                <w:rFonts w:ascii="Arial" w:cs="Arial" w:eastAsia="Arial" w:hAnsi="Arial"/>
                <w:sz w:val="21"/>
                <w:szCs w:val="21"/>
                <w:color w:val="auto"/>
              </w:rPr>
              <w:t>130%</w:t>
            </w:r>
          </w:p>
        </w:tc>
        <w:tc>
          <w:tcPr>
            <w:tcW w:w="40" w:type="dxa"/>
            <w:vAlign w:val="bottom"/>
          </w:tcPr>
          <w:p>
            <w:pPr>
              <w:spacing w:after="0"/>
              <w:rPr>
                <w:sz w:val="24"/>
                <w:szCs w:val="24"/>
                <w:color w:val="auto"/>
              </w:rPr>
            </w:pPr>
          </w:p>
        </w:tc>
      </w:tr>
      <w:tr>
        <w:trPr>
          <w:trHeight w:val="311"/>
        </w:trPr>
        <w:tc>
          <w:tcPr>
            <w:tcW w:w="2160" w:type="dxa"/>
            <w:vAlign w:val="bottom"/>
            <w:gridSpan w:val="2"/>
          </w:tcPr>
          <w:p>
            <w:pPr>
              <w:ind w:left="480"/>
              <w:spacing w:after="0" w:line="310" w:lineRule="exact"/>
              <w:rPr>
                <w:sz w:val="20"/>
                <w:szCs w:val="20"/>
                <w:color w:val="auto"/>
              </w:rPr>
            </w:pPr>
            <w:r>
              <w:rPr>
                <w:rFonts w:ascii="Arial" w:cs="Arial" w:eastAsia="Arial" w:hAnsi="Arial"/>
                <w:sz w:val="21"/>
                <w:szCs w:val="21"/>
                <w:color w:val="auto"/>
              </w:rPr>
              <w:t>60</w:t>
            </w:r>
            <w:r>
              <w:rPr>
                <w:rFonts w:ascii="Arial" w:cs="Arial" w:eastAsia="Arial" w:hAnsi="Arial"/>
                <w:sz w:val="34"/>
                <w:szCs w:val="34"/>
                <w:color w:val="auto"/>
                <w:vertAlign w:val="superscript"/>
              </w:rPr>
              <w:t>th</w:t>
            </w:r>
          </w:p>
        </w:tc>
        <w:tc>
          <w:tcPr>
            <w:tcW w:w="2420" w:type="dxa"/>
            <w:vAlign w:val="bottom"/>
            <w:gridSpan w:val="2"/>
          </w:tcPr>
          <w:p>
            <w:pPr>
              <w:ind w:left="1160"/>
              <w:spacing w:after="0"/>
              <w:rPr>
                <w:sz w:val="20"/>
                <w:szCs w:val="20"/>
                <w:color w:val="auto"/>
              </w:rPr>
            </w:pPr>
            <w:r>
              <w:rPr>
                <w:rFonts w:ascii="Arial" w:cs="Arial" w:eastAsia="Arial" w:hAnsi="Arial"/>
                <w:sz w:val="21"/>
                <w:szCs w:val="21"/>
                <w:color w:val="auto"/>
              </w:rPr>
              <w:t>120%</w:t>
            </w:r>
          </w:p>
        </w:tc>
        <w:tc>
          <w:tcPr>
            <w:tcW w:w="40" w:type="dxa"/>
            <w:vAlign w:val="bottom"/>
          </w:tcPr>
          <w:p>
            <w:pPr>
              <w:spacing w:after="0"/>
              <w:rPr>
                <w:sz w:val="24"/>
                <w:szCs w:val="24"/>
                <w:color w:val="auto"/>
              </w:rPr>
            </w:pPr>
          </w:p>
        </w:tc>
      </w:tr>
      <w:tr>
        <w:trPr>
          <w:trHeight w:val="311"/>
        </w:trPr>
        <w:tc>
          <w:tcPr>
            <w:tcW w:w="2160" w:type="dxa"/>
            <w:vAlign w:val="bottom"/>
            <w:gridSpan w:val="2"/>
          </w:tcPr>
          <w:p>
            <w:pPr>
              <w:ind w:left="480"/>
              <w:spacing w:after="0" w:line="310" w:lineRule="exact"/>
              <w:rPr>
                <w:sz w:val="20"/>
                <w:szCs w:val="20"/>
                <w:color w:val="auto"/>
              </w:rPr>
            </w:pPr>
            <w:r>
              <w:rPr>
                <w:rFonts w:ascii="Arial" w:cs="Arial" w:eastAsia="Arial" w:hAnsi="Arial"/>
                <w:sz w:val="21"/>
                <w:szCs w:val="21"/>
                <w:color w:val="auto"/>
              </w:rPr>
              <w:t>55</w:t>
            </w:r>
            <w:r>
              <w:rPr>
                <w:rFonts w:ascii="Arial" w:cs="Arial" w:eastAsia="Arial" w:hAnsi="Arial"/>
                <w:sz w:val="34"/>
                <w:szCs w:val="34"/>
                <w:color w:val="auto"/>
                <w:vertAlign w:val="superscript"/>
              </w:rPr>
              <w:t>th</w:t>
            </w:r>
          </w:p>
        </w:tc>
        <w:tc>
          <w:tcPr>
            <w:tcW w:w="2420" w:type="dxa"/>
            <w:vAlign w:val="bottom"/>
            <w:gridSpan w:val="2"/>
          </w:tcPr>
          <w:p>
            <w:pPr>
              <w:ind w:left="1160"/>
              <w:spacing w:after="0"/>
              <w:rPr>
                <w:sz w:val="20"/>
                <w:szCs w:val="20"/>
                <w:color w:val="auto"/>
              </w:rPr>
            </w:pPr>
            <w:r>
              <w:rPr>
                <w:rFonts w:ascii="Arial" w:cs="Arial" w:eastAsia="Arial" w:hAnsi="Arial"/>
                <w:sz w:val="21"/>
                <w:szCs w:val="21"/>
                <w:color w:val="auto"/>
              </w:rPr>
              <w:t>110%</w:t>
            </w:r>
          </w:p>
        </w:tc>
        <w:tc>
          <w:tcPr>
            <w:tcW w:w="40" w:type="dxa"/>
            <w:vAlign w:val="bottom"/>
          </w:tcPr>
          <w:p>
            <w:pPr>
              <w:spacing w:after="0"/>
              <w:rPr>
                <w:sz w:val="24"/>
                <w:szCs w:val="24"/>
                <w:color w:val="auto"/>
              </w:rPr>
            </w:pPr>
          </w:p>
        </w:tc>
      </w:tr>
      <w:tr>
        <w:trPr>
          <w:trHeight w:val="311"/>
        </w:trPr>
        <w:tc>
          <w:tcPr>
            <w:tcW w:w="2160" w:type="dxa"/>
            <w:vAlign w:val="bottom"/>
            <w:gridSpan w:val="2"/>
          </w:tcPr>
          <w:p>
            <w:pPr>
              <w:ind w:left="480"/>
              <w:spacing w:after="0" w:line="310" w:lineRule="exact"/>
              <w:rPr>
                <w:sz w:val="20"/>
                <w:szCs w:val="20"/>
                <w:color w:val="auto"/>
              </w:rPr>
            </w:pPr>
            <w:r>
              <w:rPr>
                <w:rFonts w:ascii="Arial" w:cs="Arial" w:eastAsia="Arial" w:hAnsi="Arial"/>
                <w:sz w:val="21"/>
                <w:szCs w:val="21"/>
                <w:color w:val="auto"/>
              </w:rPr>
              <w:t>50</w:t>
            </w:r>
            <w:r>
              <w:rPr>
                <w:rFonts w:ascii="Arial" w:cs="Arial" w:eastAsia="Arial" w:hAnsi="Arial"/>
                <w:sz w:val="34"/>
                <w:szCs w:val="34"/>
                <w:color w:val="auto"/>
                <w:vertAlign w:val="superscript"/>
              </w:rPr>
              <w:t>th</w:t>
            </w:r>
          </w:p>
        </w:tc>
        <w:tc>
          <w:tcPr>
            <w:tcW w:w="2420" w:type="dxa"/>
            <w:vAlign w:val="bottom"/>
            <w:gridSpan w:val="2"/>
          </w:tcPr>
          <w:p>
            <w:pPr>
              <w:ind w:left="1160"/>
              <w:spacing w:after="0"/>
              <w:rPr>
                <w:sz w:val="20"/>
                <w:szCs w:val="20"/>
                <w:color w:val="auto"/>
              </w:rPr>
            </w:pPr>
            <w:r>
              <w:rPr>
                <w:rFonts w:ascii="Arial" w:cs="Arial" w:eastAsia="Arial" w:hAnsi="Arial"/>
                <w:sz w:val="21"/>
                <w:szCs w:val="21"/>
                <w:color w:val="auto"/>
              </w:rPr>
              <w:t>100%</w:t>
            </w:r>
          </w:p>
        </w:tc>
        <w:tc>
          <w:tcPr>
            <w:tcW w:w="40" w:type="dxa"/>
            <w:vAlign w:val="bottom"/>
          </w:tcPr>
          <w:p>
            <w:pPr>
              <w:spacing w:after="0"/>
              <w:rPr>
                <w:sz w:val="24"/>
                <w:szCs w:val="24"/>
                <w:color w:val="auto"/>
              </w:rPr>
            </w:pPr>
          </w:p>
        </w:tc>
      </w:tr>
      <w:tr>
        <w:trPr>
          <w:trHeight w:val="311"/>
        </w:trPr>
        <w:tc>
          <w:tcPr>
            <w:tcW w:w="2160" w:type="dxa"/>
            <w:vAlign w:val="bottom"/>
            <w:gridSpan w:val="2"/>
          </w:tcPr>
          <w:p>
            <w:pPr>
              <w:ind w:left="480"/>
              <w:spacing w:after="0" w:line="310" w:lineRule="exact"/>
              <w:rPr>
                <w:sz w:val="20"/>
                <w:szCs w:val="20"/>
                <w:color w:val="auto"/>
              </w:rPr>
            </w:pPr>
            <w:r>
              <w:rPr>
                <w:rFonts w:ascii="Arial" w:cs="Arial" w:eastAsia="Arial" w:hAnsi="Arial"/>
                <w:sz w:val="21"/>
                <w:szCs w:val="21"/>
                <w:color w:val="auto"/>
              </w:rPr>
              <w:t>45</w:t>
            </w:r>
            <w:r>
              <w:rPr>
                <w:rFonts w:ascii="Arial" w:cs="Arial" w:eastAsia="Arial" w:hAnsi="Arial"/>
                <w:sz w:val="34"/>
                <w:szCs w:val="34"/>
                <w:color w:val="auto"/>
                <w:vertAlign w:val="superscript"/>
              </w:rPr>
              <w:t>th</w:t>
            </w:r>
          </w:p>
        </w:tc>
        <w:tc>
          <w:tcPr>
            <w:tcW w:w="2420" w:type="dxa"/>
            <w:vAlign w:val="bottom"/>
            <w:gridSpan w:val="2"/>
          </w:tcPr>
          <w:p>
            <w:pPr>
              <w:jc w:val="center"/>
              <w:ind w:left="496"/>
              <w:spacing w:after="0"/>
              <w:rPr>
                <w:sz w:val="20"/>
                <w:szCs w:val="20"/>
                <w:color w:val="auto"/>
              </w:rPr>
            </w:pPr>
            <w:r>
              <w:rPr>
                <w:rFonts w:ascii="Arial" w:cs="Arial" w:eastAsia="Arial" w:hAnsi="Arial"/>
                <w:sz w:val="21"/>
                <w:szCs w:val="21"/>
                <w:color w:val="auto"/>
                <w:w w:val="90"/>
              </w:rPr>
              <w:t>70%</w:t>
            </w:r>
          </w:p>
        </w:tc>
        <w:tc>
          <w:tcPr>
            <w:tcW w:w="40" w:type="dxa"/>
            <w:vAlign w:val="bottom"/>
          </w:tcPr>
          <w:p>
            <w:pPr>
              <w:spacing w:after="0"/>
              <w:rPr>
                <w:sz w:val="24"/>
                <w:szCs w:val="24"/>
                <w:color w:val="auto"/>
              </w:rPr>
            </w:pPr>
          </w:p>
        </w:tc>
      </w:tr>
      <w:tr>
        <w:trPr>
          <w:trHeight w:val="311"/>
        </w:trPr>
        <w:tc>
          <w:tcPr>
            <w:tcW w:w="2160" w:type="dxa"/>
            <w:vAlign w:val="bottom"/>
            <w:gridSpan w:val="2"/>
          </w:tcPr>
          <w:p>
            <w:pPr>
              <w:ind w:left="480"/>
              <w:spacing w:after="0" w:line="310" w:lineRule="exact"/>
              <w:rPr>
                <w:sz w:val="20"/>
                <w:szCs w:val="20"/>
                <w:color w:val="auto"/>
              </w:rPr>
            </w:pPr>
            <w:r>
              <w:rPr>
                <w:rFonts w:ascii="Arial" w:cs="Arial" w:eastAsia="Arial" w:hAnsi="Arial"/>
                <w:sz w:val="21"/>
                <w:szCs w:val="21"/>
                <w:color w:val="auto"/>
              </w:rPr>
              <w:t>40</w:t>
            </w:r>
            <w:r>
              <w:rPr>
                <w:rFonts w:ascii="Arial" w:cs="Arial" w:eastAsia="Arial" w:hAnsi="Arial"/>
                <w:sz w:val="34"/>
                <w:szCs w:val="34"/>
                <w:color w:val="auto"/>
                <w:vertAlign w:val="superscript"/>
              </w:rPr>
              <w:t>th</w:t>
            </w:r>
          </w:p>
        </w:tc>
        <w:tc>
          <w:tcPr>
            <w:tcW w:w="2420" w:type="dxa"/>
            <w:vAlign w:val="bottom"/>
            <w:gridSpan w:val="2"/>
          </w:tcPr>
          <w:p>
            <w:pPr>
              <w:jc w:val="center"/>
              <w:ind w:left="496"/>
              <w:spacing w:after="0"/>
              <w:rPr>
                <w:sz w:val="20"/>
                <w:szCs w:val="20"/>
                <w:color w:val="auto"/>
              </w:rPr>
            </w:pPr>
            <w:r>
              <w:rPr>
                <w:rFonts w:ascii="Arial" w:cs="Arial" w:eastAsia="Arial" w:hAnsi="Arial"/>
                <w:sz w:val="21"/>
                <w:szCs w:val="21"/>
                <w:color w:val="auto"/>
                <w:w w:val="90"/>
              </w:rPr>
              <w:t>40%</w:t>
            </w:r>
          </w:p>
        </w:tc>
        <w:tc>
          <w:tcPr>
            <w:tcW w:w="40" w:type="dxa"/>
            <w:vAlign w:val="bottom"/>
          </w:tcPr>
          <w:p>
            <w:pPr>
              <w:spacing w:after="0"/>
              <w:rPr>
                <w:sz w:val="24"/>
                <w:szCs w:val="24"/>
                <w:color w:val="auto"/>
              </w:rPr>
            </w:pPr>
          </w:p>
        </w:tc>
      </w:tr>
      <w:tr>
        <w:trPr>
          <w:trHeight w:val="523"/>
        </w:trPr>
        <w:tc>
          <w:tcPr>
            <w:tcW w:w="2160" w:type="dxa"/>
            <w:vAlign w:val="bottom"/>
            <w:gridSpan w:val="2"/>
          </w:tcPr>
          <w:p>
            <w:pPr>
              <w:ind w:left="480"/>
              <w:spacing w:after="0"/>
              <w:rPr>
                <w:sz w:val="20"/>
                <w:szCs w:val="20"/>
                <w:color w:val="auto"/>
              </w:rPr>
            </w:pPr>
            <w:r>
              <w:rPr>
                <w:rFonts w:ascii="Arial" w:cs="Arial" w:eastAsia="Arial" w:hAnsi="Arial"/>
                <w:sz w:val="41"/>
                <w:szCs w:val="41"/>
                <w:color w:val="auto"/>
                <w:vertAlign w:val="subscript"/>
              </w:rPr>
              <w:t>35</w:t>
            </w:r>
            <w:r>
              <w:rPr>
                <w:rFonts w:ascii="Arial" w:cs="Arial" w:eastAsia="Arial" w:hAnsi="Arial"/>
                <w:sz w:val="17"/>
                <w:szCs w:val="17"/>
                <w:color w:val="auto"/>
              </w:rPr>
              <w:t>th</w:t>
            </w:r>
          </w:p>
        </w:tc>
        <w:tc>
          <w:tcPr>
            <w:tcW w:w="2420" w:type="dxa"/>
            <w:vAlign w:val="bottom"/>
            <w:gridSpan w:val="2"/>
          </w:tcPr>
          <w:p>
            <w:pPr>
              <w:jc w:val="right"/>
              <w:ind w:right="816"/>
              <w:spacing w:after="0"/>
              <w:rPr>
                <w:sz w:val="20"/>
                <w:szCs w:val="20"/>
                <w:color w:val="auto"/>
              </w:rPr>
            </w:pPr>
            <w:r>
              <w:rPr>
                <w:rFonts w:ascii="Arial" w:cs="Arial" w:eastAsia="Arial" w:hAnsi="Arial"/>
                <w:sz w:val="21"/>
                <w:szCs w:val="21"/>
                <w:color w:val="auto"/>
              </w:rPr>
              <w:t>0</w:t>
            </w:r>
          </w:p>
        </w:tc>
        <w:tc>
          <w:tcPr>
            <w:tcW w:w="40" w:type="dxa"/>
            <w:vAlign w:val="bottom"/>
          </w:tcPr>
          <w:p>
            <w:pPr>
              <w:spacing w:after="0"/>
              <w:rPr>
                <w:sz w:val="24"/>
                <w:szCs w:val="24"/>
                <w:color w:val="auto"/>
              </w:rPr>
            </w:pPr>
          </w:p>
        </w:tc>
      </w:tr>
    </w:tbl>
    <w:p>
      <w:pPr>
        <w:ind w:left="4180" w:right="60"/>
        <w:spacing w:after="0" w:line="242" w:lineRule="auto"/>
        <w:rPr>
          <w:sz w:val="20"/>
          <w:szCs w:val="20"/>
          <w:color w:val="auto"/>
        </w:rPr>
      </w:pPr>
      <w:r>
        <w:rPr>
          <w:rFonts w:ascii="Arial" w:cs="Arial" w:eastAsia="Arial" w:hAnsi="Arial"/>
          <w:sz w:val="21"/>
          <w:szCs w:val="21"/>
          <w:color w:val="auto"/>
        </w:rPr>
        <w:t>If the percentile ranking does not equal a ranking shown in the above table, the percentage of your target number of restricted stock units that vest will be determined by a linear interpolation between the next lowest percentile shown in the table and the next highest percentile shown on the table.</w:t>
      </w:r>
    </w:p>
    <w:p>
      <w:pPr>
        <w:spacing w:after="0" w:line="217" w:lineRule="exact"/>
        <w:rPr>
          <w:sz w:val="20"/>
          <w:szCs w:val="20"/>
          <w:color w:val="auto"/>
        </w:rPr>
      </w:pPr>
    </w:p>
    <w:p>
      <w:pPr>
        <w:ind w:left="4760" w:right="200" w:hanging="329"/>
        <w:spacing w:after="0" w:line="208" w:lineRule="auto"/>
        <w:tabs>
          <w:tab w:leader="none" w:pos="4760" w:val="left"/>
        </w:tabs>
        <w:numPr>
          <w:ilvl w:val="0"/>
          <w:numId w:val="11"/>
        </w:numPr>
        <w:rPr>
          <w:rFonts w:ascii="Courier New" w:cs="Courier New" w:eastAsia="Courier New" w:hAnsi="Courier New"/>
          <w:sz w:val="37"/>
          <w:szCs w:val="37"/>
          <w:color w:val="auto"/>
          <w:vertAlign w:val="superscript"/>
        </w:rPr>
      </w:pPr>
      <w:r>
        <w:rPr>
          <w:rFonts w:ascii="Arial" w:cs="Arial" w:eastAsia="Arial" w:hAnsi="Arial"/>
          <w:sz w:val="19"/>
          <w:szCs w:val="19"/>
          <w:color w:val="auto"/>
        </w:rPr>
        <w:t>If the percentile ranking is at or above the 75</w:t>
      </w:r>
      <w:r>
        <w:rPr>
          <w:rFonts w:ascii="Arial" w:cs="Arial" w:eastAsia="Arial" w:hAnsi="Arial"/>
          <w:sz w:val="31"/>
          <w:szCs w:val="31"/>
          <w:color w:val="auto"/>
          <w:vertAlign w:val="superscript"/>
        </w:rPr>
        <w:t>th</w:t>
      </w:r>
      <w:r>
        <w:rPr>
          <w:rFonts w:ascii="Arial" w:cs="Arial" w:eastAsia="Arial" w:hAnsi="Arial"/>
          <w:sz w:val="19"/>
          <w:szCs w:val="19"/>
          <w:color w:val="auto"/>
        </w:rPr>
        <w:t xml:space="preserve"> percentile, 150% of your target number of restricted stock units will vest.</w:t>
      </w:r>
    </w:p>
    <w:p>
      <w:pPr>
        <w:spacing w:after="0" w:line="203" w:lineRule="exact"/>
        <w:rPr>
          <w:rFonts w:ascii="Courier New" w:cs="Courier New" w:eastAsia="Courier New" w:hAnsi="Courier New"/>
          <w:sz w:val="37"/>
          <w:szCs w:val="37"/>
          <w:color w:val="auto"/>
          <w:vertAlign w:val="superscript"/>
        </w:rPr>
      </w:pPr>
    </w:p>
    <w:p>
      <w:pPr>
        <w:ind w:left="4760" w:right="40" w:hanging="329"/>
        <w:spacing w:after="0" w:line="188" w:lineRule="auto"/>
        <w:tabs>
          <w:tab w:leader="none" w:pos="4760" w:val="left"/>
        </w:tabs>
        <w:numPr>
          <w:ilvl w:val="0"/>
          <w:numId w:val="11"/>
        </w:numPr>
        <w:rPr>
          <w:rFonts w:ascii="Courier New" w:cs="Courier New" w:eastAsia="Courier New" w:hAnsi="Courier New"/>
          <w:sz w:val="41"/>
          <w:szCs w:val="41"/>
          <w:color w:val="auto"/>
          <w:vertAlign w:val="superscript"/>
        </w:rPr>
      </w:pPr>
      <w:r>
        <w:rPr>
          <w:rFonts w:ascii="Arial" w:cs="Arial" w:eastAsia="Arial" w:hAnsi="Arial"/>
          <w:sz w:val="21"/>
          <w:szCs w:val="21"/>
          <w:color w:val="auto"/>
        </w:rPr>
        <w:t>If the percentile ranking is at or below the 35</w:t>
      </w:r>
      <w:r>
        <w:rPr>
          <w:rFonts w:ascii="Arial" w:cs="Arial" w:eastAsia="Arial" w:hAnsi="Arial"/>
          <w:sz w:val="34"/>
          <w:szCs w:val="34"/>
          <w:color w:val="auto"/>
          <w:vertAlign w:val="superscript"/>
        </w:rPr>
        <w:t>th</w:t>
      </w:r>
      <w:r>
        <w:rPr>
          <w:rFonts w:ascii="Arial" w:cs="Arial" w:eastAsia="Arial" w:hAnsi="Arial"/>
          <w:sz w:val="21"/>
          <w:szCs w:val="21"/>
          <w:color w:val="auto"/>
        </w:rPr>
        <w:t xml:space="preserve"> percentile, none of your restricted stock units will vest.</w:t>
      </w:r>
    </w:p>
    <w:p>
      <w:pPr>
        <w:spacing w:after="0" w:line="196" w:lineRule="exact"/>
        <w:rPr>
          <w:sz w:val="20"/>
          <w:szCs w:val="20"/>
          <w:color w:val="auto"/>
        </w:rPr>
      </w:pPr>
    </w:p>
    <w:p>
      <w:pPr>
        <w:ind w:left="4760" w:right="40" w:hanging="329"/>
        <w:spacing w:after="0" w:line="297" w:lineRule="auto"/>
        <w:tabs>
          <w:tab w:leader="none" w:pos="4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Compensation Committee also will determine and certify the percentile ranking of Sempra Energy’s cumulative total shareholder return (consisting of per share appreciation in Common Stock plus dividends and other distributions paid on Common Stock) for the performance period beginning on January 1, 2008 and ending on the close of trading on the first New York Stock Exchange trading day of 2012 among the companies (ranking by cumulative total shareholder returns) in the S&amp;P 500 Composite Index. If the Compensation Committee determines and certifies that Sempra Energy’s cumulative total shareholder return is at or above the 50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percentile among the companies in</w:t>
      </w:r>
    </w:p>
    <w:p>
      <w:pPr>
        <w:sectPr>
          <w:pgSz w:w="11900" w:h="16982" w:orient="portrait"/>
          <w:cols w:equalWidth="0" w:num="1">
            <w:col w:w="10260"/>
          </w:cols>
          <w:pgMar w:left="240" w:top="120" w:right="1399" w:bottom="0" w:gutter="0" w:footer="0" w:header="0"/>
        </w:sectPr>
      </w:pPr>
    </w:p>
    <w:bookmarkStart w:id="56" w:name="page57"/>
    <w:bookmarkEnd w:id="56"/>
    <w:p>
      <w:pPr>
        <w:ind w:left="4760"/>
        <w:spacing w:after="0"/>
        <w:rPr>
          <w:sz w:val="20"/>
          <w:szCs w:val="20"/>
          <w:color w:val="auto"/>
        </w:rPr>
      </w:pPr>
      <w:r>
        <w:rPr>
          <w:rFonts w:ascii="Arial" w:cs="Arial" w:eastAsia="Arial" w:hAnsi="Arial"/>
          <w:sz w:val="20"/>
          <w:szCs w:val="20"/>
          <w:color w:val="auto"/>
        </w:rPr>
        <w:t>the S&amp;P 500 Composite Index, the percentage of your target</w:t>
      </w:r>
    </w:p>
    <w:p>
      <w:pPr>
        <w:spacing w:after="0" w:line="31" w:lineRule="exact"/>
        <w:rPr>
          <w:sz w:val="20"/>
          <w:szCs w:val="20"/>
          <w:color w:val="auto"/>
        </w:rPr>
      </w:pPr>
    </w:p>
    <w:p>
      <w:pPr>
        <w:ind w:left="4760"/>
        <w:spacing w:after="0"/>
        <w:rPr>
          <w:sz w:val="20"/>
          <w:szCs w:val="20"/>
          <w:color w:val="auto"/>
        </w:rPr>
      </w:pPr>
      <w:r>
        <w:rPr>
          <w:rFonts w:ascii="Arial" w:cs="Arial" w:eastAsia="Arial" w:hAnsi="Arial"/>
          <w:sz w:val="20"/>
          <w:szCs w:val="20"/>
          <w:color w:val="auto"/>
        </w:rPr>
        <w:t>number of restricted stock units that vest will be not less than</w:t>
      </w:r>
    </w:p>
    <w:p>
      <w:pPr>
        <w:spacing w:after="0" w:line="13" w:lineRule="exact"/>
        <w:rPr>
          <w:sz w:val="20"/>
          <w:szCs w:val="20"/>
          <w:color w:val="auto"/>
        </w:rPr>
      </w:pPr>
    </w:p>
    <w:p>
      <w:pPr>
        <w:ind w:left="4760"/>
        <w:spacing w:after="0"/>
        <w:rPr>
          <w:sz w:val="20"/>
          <w:szCs w:val="20"/>
          <w:color w:val="auto"/>
        </w:rPr>
      </w:pPr>
      <w:r>
        <w:rPr>
          <w:rFonts w:ascii="Arial" w:cs="Arial" w:eastAsia="Arial" w:hAnsi="Arial"/>
          <w:sz w:val="21"/>
          <w:szCs w:val="21"/>
          <w:color w:val="auto"/>
        </w:rPr>
        <w:t>100%.</w:t>
      </w:r>
    </w:p>
    <w:p>
      <w:pPr>
        <w:spacing w:after="0" w:line="186" w:lineRule="exact"/>
        <w:rPr>
          <w:sz w:val="20"/>
          <w:szCs w:val="20"/>
          <w:color w:val="auto"/>
        </w:rPr>
      </w:pPr>
    </w:p>
    <w:p>
      <w:pPr>
        <w:ind w:left="4760" w:hanging="329"/>
        <w:spacing w:after="0" w:line="256" w:lineRule="auto"/>
        <w:tabs>
          <w:tab w:leader="none" w:pos="4760" w:val="left"/>
        </w:tabs>
        <w:numPr>
          <w:ilvl w:val="0"/>
          <w:numId w:val="13"/>
        </w:numPr>
        <w:rPr>
          <w:rFonts w:ascii="Arial" w:cs="Arial" w:eastAsia="Arial" w:hAnsi="Arial"/>
          <w:sz w:val="20"/>
          <w:szCs w:val="20"/>
          <w:color w:val="auto"/>
        </w:rPr>
      </w:pPr>
      <w:r>
        <w:rPr>
          <w:rFonts w:ascii="Arial" w:cs="Arial" w:eastAsia="Arial" w:hAnsi="Arial"/>
          <w:sz w:val="20"/>
          <w:szCs w:val="20"/>
          <w:color w:val="auto"/>
        </w:rPr>
        <w:t>As soon as reasonably practicable following the end of the performance period, the Compensation Committee will determine and certify the extent to which Sempra Energy has met the performance criteria and the extent, if any, as to which your restricted stock units have then vested. You will receive the number of shares of Common Stock equal to the number of your vested restricted stock units after the Compensation Committee’s determination and certification. Also, you will receive the number of shares of Common Stock equal to your dividend equivalents after the Compensation Committee’s determination and certification. Certificates for the shares will be issued to you or transferred to an account that you designate. When the shares of Common Stock are issued to you, your restricted stock units (vested and unvested) and your dividend equival ents will terminate.</w:t>
      </w:r>
    </w:p>
    <w:p>
      <w:pPr>
        <w:spacing w:after="0" w:line="182" w:lineRule="exact"/>
        <w:rPr>
          <w:rFonts w:ascii="Arial" w:cs="Arial" w:eastAsia="Arial" w:hAnsi="Arial"/>
          <w:sz w:val="20"/>
          <w:szCs w:val="20"/>
          <w:color w:val="auto"/>
        </w:rPr>
      </w:pPr>
    </w:p>
    <w:p>
      <w:pPr>
        <w:ind w:left="4760" w:right="20" w:hanging="329"/>
        <w:spacing w:after="0" w:line="289" w:lineRule="auto"/>
        <w:tabs>
          <w:tab w:leader="none" w:pos="4760" w:val="left"/>
        </w:tabs>
        <w:numPr>
          <w:ilvl w:val="0"/>
          <w:numId w:val="13"/>
        </w:numPr>
        <w:rPr>
          <w:rFonts w:ascii="Arial" w:cs="Arial" w:eastAsia="Arial" w:hAnsi="Arial"/>
          <w:sz w:val="20"/>
          <w:szCs w:val="20"/>
          <w:color w:val="auto"/>
        </w:rPr>
      </w:pPr>
      <w:r>
        <w:rPr>
          <w:rFonts w:ascii="Arial" w:cs="Arial" w:eastAsia="Arial" w:hAnsi="Arial"/>
          <w:sz w:val="20"/>
          <w:szCs w:val="20"/>
          <w:color w:val="auto"/>
        </w:rPr>
        <w:t xml:space="preserve">Examples illustrating the application of the vesting provisions are shown in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to this Award Agreement.</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Page 4</w:t>
      </w:r>
    </w:p>
    <w:p>
      <w:pPr>
        <w:sectPr>
          <w:pgSz w:w="11900" w:h="16838" w:orient="portrait"/>
          <w:cols w:equalWidth="0" w:num="1">
            <w:col w:w="10220"/>
          </w:cols>
          <w:pgMar w:left="240" w:top="126" w:right="1439" w:bottom="1440" w:gutter="0" w:footer="0" w:header="0"/>
        </w:sectPr>
      </w:pPr>
    </w:p>
    <w:bookmarkStart w:id="57" w:name="page58"/>
    <w:bookmarkEnd w:id="57"/>
    <w:p>
      <w:pPr>
        <w:ind w:right="4800"/>
        <w:spacing w:after="0" w:line="295" w:lineRule="auto"/>
        <w:rPr>
          <w:sz w:val="20"/>
          <w:szCs w:val="20"/>
          <w:color w:val="auto"/>
        </w:rPr>
      </w:pPr>
      <w:r>
        <w:rPr>
          <w:rFonts w:ascii="Arial" w:cs="Arial" w:eastAsia="Arial" w:hAnsi="Arial"/>
          <w:sz w:val="20"/>
          <w:szCs w:val="20"/>
          <w:b w:val="1"/>
          <w:bCs w:val="1"/>
          <w:color w:val="auto"/>
        </w:rPr>
        <w:t>SEMPRA ENERGY 1998 LONG TERM INCENTIVE PLAN Year 2008 Restricted Stock Unit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3780" w:right="40" w:hanging="2619"/>
        <w:spacing w:after="0" w:line="264" w:lineRule="auto"/>
        <w:tabs>
          <w:tab w:leader="none" w:pos="3760" w:val="left"/>
        </w:tabs>
        <w:rPr>
          <w:sz w:val="20"/>
          <w:szCs w:val="20"/>
          <w:color w:val="auto"/>
        </w:rPr>
      </w:pPr>
      <w:r>
        <w:rPr>
          <w:rFonts w:ascii="Arial" w:cs="Arial" w:eastAsia="Arial" w:hAnsi="Arial"/>
          <w:sz w:val="21"/>
          <w:szCs w:val="21"/>
          <w:b w:val="1"/>
          <w:bCs w:val="1"/>
          <w:color w:val="auto"/>
        </w:rPr>
        <w:t>Transfer Restrictions:</w:t>
      </w:r>
      <w:r>
        <w:rPr>
          <w:sz w:val="20"/>
          <w:szCs w:val="20"/>
          <w:color w:val="auto"/>
        </w:rPr>
        <w:tab/>
      </w:r>
      <w:r>
        <w:rPr>
          <w:rFonts w:ascii="Arial" w:cs="Arial" w:eastAsia="Arial" w:hAnsi="Arial"/>
          <w:sz w:val="21"/>
          <w:szCs w:val="21"/>
          <w:color w:val="auto"/>
        </w:rPr>
        <w:t>You may not sell or otherwise transfer or assign your restricted stock units (or your dividend equivalents).</w:t>
      </w:r>
    </w:p>
    <w:p>
      <w:pPr>
        <w:spacing w:after="0" w:line="117" w:lineRule="exact"/>
        <w:rPr>
          <w:sz w:val="20"/>
          <w:szCs w:val="20"/>
          <w:color w:val="auto"/>
        </w:rPr>
      </w:pPr>
    </w:p>
    <w:p>
      <w:pPr>
        <w:ind w:left="3780" w:right="20" w:hanging="2619"/>
        <w:spacing w:after="0" w:line="287" w:lineRule="auto"/>
        <w:tabs>
          <w:tab w:leader="none" w:pos="3760" w:val="left"/>
        </w:tabs>
        <w:rPr>
          <w:sz w:val="20"/>
          <w:szCs w:val="20"/>
          <w:color w:val="auto"/>
        </w:rPr>
      </w:pPr>
      <w:r>
        <w:rPr>
          <w:rFonts w:ascii="Arial" w:cs="Arial" w:eastAsia="Arial" w:hAnsi="Arial"/>
          <w:sz w:val="21"/>
          <w:szCs w:val="21"/>
          <w:b w:val="1"/>
          <w:bCs w:val="1"/>
          <w:color w:val="auto"/>
        </w:rPr>
        <w:t>Dividend Equivalents:</w:t>
      </w:r>
      <w:r>
        <w:rPr>
          <w:sz w:val="20"/>
          <w:szCs w:val="20"/>
          <w:color w:val="auto"/>
        </w:rPr>
        <w:tab/>
      </w:r>
      <w:r>
        <w:rPr>
          <w:rFonts w:ascii="Arial" w:cs="Arial" w:eastAsia="Arial" w:hAnsi="Arial"/>
          <w:sz w:val="18"/>
          <w:szCs w:val="18"/>
          <w:color w:val="auto"/>
        </w:rPr>
        <w:t>You also have been awarded dividend equivalents with respect to your restricted stock units. Your dividend equivalents represent the right to receive additional shares of Common Stock in the future, subject to the terms and conditions of your award. Your dividend equivalents will be determined based on the dividends that you would have received, had you held shares of Common Stock equal to the vested number of your restricted stock units from the date of your award to the date of the distribution of shares of Common Stock following the vesting of your restricted stock units, and assuming that the dividends were reinvested in Common Stock (and any dividends on such shares were reinvested in Common Stock). The dividends will be deemed reinvested in Common Stock in the same manner as dividends reinvested pursuant to the terms of the Sempra Dividend Reinv estment Plan.</w:t>
      </w:r>
    </w:p>
    <w:p>
      <w:pPr>
        <w:spacing w:after="0" w:line="88" w:lineRule="exact"/>
        <w:rPr>
          <w:sz w:val="20"/>
          <w:szCs w:val="20"/>
          <w:color w:val="auto"/>
        </w:rPr>
      </w:pPr>
    </w:p>
    <w:p>
      <w:pPr>
        <w:ind w:left="3780" w:right="40"/>
        <w:spacing w:after="0" w:line="253" w:lineRule="auto"/>
        <w:rPr>
          <w:sz w:val="20"/>
          <w:szCs w:val="20"/>
          <w:color w:val="auto"/>
        </w:rPr>
      </w:pPr>
      <w:r>
        <w:rPr>
          <w:rFonts w:ascii="Arial" w:cs="Arial" w:eastAsia="Arial" w:hAnsi="Arial"/>
          <w:sz w:val="21"/>
          <w:szCs w:val="21"/>
          <w:color w:val="auto"/>
        </w:rPr>
        <w:t>Your dividend equivalents will be subject to the same transfer restrictions and forfeiture and vesting conditions. Your dividend equivalents will vest when your restricted stock units vest.</w:t>
      </w:r>
    </w:p>
    <w:p>
      <w:pPr>
        <w:spacing w:after="0" w:line="101" w:lineRule="exact"/>
        <w:rPr>
          <w:sz w:val="20"/>
          <w:szCs w:val="20"/>
          <w:color w:val="auto"/>
        </w:rPr>
      </w:pPr>
    </w:p>
    <w:p>
      <w:pPr>
        <w:ind w:left="3780"/>
        <w:spacing w:after="0" w:line="274" w:lineRule="auto"/>
        <w:rPr>
          <w:sz w:val="20"/>
          <w:szCs w:val="20"/>
          <w:color w:val="auto"/>
        </w:rPr>
      </w:pPr>
      <w:r>
        <w:rPr>
          <w:rFonts w:ascii="Arial" w:cs="Arial" w:eastAsia="Arial" w:hAnsi="Arial"/>
          <w:sz w:val="19"/>
          <w:szCs w:val="19"/>
          <w:color w:val="auto"/>
        </w:rPr>
        <w:t>Also, your restricted stock units (and dividend equivalents) will be adjusted to reflect stock dividends on shares of Common Stock or as the result of a stock-split, recapitalization, reorganization or other similar transaction in accordance with the terms and conditions of the 1998 Long Term Incentive Plan. Any additional restricted stock units (and dividend equivalents) awarded to you as a result of such an adjustment also will be subject to the same transfer restrictions, forfeiture and vesting conditions and other terms and conditions that are applicable to your restricted stock units.</w:t>
      </w:r>
    </w:p>
    <w:p>
      <w:pPr>
        <w:spacing w:after="0" w:line="119" w:lineRule="exact"/>
        <w:rPr>
          <w:sz w:val="20"/>
          <w:szCs w:val="20"/>
          <w:color w:val="auto"/>
        </w:rPr>
      </w:pPr>
    </w:p>
    <w:p>
      <w:pPr>
        <w:ind w:left="3780" w:right="360" w:hanging="2619"/>
        <w:spacing w:after="0" w:line="262" w:lineRule="auto"/>
        <w:tabs>
          <w:tab w:leader="none" w:pos="3760" w:val="left"/>
        </w:tabs>
        <w:rPr>
          <w:sz w:val="20"/>
          <w:szCs w:val="20"/>
          <w:color w:val="auto"/>
        </w:rPr>
      </w:pPr>
      <w:r>
        <w:rPr>
          <w:rFonts w:ascii="Arial" w:cs="Arial" w:eastAsia="Arial" w:hAnsi="Arial"/>
          <w:sz w:val="21"/>
          <w:szCs w:val="21"/>
          <w:b w:val="1"/>
          <w:bCs w:val="1"/>
          <w:color w:val="auto"/>
        </w:rPr>
        <w:t>No Shareholder Rights:</w:t>
      </w:r>
      <w:r>
        <w:rPr>
          <w:sz w:val="20"/>
          <w:szCs w:val="20"/>
          <w:color w:val="auto"/>
        </w:rPr>
        <w:tab/>
      </w:r>
      <w:r>
        <w:rPr>
          <w:rFonts w:ascii="Arial" w:cs="Arial" w:eastAsia="Arial" w:hAnsi="Arial"/>
          <w:sz w:val="20"/>
          <w:szCs w:val="20"/>
          <w:color w:val="auto"/>
        </w:rPr>
        <w:t>Your restricted stock units (and dividend equivalents) are not shares of Common Stock. You will have no rights as a shareholder unless and until shares of Common Stock are issued to you following the vesting of your restricted stock units (and dividend equivalents) as provided in this Agreement and the 1998 Long Term Incentive Plan.</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color w:val="auto"/>
        </w:rPr>
        <w:t>Page 5</w:t>
      </w:r>
    </w:p>
    <w:p>
      <w:pPr>
        <w:sectPr>
          <w:pgSz w:w="11900" w:h="16838" w:orient="portrait"/>
          <w:cols w:equalWidth="0" w:num="1">
            <w:col w:w="10260"/>
          </w:cols>
          <w:pgMar w:left="240" w:top="120" w:right="1399" w:bottom="1440" w:gutter="0" w:footer="0" w:header="0"/>
        </w:sectPr>
      </w:pPr>
    </w:p>
    <w:bookmarkStart w:id="58" w:name="page59"/>
    <w:bookmarkEnd w:id="58"/>
    <w:p>
      <w:pPr>
        <w:ind w:right="4800"/>
        <w:spacing w:after="0" w:line="295" w:lineRule="auto"/>
        <w:rPr>
          <w:sz w:val="20"/>
          <w:szCs w:val="20"/>
          <w:color w:val="auto"/>
        </w:rPr>
      </w:pPr>
      <w:r>
        <w:rPr>
          <w:rFonts w:ascii="Arial" w:cs="Arial" w:eastAsia="Arial" w:hAnsi="Arial"/>
          <w:sz w:val="20"/>
          <w:szCs w:val="20"/>
          <w:b w:val="1"/>
          <w:bCs w:val="1"/>
          <w:color w:val="auto"/>
        </w:rPr>
        <w:t>SEMPRA ENERGY 1998 LONG TERM INCENTIVE PLAN Year 2008 Restricted Stock Unit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3780" w:right="220" w:hanging="2619"/>
        <w:spacing w:after="0" w:line="249" w:lineRule="auto"/>
        <w:tabs>
          <w:tab w:leader="none" w:pos="3760" w:val="left"/>
        </w:tabs>
        <w:rPr>
          <w:sz w:val="20"/>
          <w:szCs w:val="20"/>
          <w:color w:val="auto"/>
        </w:rPr>
      </w:pPr>
      <w:r>
        <w:rPr>
          <w:rFonts w:ascii="Arial" w:cs="Arial" w:eastAsia="Arial" w:hAnsi="Arial"/>
          <w:sz w:val="21"/>
          <w:szCs w:val="21"/>
          <w:b w:val="1"/>
          <w:bCs w:val="1"/>
          <w:color w:val="auto"/>
        </w:rPr>
        <w:t>Distribution of Shares:</w:t>
      </w:r>
      <w:r>
        <w:rPr>
          <w:sz w:val="20"/>
          <w:szCs w:val="20"/>
          <w:color w:val="auto"/>
        </w:rPr>
        <w:tab/>
      </w:r>
      <w:r>
        <w:rPr>
          <w:rFonts w:ascii="Arial" w:cs="Arial" w:eastAsia="Arial" w:hAnsi="Arial"/>
          <w:sz w:val="21"/>
          <w:szCs w:val="21"/>
          <w:color w:val="auto"/>
        </w:rPr>
        <w:t>As described in “Vesting/Forfeiture” above, the Compensation Committee will determine and certify the extent to which Sempra Energy has met the performance criteria and the extent, if any, as to which your restricted stock units have then vested.</w:t>
      </w:r>
    </w:p>
    <w:p>
      <w:pPr>
        <w:spacing w:after="0" w:line="111" w:lineRule="exact"/>
        <w:rPr>
          <w:sz w:val="20"/>
          <w:szCs w:val="20"/>
          <w:color w:val="auto"/>
        </w:rPr>
      </w:pPr>
    </w:p>
    <w:p>
      <w:pPr>
        <w:ind w:left="3780" w:right="60"/>
        <w:spacing w:after="0" w:line="274" w:lineRule="auto"/>
        <w:rPr>
          <w:sz w:val="20"/>
          <w:szCs w:val="20"/>
          <w:color w:val="auto"/>
        </w:rPr>
      </w:pPr>
      <w:r>
        <w:rPr>
          <w:rFonts w:ascii="Arial" w:cs="Arial" w:eastAsia="Arial" w:hAnsi="Arial"/>
          <w:sz w:val="19"/>
          <w:szCs w:val="19"/>
          <w:color w:val="auto"/>
        </w:rPr>
        <w:t>You will receive the number of shares of Common Stock equal to the number of your restricted stock units that have vested. However, in no event will you receive under this award, and other awards granted to you under the 1998 Long Term Incentive Plan in the same fiscal year of Sempra Energy, more than the maximum number of shares of Common Stock permitted under the 1998 Long Term Incentive Plan. Also, you will receive the number of shares of Common Stock equal to your dividend equivalents after the Compensation Committee’s determination and certification.</w:t>
      </w:r>
    </w:p>
    <w:p>
      <w:pPr>
        <w:spacing w:after="0" w:line="84" w:lineRule="exact"/>
        <w:rPr>
          <w:sz w:val="20"/>
          <w:szCs w:val="20"/>
          <w:color w:val="auto"/>
        </w:rPr>
      </w:pPr>
    </w:p>
    <w:p>
      <w:pPr>
        <w:ind w:left="3780" w:right="160"/>
        <w:spacing w:after="0" w:line="247" w:lineRule="auto"/>
        <w:rPr>
          <w:sz w:val="20"/>
          <w:szCs w:val="20"/>
          <w:color w:val="auto"/>
        </w:rPr>
      </w:pPr>
      <w:r>
        <w:rPr>
          <w:rFonts w:ascii="Arial" w:cs="Arial" w:eastAsia="Arial" w:hAnsi="Arial"/>
          <w:sz w:val="21"/>
          <w:szCs w:val="21"/>
          <w:color w:val="auto"/>
        </w:rPr>
        <w:t>You will receive the shares as soon as practicable following the Compensation Committee’s determination and certification (and in no event later than March 15, 2012). Once you receive the shares of Common Stock, your vested and unvested restricted stock units (and dividend equivalents) will terminate.</w:t>
      </w:r>
    </w:p>
    <w:p>
      <w:pPr>
        <w:spacing w:after="0" w:line="142" w:lineRule="exact"/>
        <w:rPr>
          <w:sz w:val="20"/>
          <w:szCs w:val="20"/>
          <w:color w:val="auto"/>
        </w:rPr>
      </w:pPr>
    </w:p>
    <w:p>
      <w:pPr>
        <w:ind w:left="1160"/>
        <w:spacing w:after="0"/>
        <w:rPr>
          <w:sz w:val="20"/>
          <w:szCs w:val="20"/>
          <w:color w:val="auto"/>
        </w:rPr>
      </w:pPr>
      <w:r>
        <w:rPr>
          <w:rFonts w:ascii="Arial" w:cs="Arial" w:eastAsia="Arial" w:hAnsi="Arial"/>
          <w:sz w:val="21"/>
          <w:szCs w:val="21"/>
          <w:b w:val="1"/>
          <w:bCs w:val="1"/>
          <w:color w:val="auto"/>
        </w:rPr>
        <w:t>Termination of Employment:</w:t>
      </w:r>
    </w:p>
    <w:p>
      <w:pPr>
        <w:spacing w:after="0" w:line="170" w:lineRule="exact"/>
        <w:rPr>
          <w:sz w:val="20"/>
          <w:szCs w:val="20"/>
          <w:color w:val="auto"/>
        </w:rPr>
      </w:pPr>
    </w:p>
    <w:p>
      <w:pPr>
        <w:ind w:left="3780" w:right="220" w:hanging="2309"/>
        <w:spacing w:after="0" w:line="259" w:lineRule="auto"/>
        <w:tabs>
          <w:tab w:leader="none" w:pos="1630" w:val="left"/>
        </w:tabs>
        <w:numPr>
          <w:ilvl w:val="0"/>
          <w:numId w:val="14"/>
        </w:numPr>
        <w:rPr>
          <w:rFonts w:ascii="Arial" w:cs="Arial" w:eastAsia="Arial" w:hAnsi="Arial"/>
          <w:sz w:val="21"/>
          <w:szCs w:val="21"/>
          <w:i w:val="1"/>
          <w:iCs w:val="1"/>
          <w:color w:val="auto"/>
        </w:rPr>
      </w:pPr>
      <w:r>
        <w:rPr>
          <w:rFonts w:ascii="Arial" w:cs="Arial" w:eastAsia="Arial" w:hAnsi="Arial"/>
          <w:sz w:val="21"/>
          <w:szCs w:val="21"/>
          <w:i w:val="1"/>
          <w:iCs w:val="1"/>
          <w:color w:val="auto"/>
        </w:rPr>
        <w:t>Termination:</w:t>
      </w:r>
      <w:r>
        <w:rPr>
          <w:rFonts w:ascii="Arial" w:cs="Arial" w:eastAsia="Arial" w:hAnsi="Arial"/>
          <w:sz w:val="20"/>
          <w:szCs w:val="20"/>
          <w:color w:val="auto"/>
        </w:rPr>
        <w:t>If your employment with Sempra Energy and its subsidiaries terminates for any reason prior to the vesting of your restricted stock units (and dividend equivalents) (other than under the circumstances set forth in the next paragraph), all of your restricted stock units (and dividend equivalents) will be forfeited. The vesting of your restricted stock units does not occur until the date of the Compensation Committee’s determination and certification described above.</w:t>
      </w:r>
    </w:p>
    <w:p>
      <w:pPr>
        <w:spacing w:after="0" w:line="99" w:lineRule="exact"/>
        <w:rPr>
          <w:sz w:val="20"/>
          <w:szCs w:val="20"/>
          <w:color w:val="auto"/>
        </w:rPr>
      </w:pPr>
    </w:p>
    <w:p>
      <w:pPr>
        <w:ind w:left="3780"/>
        <w:spacing w:after="0" w:line="260" w:lineRule="auto"/>
        <w:rPr>
          <w:sz w:val="20"/>
          <w:szCs w:val="20"/>
          <w:color w:val="auto"/>
        </w:rPr>
      </w:pPr>
      <w:r>
        <w:rPr>
          <w:rFonts w:ascii="Arial" w:cs="Arial" w:eastAsia="Arial" w:hAnsi="Arial"/>
          <w:sz w:val="20"/>
          <w:szCs w:val="20"/>
          <w:color w:val="auto"/>
        </w:rPr>
        <w:t>If your employment terminates after December 31, 2008 and at the date of termination you had both (a) attained age 55 and (b) completed five years of continuous service with Sempra Energy and its subsidiaries, your restricted stock units (and dividend equivalents) will not be forfeited but will continue to be subject to the transfer restrictions and vesting conditions and other terms and conditions of this Agreement.</w:t>
      </w:r>
    </w:p>
    <w:p>
      <w:pPr>
        <w:spacing w:after="0" w:line="126" w:lineRule="exact"/>
        <w:rPr>
          <w:sz w:val="20"/>
          <w:szCs w:val="20"/>
          <w:color w:val="auto"/>
        </w:rPr>
      </w:pPr>
    </w:p>
    <w:p>
      <w:pPr>
        <w:ind w:left="3780" w:right="180" w:hanging="2471"/>
        <w:spacing w:after="0" w:line="258" w:lineRule="auto"/>
        <w:tabs>
          <w:tab w:leader="none" w:pos="1468" w:val="left"/>
        </w:tabs>
        <w:numPr>
          <w:ilvl w:val="0"/>
          <w:numId w:val="15"/>
        </w:numPr>
        <w:rPr>
          <w:rFonts w:ascii="Arial" w:cs="Arial" w:eastAsia="Arial" w:hAnsi="Arial"/>
          <w:sz w:val="21"/>
          <w:szCs w:val="21"/>
          <w:i w:val="1"/>
          <w:iCs w:val="1"/>
          <w:color w:val="auto"/>
        </w:rPr>
      </w:pPr>
      <w:r>
        <w:rPr>
          <w:rFonts w:ascii="Arial" w:cs="Arial" w:eastAsia="Arial" w:hAnsi="Arial"/>
          <w:sz w:val="21"/>
          <w:szCs w:val="21"/>
          <w:i w:val="1"/>
          <w:iCs w:val="1"/>
          <w:color w:val="auto"/>
        </w:rPr>
        <w:t>Leaves of Absence:</w:t>
      </w:r>
      <w:r>
        <w:rPr>
          <w:rFonts w:ascii="Arial" w:cs="Arial" w:eastAsia="Arial" w:hAnsi="Arial"/>
          <w:sz w:val="20"/>
          <w:szCs w:val="20"/>
          <w:color w:val="auto"/>
        </w:rPr>
        <w:t xml:space="preserve">Your employment does not terminate when you go on military leave, a sick leave or another </w:t>
      </w:r>
      <w:r>
        <w:rPr>
          <w:rFonts w:ascii="Arial" w:cs="Arial" w:eastAsia="Arial" w:hAnsi="Arial"/>
          <w:sz w:val="20"/>
          <w:szCs w:val="20"/>
          <w:i w:val="1"/>
          <w:iCs w:val="1"/>
          <w:color w:val="auto"/>
        </w:rPr>
        <w:t>bona fide</w:t>
      </w:r>
      <w:r>
        <w:rPr>
          <w:rFonts w:ascii="Arial" w:cs="Arial" w:eastAsia="Arial" w:hAnsi="Arial"/>
          <w:sz w:val="20"/>
          <w:szCs w:val="20"/>
          <w:color w:val="auto"/>
        </w:rPr>
        <w:t xml:space="preserve"> leave of absence, if the leave was approved by your employer in writing. But your employment will be treated as terminating 90 days after you went on leave, unless your right to return to active work is guaranteed by law or by a contract. And your employment terminates in any event when the approved leave ends, unless you immediately return to active work. Your employer determines which leaves count for this purpose.</w:t>
      </w:r>
    </w:p>
    <w:p>
      <w:pPr>
        <w:spacing w:after="0" w:line="123" w:lineRule="exact"/>
        <w:rPr>
          <w:sz w:val="20"/>
          <w:szCs w:val="20"/>
          <w:color w:val="auto"/>
        </w:rPr>
      </w:pPr>
    </w:p>
    <w:p>
      <w:pPr>
        <w:ind w:left="1160"/>
        <w:spacing w:after="0"/>
        <w:tabs>
          <w:tab w:leader="none" w:pos="3760" w:val="left"/>
        </w:tabs>
        <w:rPr>
          <w:sz w:val="20"/>
          <w:szCs w:val="20"/>
          <w:color w:val="auto"/>
        </w:rPr>
      </w:pPr>
      <w:r>
        <w:rPr>
          <w:rFonts w:ascii="Arial" w:cs="Arial" w:eastAsia="Arial" w:hAnsi="Arial"/>
          <w:sz w:val="19"/>
          <w:szCs w:val="19"/>
          <w:b w:val="1"/>
          <w:bCs w:val="1"/>
          <w:color w:val="auto"/>
        </w:rPr>
        <w:t>Taxes:</w:t>
      </w:r>
      <w:r>
        <w:rPr>
          <w:sz w:val="20"/>
          <w:szCs w:val="20"/>
          <w:color w:val="auto"/>
        </w:rPr>
        <w:tab/>
      </w:r>
      <w:r>
        <w:rPr>
          <w:rFonts w:ascii="Arial" w:cs="Arial" w:eastAsia="Arial" w:hAnsi="Arial"/>
          <w:sz w:val="19"/>
          <w:szCs w:val="19"/>
          <w:i w:val="1"/>
          <w:iCs w:val="1"/>
          <w:color w:val="auto"/>
        </w:rPr>
        <w:t>The following is a general summary of the federal income tax consequences</w:t>
      </w:r>
    </w:p>
    <w:p>
      <w:pPr>
        <w:spacing w:after="0" w:line="49" w:lineRule="exact"/>
        <w:rPr>
          <w:sz w:val="20"/>
          <w:szCs w:val="20"/>
          <w:color w:val="auto"/>
        </w:rPr>
      </w:pPr>
    </w:p>
    <w:p>
      <w:pPr>
        <w:ind w:left="3780" w:right="120"/>
        <w:spacing w:after="0" w:line="293" w:lineRule="auto"/>
        <w:rPr>
          <w:sz w:val="20"/>
          <w:szCs w:val="20"/>
          <w:color w:val="auto"/>
        </w:rPr>
      </w:pPr>
      <w:r>
        <w:rPr>
          <w:rFonts w:ascii="Arial" w:cs="Arial" w:eastAsia="Arial" w:hAnsi="Arial"/>
          <w:sz w:val="18"/>
          <w:szCs w:val="18"/>
          <w:i w:val="1"/>
          <w:iCs w:val="1"/>
          <w:color w:val="auto"/>
        </w:rPr>
        <w:t>of your Restricted Stock Unit Award. The summary may not cover your particular circumstances because it does not consider foreign, state, local or other tax laws and does not describe future changes in tax rules. You are urged to consult your tax advisor regarding the specific tax consequences applicable to you rather than relying on this general summary.</w:t>
      </w:r>
    </w:p>
    <w:p>
      <w:pPr>
        <w:sectPr>
          <w:pgSz w:w="11900" w:h="16838" w:orient="portrait"/>
          <w:cols w:equalWidth="0" w:num="1">
            <w:col w:w="10260"/>
          </w:cols>
          <w:pgMar w:left="240" w:top="120" w:right="1399" w:bottom="1440" w:gutter="0" w:footer="0" w:header="0"/>
        </w:sect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4"/>
          <w:szCs w:val="14"/>
          <w:color w:val="auto"/>
        </w:rPr>
        <w:t>Page 6</w:t>
      </w:r>
    </w:p>
    <w:p>
      <w:pPr>
        <w:sectPr>
          <w:pgSz w:w="11900" w:h="16838" w:orient="portrait"/>
          <w:cols w:equalWidth="0" w:num="1">
            <w:col w:w="10260"/>
          </w:cols>
          <w:pgMar w:left="240" w:top="120" w:right="1399" w:bottom="1440" w:gutter="0" w:footer="0" w:header="0"/>
          <w:type w:val="continuous"/>
        </w:sectPr>
      </w:pPr>
    </w:p>
    <w:bookmarkStart w:id="59" w:name="page60"/>
    <w:bookmarkEnd w:id="59"/>
    <w:p>
      <w:pPr>
        <w:ind w:right="4800"/>
        <w:spacing w:after="0" w:line="295" w:lineRule="auto"/>
        <w:rPr>
          <w:sz w:val="20"/>
          <w:szCs w:val="20"/>
          <w:color w:val="auto"/>
        </w:rPr>
      </w:pPr>
      <w:r>
        <w:rPr>
          <w:rFonts w:ascii="Arial" w:cs="Arial" w:eastAsia="Arial" w:hAnsi="Arial"/>
          <w:sz w:val="20"/>
          <w:szCs w:val="20"/>
          <w:b w:val="1"/>
          <w:bCs w:val="1"/>
          <w:color w:val="auto"/>
        </w:rPr>
        <w:t>SEMPRA ENERGY 1998 LONG TERM INCENTIVE PLAN Year 2008 Restricted Stock Unit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3780" w:right="460" w:hanging="2309"/>
        <w:spacing w:after="0" w:line="253" w:lineRule="auto"/>
        <w:tabs>
          <w:tab w:leader="none" w:pos="1630" w:val="left"/>
        </w:tabs>
        <w:numPr>
          <w:ilvl w:val="0"/>
          <w:numId w:val="16"/>
        </w:numPr>
        <w:rPr>
          <w:rFonts w:ascii="Arial" w:cs="Arial" w:eastAsia="Arial" w:hAnsi="Arial"/>
          <w:sz w:val="21"/>
          <w:szCs w:val="21"/>
          <w:i w:val="1"/>
          <w:iCs w:val="1"/>
          <w:color w:val="auto"/>
        </w:rPr>
      </w:pPr>
      <w:r>
        <w:rPr>
          <w:rFonts w:ascii="Arial" w:cs="Arial" w:eastAsia="Arial" w:hAnsi="Arial"/>
          <w:sz w:val="21"/>
          <w:szCs w:val="21"/>
          <w:i w:val="1"/>
          <w:iCs w:val="1"/>
          <w:color w:val="auto"/>
        </w:rPr>
        <w:t>Generally:</w:t>
      </w:r>
      <w:r>
        <w:rPr>
          <w:rFonts w:ascii="Arial" w:cs="Arial" w:eastAsia="Arial" w:hAnsi="Arial"/>
          <w:sz w:val="21"/>
          <w:szCs w:val="21"/>
          <w:color w:val="auto"/>
        </w:rPr>
        <w:t>You will not be subject to federal income taxes on your award until you receive shares of Common Stock following the vesting of your restricted stock units.</w:t>
      </w:r>
    </w:p>
    <w:p>
      <w:pPr>
        <w:spacing w:after="0" w:line="141" w:lineRule="exact"/>
        <w:rPr>
          <w:sz w:val="20"/>
          <w:szCs w:val="20"/>
          <w:color w:val="auto"/>
        </w:rPr>
      </w:pPr>
    </w:p>
    <w:p>
      <w:pPr>
        <w:ind w:left="3780" w:right="180"/>
        <w:spacing w:after="0" w:line="317" w:lineRule="auto"/>
        <w:rPr>
          <w:sz w:val="20"/>
          <w:szCs w:val="20"/>
          <w:color w:val="auto"/>
        </w:rPr>
      </w:pPr>
      <w:r>
        <w:rPr>
          <w:rFonts w:ascii="Arial" w:cs="Arial" w:eastAsia="Arial" w:hAnsi="Arial"/>
          <w:sz w:val="19"/>
          <w:szCs w:val="19"/>
          <w:color w:val="auto"/>
        </w:rPr>
        <w:t>When you receive your shares, you will realize taxable income based on the fair market value of the shares at the time you receive the shares.</w:t>
      </w:r>
    </w:p>
    <w:p>
      <w:pPr>
        <w:spacing w:after="0" w:line="71" w:lineRule="exact"/>
        <w:rPr>
          <w:sz w:val="20"/>
          <w:szCs w:val="20"/>
          <w:color w:val="auto"/>
        </w:rPr>
      </w:pPr>
    </w:p>
    <w:p>
      <w:pPr>
        <w:ind w:left="3780" w:right="200"/>
        <w:spacing w:after="0" w:line="253" w:lineRule="auto"/>
        <w:rPr>
          <w:sz w:val="20"/>
          <w:szCs w:val="20"/>
          <w:color w:val="auto"/>
        </w:rPr>
      </w:pPr>
      <w:r>
        <w:rPr>
          <w:rFonts w:ascii="Arial" w:cs="Arial" w:eastAsia="Arial" w:hAnsi="Arial"/>
          <w:sz w:val="21"/>
          <w:szCs w:val="21"/>
          <w:color w:val="auto"/>
        </w:rPr>
        <w:t>When you sell your shares you may also realize taxable gain (or loss) based upon the difference between the sales price and the amount that you have previously recognized as income.</w:t>
      </w:r>
    </w:p>
    <w:p>
      <w:pPr>
        <w:spacing w:after="0" w:line="141" w:lineRule="exact"/>
        <w:rPr>
          <w:sz w:val="20"/>
          <w:szCs w:val="20"/>
          <w:color w:val="auto"/>
        </w:rPr>
      </w:pPr>
    </w:p>
    <w:p>
      <w:pPr>
        <w:ind w:left="3780" w:right="100" w:hanging="2309"/>
        <w:spacing w:after="0" w:line="244" w:lineRule="auto"/>
        <w:tabs>
          <w:tab w:leader="none" w:pos="1630" w:val="left"/>
        </w:tabs>
        <w:numPr>
          <w:ilvl w:val="0"/>
          <w:numId w:val="17"/>
        </w:numPr>
        <w:rPr>
          <w:rFonts w:ascii="Arial" w:cs="Arial" w:eastAsia="Arial" w:hAnsi="Arial"/>
          <w:sz w:val="21"/>
          <w:szCs w:val="21"/>
          <w:i w:val="1"/>
          <w:iCs w:val="1"/>
          <w:color w:val="auto"/>
        </w:rPr>
      </w:pPr>
      <w:r>
        <w:rPr>
          <w:rFonts w:ascii="Arial" w:cs="Arial" w:eastAsia="Arial" w:hAnsi="Arial"/>
          <w:sz w:val="21"/>
          <w:szCs w:val="21"/>
          <w:i w:val="1"/>
          <w:iCs w:val="1"/>
          <w:color w:val="auto"/>
        </w:rPr>
        <w:t>Withholding Taxes:</w:t>
      </w:r>
      <w:r>
        <w:rPr>
          <w:rFonts w:ascii="Arial" w:cs="Arial" w:eastAsia="Arial" w:hAnsi="Arial"/>
          <w:sz w:val="21"/>
          <w:szCs w:val="21"/>
          <w:color w:val="auto"/>
        </w:rPr>
        <w:t>When you become subject to income taxes upon your receipt of the shares of Common Stock, Sempra Energy or its subsidiary is required to withhold taxes. Unless you instruct otherwise and pay or make arrangements satisfactory to Sempra Energy to pay these taxes, upon the distribution of your shares, Sempra Energy will withhold a sufficient number of the shares (valued at the distribution date fair market value) to cover the minimum required withholding taxes and transfer to you only the remaining balance of your shares.</w:t>
      </w:r>
    </w:p>
    <w:p>
      <w:pPr>
        <w:spacing w:after="0" w:line="96" w:lineRule="exact"/>
        <w:rPr>
          <w:sz w:val="20"/>
          <w:szCs w:val="20"/>
          <w:color w:val="auto"/>
        </w:rPr>
      </w:pPr>
    </w:p>
    <w:p>
      <w:pPr>
        <w:ind w:left="3780" w:right="140" w:hanging="2619"/>
        <w:spacing w:after="0" w:line="277" w:lineRule="auto"/>
        <w:tabs>
          <w:tab w:leader="none" w:pos="3760" w:val="left"/>
        </w:tabs>
        <w:rPr>
          <w:sz w:val="20"/>
          <w:szCs w:val="20"/>
          <w:color w:val="auto"/>
        </w:rPr>
      </w:pPr>
      <w:r>
        <w:rPr>
          <w:rFonts w:ascii="Arial" w:cs="Arial" w:eastAsia="Arial" w:hAnsi="Arial"/>
          <w:sz w:val="21"/>
          <w:szCs w:val="21"/>
          <w:b w:val="1"/>
          <w:bCs w:val="1"/>
          <w:color w:val="auto"/>
        </w:rPr>
        <w:t>Retention Rights:</w:t>
      </w:r>
      <w:r>
        <w:rPr>
          <w:sz w:val="20"/>
          <w:szCs w:val="20"/>
          <w:color w:val="auto"/>
        </w:rPr>
        <w:tab/>
      </w:r>
      <w:r>
        <w:rPr>
          <w:rFonts w:ascii="Arial" w:cs="Arial" w:eastAsia="Arial" w:hAnsi="Arial"/>
          <w:sz w:val="19"/>
          <w:szCs w:val="19"/>
          <w:color w:val="auto"/>
        </w:rPr>
        <w:t>Neither your restricted stock unit award nor this Agreement gives you any right to be retained by Sempra Energy or any of its subsidiaries in any capacity and your employer reserves the right to terminate your employment at any time, with or without cause. The value of your award will not be included as compensation or earnings for purposes of any other benefit plan offered by Sempra Energy or any of its subsidiaries.</w:t>
      </w:r>
    </w:p>
    <w:p>
      <w:pPr>
        <w:spacing w:after="0" w:line="81" w:lineRule="exact"/>
        <w:rPr>
          <w:sz w:val="20"/>
          <w:szCs w:val="20"/>
          <w:color w:val="auto"/>
        </w:rPr>
      </w:pPr>
    </w:p>
    <w:p>
      <w:pPr>
        <w:ind w:left="3780" w:hanging="2619"/>
        <w:spacing w:after="0" w:line="245" w:lineRule="auto"/>
        <w:tabs>
          <w:tab w:leader="none" w:pos="3760" w:val="left"/>
        </w:tabs>
        <w:rPr>
          <w:sz w:val="20"/>
          <w:szCs w:val="20"/>
          <w:color w:val="auto"/>
        </w:rPr>
      </w:pPr>
      <w:r>
        <w:rPr>
          <w:rFonts w:ascii="Arial" w:cs="Arial" w:eastAsia="Arial" w:hAnsi="Arial"/>
          <w:sz w:val="21"/>
          <w:szCs w:val="21"/>
          <w:b w:val="1"/>
          <w:bCs w:val="1"/>
          <w:color w:val="auto"/>
        </w:rPr>
        <w:t>Change in Control:</w:t>
      </w:r>
      <w:r>
        <w:rPr>
          <w:sz w:val="20"/>
          <w:szCs w:val="20"/>
          <w:color w:val="auto"/>
        </w:rPr>
        <w:tab/>
      </w:r>
      <w:r>
        <w:rPr>
          <w:rFonts w:ascii="Arial" w:cs="Arial" w:eastAsia="Arial" w:hAnsi="Arial"/>
          <w:sz w:val="21"/>
          <w:szCs w:val="21"/>
          <w:color w:val="auto"/>
        </w:rPr>
        <w:t>Subject to certain limitations set forth in the 1998 Long Term Incentive Plan, in the event of a Change in Control (as defined in the plan) of Sempra Energy during the performance period beginning on January 1, 2008 and ending on the first New York Stock Exchange trading day of 2012, unless your restricted stock units have been forfeited prior to the Change in Control, 150% of your target number of restricted stock units will vest in the event of a Change in Control.</w:t>
      </w:r>
    </w:p>
    <w:p>
      <w:pPr>
        <w:spacing w:after="0" w:line="90" w:lineRule="exact"/>
        <w:rPr>
          <w:sz w:val="20"/>
          <w:szCs w:val="20"/>
          <w:color w:val="auto"/>
        </w:rPr>
      </w:pPr>
    </w:p>
    <w:p>
      <w:pPr>
        <w:ind w:left="3780" w:right="60"/>
        <w:spacing w:after="0" w:line="247" w:lineRule="auto"/>
        <w:rPr>
          <w:sz w:val="20"/>
          <w:szCs w:val="20"/>
          <w:color w:val="auto"/>
        </w:rPr>
      </w:pPr>
      <w:r>
        <w:rPr>
          <w:rFonts w:ascii="Arial" w:cs="Arial" w:eastAsia="Arial" w:hAnsi="Arial"/>
          <w:sz w:val="21"/>
          <w:szCs w:val="21"/>
          <w:color w:val="auto"/>
        </w:rPr>
        <w:t>You will receive the number of shares of Common Stock equal to the number of your restricted stock units that have vested. Also, you will receive the number of shares of Common Stock equal to your dividend equivalents. You will receive the shares of Common Stock immediately prior to the Change in Control.</w:t>
      </w:r>
    </w:p>
    <w:p>
      <w:pPr>
        <w:spacing w:after="0" w:line="81" w:lineRule="exact"/>
        <w:rPr>
          <w:sz w:val="20"/>
          <w:szCs w:val="20"/>
          <w:color w:val="auto"/>
        </w:rPr>
      </w:pPr>
    </w:p>
    <w:p>
      <w:pPr>
        <w:ind w:left="3780" w:right="160"/>
        <w:spacing w:after="0" w:line="264" w:lineRule="auto"/>
        <w:rPr>
          <w:sz w:val="20"/>
          <w:szCs w:val="20"/>
          <w:color w:val="auto"/>
        </w:rPr>
      </w:pPr>
      <w:r>
        <w:rPr>
          <w:rFonts w:ascii="Arial" w:cs="Arial" w:eastAsia="Arial" w:hAnsi="Arial"/>
          <w:sz w:val="21"/>
          <w:szCs w:val="21"/>
          <w:color w:val="auto"/>
        </w:rPr>
        <w:t>Upon the Change in Control, your vested and unvested restricted stock units (and dividend equivalents) will terminate.</w:t>
      </w:r>
    </w:p>
    <w:p>
      <w:pPr>
        <w:spacing w:after="0" w:line="70" w:lineRule="exact"/>
        <w:rPr>
          <w:sz w:val="20"/>
          <w:szCs w:val="20"/>
          <w:color w:val="auto"/>
        </w:rPr>
      </w:pPr>
    </w:p>
    <w:p>
      <w:pPr>
        <w:ind w:left="3780" w:right="200" w:hanging="2619"/>
        <w:spacing w:after="0" w:line="264" w:lineRule="auto"/>
        <w:tabs>
          <w:tab w:leader="none" w:pos="3760" w:val="left"/>
        </w:tabs>
        <w:rPr>
          <w:sz w:val="20"/>
          <w:szCs w:val="20"/>
          <w:color w:val="auto"/>
        </w:rPr>
      </w:pPr>
      <w:r>
        <w:rPr>
          <w:rFonts w:ascii="Arial" w:cs="Arial" w:eastAsia="Arial" w:hAnsi="Arial"/>
          <w:sz w:val="21"/>
          <w:szCs w:val="21"/>
          <w:b w:val="1"/>
          <w:bCs w:val="1"/>
          <w:color w:val="auto"/>
        </w:rPr>
        <w:t>Further Actions:</w:t>
      </w:r>
      <w:r>
        <w:rPr>
          <w:sz w:val="20"/>
          <w:szCs w:val="20"/>
          <w:color w:val="auto"/>
        </w:rPr>
        <w:tab/>
      </w:r>
      <w:r>
        <w:rPr>
          <w:rFonts w:ascii="Arial" w:cs="Arial" w:eastAsia="Arial" w:hAnsi="Arial"/>
          <w:sz w:val="21"/>
          <w:szCs w:val="21"/>
          <w:color w:val="auto"/>
        </w:rPr>
        <w:t>You agree to take all actions and execute all documents appropriate to carry out the provisions of this Agreement.</w:t>
      </w:r>
    </w:p>
    <w:p>
      <w:pPr>
        <w:spacing w:after="0" w:line="69" w:lineRule="exact"/>
        <w:rPr>
          <w:sz w:val="20"/>
          <w:szCs w:val="20"/>
          <w:color w:val="auto"/>
        </w:rPr>
      </w:pPr>
    </w:p>
    <w:p>
      <w:pPr>
        <w:ind w:left="3780" w:right="200"/>
        <w:spacing w:after="0" w:line="262" w:lineRule="auto"/>
        <w:rPr>
          <w:sz w:val="20"/>
          <w:szCs w:val="20"/>
          <w:color w:val="auto"/>
        </w:rPr>
      </w:pPr>
      <w:r>
        <w:rPr>
          <w:rFonts w:ascii="Arial" w:cs="Arial" w:eastAsia="Arial" w:hAnsi="Arial"/>
          <w:sz w:val="20"/>
          <w:szCs w:val="20"/>
          <w:color w:val="auto"/>
        </w:rPr>
        <w:t>You also appoint as your attorney-in-fact each individual who at the time of so acting is the Secretary or an Assistant Secretary of Sempra Energy with full authority to effect any transfer of any shares of Common Stock distributable to you, including any transfer to pay withholding taxes, that is authorized by this Agreement.</w:t>
      </w:r>
    </w:p>
    <w:p>
      <w:pPr>
        <w:spacing w:after="0" w:line="116" w:lineRule="exact"/>
        <w:rPr>
          <w:sz w:val="20"/>
          <w:szCs w:val="20"/>
          <w:color w:val="auto"/>
        </w:rPr>
      </w:pPr>
    </w:p>
    <w:p>
      <w:pPr>
        <w:ind w:left="3780" w:right="180" w:hanging="2619"/>
        <w:spacing w:after="0" w:line="264" w:lineRule="auto"/>
        <w:tabs>
          <w:tab w:leader="none" w:pos="3760" w:val="left"/>
        </w:tabs>
        <w:rPr>
          <w:sz w:val="20"/>
          <w:szCs w:val="20"/>
          <w:color w:val="auto"/>
        </w:rPr>
      </w:pPr>
      <w:r>
        <w:rPr>
          <w:rFonts w:ascii="Arial" w:cs="Arial" w:eastAsia="Arial" w:hAnsi="Arial"/>
          <w:sz w:val="21"/>
          <w:szCs w:val="21"/>
          <w:b w:val="1"/>
          <w:bCs w:val="1"/>
          <w:color w:val="auto"/>
        </w:rPr>
        <w:t>Applicable Law:</w:t>
      </w:r>
      <w:r>
        <w:rPr>
          <w:sz w:val="20"/>
          <w:szCs w:val="20"/>
          <w:color w:val="auto"/>
        </w:rPr>
        <w:tab/>
      </w:r>
      <w:r>
        <w:rPr>
          <w:rFonts w:ascii="Arial" w:cs="Arial" w:eastAsia="Arial" w:hAnsi="Arial"/>
          <w:sz w:val="21"/>
          <w:szCs w:val="21"/>
          <w:color w:val="auto"/>
        </w:rPr>
        <w:t>This Agreement will be interpreted and enforced under the laws of the State of California.</w:t>
      </w:r>
    </w:p>
    <w:p>
      <w:pPr>
        <w:sectPr>
          <w:pgSz w:w="11900" w:h="16838" w:orient="portrait"/>
          <w:cols w:equalWidth="0" w:num="1">
            <w:col w:w="10260"/>
          </w:cols>
          <w:pgMar w:left="240" w:top="120" w:right="1399" w:bottom="1440" w:gutter="0" w:footer="0" w:header="0"/>
        </w:sect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4"/>
          <w:szCs w:val="14"/>
          <w:color w:val="auto"/>
        </w:rPr>
        <w:t>Page 7</w:t>
      </w:r>
    </w:p>
    <w:p>
      <w:pPr>
        <w:sectPr>
          <w:pgSz w:w="11900" w:h="16838" w:orient="portrait"/>
          <w:cols w:equalWidth="0" w:num="1">
            <w:col w:w="10260"/>
          </w:cols>
          <w:pgMar w:left="240" w:top="120" w:right="1399" w:bottom="1440" w:gutter="0" w:footer="0" w:header="0"/>
          <w:type w:val="continuous"/>
        </w:sectPr>
      </w:pPr>
    </w:p>
    <w:bookmarkStart w:id="60" w:name="page61"/>
    <w:bookmarkEnd w:id="60"/>
    <w:p>
      <w:pPr>
        <w:ind w:right="4780"/>
        <w:spacing w:after="0" w:line="295" w:lineRule="auto"/>
        <w:rPr>
          <w:sz w:val="20"/>
          <w:szCs w:val="20"/>
          <w:color w:val="auto"/>
        </w:rPr>
      </w:pPr>
      <w:r>
        <w:rPr>
          <w:rFonts w:ascii="Arial" w:cs="Arial" w:eastAsia="Arial" w:hAnsi="Arial"/>
          <w:sz w:val="20"/>
          <w:szCs w:val="20"/>
          <w:b w:val="1"/>
          <w:bCs w:val="1"/>
          <w:color w:val="auto"/>
        </w:rPr>
        <w:t>SEMPRA ENERGY 1998 LONG TERM INCENTIVE PLAN Year 2008 Restricted Stock Unit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3780" w:hanging="2619"/>
        <w:spacing w:after="0" w:line="283" w:lineRule="auto"/>
        <w:tabs>
          <w:tab w:leader="none" w:pos="3760" w:val="left"/>
        </w:tabs>
        <w:rPr>
          <w:sz w:val="20"/>
          <w:szCs w:val="20"/>
          <w:color w:val="auto"/>
        </w:rPr>
      </w:pPr>
      <w:r>
        <w:rPr>
          <w:rFonts w:ascii="Arial" w:cs="Arial" w:eastAsia="Arial" w:hAnsi="Arial"/>
          <w:sz w:val="21"/>
          <w:szCs w:val="21"/>
          <w:b w:val="1"/>
          <w:bCs w:val="1"/>
          <w:color w:val="auto"/>
        </w:rPr>
        <w:t>Other Agreements:</w:t>
      </w:r>
      <w:r>
        <w:rPr>
          <w:sz w:val="20"/>
          <w:szCs w:val="20"/>
          <w:color w:val="auto"/>
        </w:rPr>
        <w:tab/>
      </w:r>
      <w:r>
        <w:rPr>
          <w:rFonts w:ascii="Arial" w:cs="Arial" w:eastAsia="Arial" w:hAnsi="Arial"/>
          <w:sz w:val="19"/>
          <w:szCs w:val="19"/>
          <w:color w:val="auto"/>
        </w:rPr>
        <w:t>In the event of any conflict between the terms of this Agreement and any written employment, severance or other employment-related agreement between you and Sempra Energy, the terms of this Agreement, or the terms of such other agreement, whichever are more favorable to you, shall prevail.</w:t>
      </w:r>
    </w:p>
    <w:p>
      <w:pPr>
        <w:spacing w:after="0" w:line="204" w:lineRule="exact"/>
        <w:rPr>
          <w:sz w:val="20"/>
          <w:szCs w:val="20"/>
          <w:color w:val="auto"/>
        </w:rPr>
      </w:pPr>
    </w:p>
    <w:p>
      <w:pPr>
        <w:jc w:val="center"/>
        <w:ind w:right="-1199"/>
        <w:spacing w:after="0"/>
        <w:rPr>
          <w:sz w:val="20"/>
          <w:szCs w:val="20"/>
          <w:color w:val="auto"/>
        </w:rPr>
      </w:pPr>
      <w:r>
        <w:rPr>
          <w:rFonts w:ascii="Arial" w:cs="Arial" w:eastAsia="Arial" w:hAnsi="Arial"/>
          <w:sz w:val="21"/>
          <w:szCs w:val="21"/>
          <w:b w:val="1"/>
          <w:bCs w:val="1"/>
          <w:i w:val="1"/>
          <w:iCs w:val="1"/>
          <w:color w:val="auto"/>
        </w:rPr>
        <w:t>By signing the Cover Sheet/Summary of this Agreement, you agree</w:t>
      </w:r>
    </w:p>
    <w:p>
      <w:pPr>
        <w:spacing w:after="0" w:line="20" w:lineRule="exact"/>
        <w:rPr>
          <w:sz w:val="20"/>
          <w:szCs w:val="20"/>
          <w:color w:val="auto"/>
        </w:rPr>
      </w:pPr>
    </w:p>
    <w:p>
      <w:pPr>
        <w:jc w:val="center"/>
        <w:ind w:right="-1199"/>
        <w:spacing w:after="0"/>
        <w:rPr>
          <w:sz w:val="20"/>
          <w:szCs w:val="20"/>
          <w:color w:val="auto"/>
        </w:rPr>
      </w:pPr>
      <w:r>
        <w:rPr>
          <w:rFonts w:ascii="Arial" w:cs="Arial" w:eastAsia="Arial" w:hAnsi="Arial"/>
          <w:sz w:val="20"/>
          <w:szCs w:val="20"/>
          <w:b w:val="1"/>
          <w:bCs w:val="1"/>
          <w:i w:val="1"/>
          <w:iCs w:val="1"/>
          <w:color w:val="auto"/>
        </w:rPr>
        <w:t>to all of the terms and conditions described above and in the 1998 Long Term Incentive Plan</w:t>
      </w:r>
    </w:p>
    <w:p>
      <w:pPr>
        <w:spacing w:after="0" w:line="200" w:lineRule="exact"/>
        <w:rPr>
          <w:sz w:val="20"/>
          <w:szCs w:val="20"/>
          <w:color w:val="auto"/>
        </w:rPr>
      </w:pPr>
    </w:p>
    <w:p>
      <w:pPr>
        <w:spacing w:after="0" w:line="317" w:lineRule="exact"/>
        <w:rPr>
          <w:sz w:val="20"/>
          <w:szCs w:val="20"/>
          <w:color w:val="auto"/>
        </w:rPr>
      </w:pPr>
    </w:p>
    <w:p>
      <w:pPr>
        <w:ind w:left="20"/>
        <w:spacing w:after="0"/>
        <w:rPr>
          <w:sz w:val="20"/>
          <w:szCs w:val="20"/>
          <w:color w:val="auto"/>
        </w:rPr>
      </w:pPr>
      <w:r>
        <w:rPr>
          <w:rFonts w:ascii="Arial" w:cs="Arial" w:eastAsia="Arial" w:hAnsi="Arial"/>
          <w:sz w:val="17"/>
          <w:szCs w:val="17"/>
          <w:color w:val="auto"/>
        </w:rPr>
        <w:t>Page 8</w:t>
      </w:r>
    </w:p>
    <w:p>
      <w:pPr>
        <w:sectPr>
          <w:pgSz w:w="11900" w:h="16838" w:orient="portrait"/>
          <w:cols w:equalWidth="0" w:num="1">
            <w:col w:w="10240"/>
          </w:cols>
          <w:pgMar w:left="240" w:top="120" w:right="1419" w:bottom="1440" w:gutter="0" w:footer="0" w:header="0"/>
        </w:sectPr>
      </w:pPr>
    </w:p>
    <w:bookmarkStart w:id="61" w:name="page62"/>
    <w:bookmarkEnd w:id="61"/>
    <w:p>
      <w:pPr>
        <w:jc w:val="right"/>
        <w:spacing w:after="0"/>
        <w:rPr>
          <w:sz w:val="20"/>
          <w:szCs w:val="20"/>
          <w:color w:val="auto"/>
        </w:rPr>
      </w:pPr>
      <w:r>
        <w:rPr>
          <w:rFonts w:ascii="Arial" w:cs="Arial" w:eastAsia="Arial" w:hAnsi="Arial"/>
          <w:sz w:val="21"/>
          <w:szCs w:val="21"/>
          <w:b w:val="1"/>
          <w:bCs w:val="1"/>
          <w:u w:val="single" w:color="auto"/>
          <w:color w:val="auto"/>
        </w:rPr>
        <w:t>Exhibit A</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Examples Illustrating the Determination</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of the Vested Percentage of the</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Target Number of Restricted Stock Units</w:t>
      </w:r>
    </w:p>
    <w:p>
      <w:pPr>
        <w:spacing w:after="0" w:line="200" w:lineRule="exact"/>
        <w:rPr>
          <w:sz w:val="20"/>
          <w:szCs w:val="20"/>
          <w:color w:val="auto"/>
        </w:rPr>
      </w:pPr>
    </w:p>
    <w:p>
      <w:pPr>
        <w:spacing w:after="0" w:line="270" w:lineRule="exact"/>
        <w:rPr>
          <w:sz w:val="20"/>
          <w:szCs w:val="20"/>
          <w:color w:val="auto"/>
        </w:rPr>
      </w:pPr>
    </w:p>
    <w:p>
      <w:pPr>
        <w:ind w:right="200" w:firstLine="648"/>
        <w:spacing w:after="0" w:line="247" w:lineRule="auto"/>
        <w:rPr>
          <w:sz w:val="20"/>
          <w:szCs w:val="20"/>
          <w:color w:val="auto"/>
        </w:rPr>
      </w:pPr>
      <w:r>
        <w:rPr>
          <w:rFonts w:ascii="Arial" w:cs="Arial" w:eastAsia="Arial" w:hAnsi="Arial"/>
          <w:sz w:val="21"/>
          <w:szCs w:val="21"/>
          <w:color w:val="auto"/>
        </w:rPr>
        <w:t>The following examples illustrate how the percentage of the target number of restricted stock units is to be determined. The examples assume that Sempra Energy achieves certain total cumulative shareholder returns for the performance period. The vested percentage of your target number of restricted stock units will be determined based on Sempra Energy’s actual cumulative total shareholder return for the performance period. No assurance is given that Sempra Energy will achieve the cumulative total shareholder returns shown in the examples.</w:t>
      </w:r>
    </w:p>
    <w:p>
      <w:pPr>
        <w:spacing w:after="0" w:line="175"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Example 1</w:t>
      </w:r>
    </w:p>
    <w:p>
      <w:pPr>
        <w:spacing w:after="0" w:line="218" w:lineRule="exact"/>
        <w:rPr>
          <w:sz w:val="20"/>
          <w:szCs w:val="20"/>
          <w:color w:val="auto"/>
        </w:rPr>
      </w:pPr>
    </w:p>
    <w:p>
      <w:pPr>
        <w:ind w:right="120" w:firstLine="648"/>
        <w:spacing w:after="0" w:line="345" w:lineRule="auto"/>
        <w:rPr>
          <w:sz w:val="20"/>
          <w:szCs w:val="20"/>
          <w:color w:val="auto"/>
        </w:rPr>
      </w:pPr>
      <w:r>
        <w:rPr>
          <w:rFonts w:ascii="Arial" w:cs="Arial" w:eastAsia="Arial" w:hAnsi="Arial"/>
          <w:sz w:val="18"/>
          <w:szCs w:val="18"/>
          <w:color w:val="auto"/>
        </w:rPr>
        <w:t xml:space="preserve">Sempra Energy’s total cumulative shareholder return for the performance period among the companies (ranked by total shareholder returns) in the </w:t>
      </w:r>
      <w:r>
        <w:rPr>
          <w:rFonts w:ascii="Arial" w:cs="Arial" w:eastAsia="Arial" w:hAnsi="Arial"/>
          <w:sz w:val="18"/>
          <w:szCs w:val="18"/>
          <w:u w:val="single" w:color="auto"/>
          <w:color w:val="auto"/>
        </w:rPr>
        <w:t>S&amp;P 500 Utility Index</w:t>
      </w:r>
      <w:r>
        <w:rPr>
          <w:rFonts w:ascii="Arial" w:cs="Arial" w:eastAsia="Arial" w:hAnsi="Arial"/>
          <w:sz w:val="18"/>
          <w:szCs w:val="18"/>
          <w:color w:val="auto"/>
        </w:rPr>
        <w:t xml:space="preserve">, as determined and certified by the Compensation Committee, is at the </w:t>
      </w:r>
      <w:r>
        <w:rPr>
          <w:rFonts w:ascii="Arial" w:cs="Arial" w:eastAsia="Arial" w:hAnsi="Arial"/>
          <w:sz w:val="18"/>
          <w:szCs w:val="18"/>
          <w:u w:val="single" w:color="auto"/>
          <w:color w:val="auto"/>
        </w:rPr>
        <w:t>80</w:t>
      </w:r>
      <w:r>
        <w:rPr>
          <w:rFonts w:ascii="Arial" w:cs="Arial" w:eastAsia="Arial" w:hAnsi="Arial"/>
          <w:sz w:val="29"/>
          <w:szCs w:val="29"/>
          <w:u w:val="single" w:color="auto"/>
          <w:color w:val="auto"/>
          <w:vertAlign w:val="superscript"/>
        </w:rPr>
        <w:t>th</w:t>
      </w:r>
      <w:r>
        <w:rPr>
          <w:rFonts w:ascii="Arial" w:cs="Arial" w:eastAsia="Arial" w:hAnsi="Arial"/>
          <w:sz w:val="18"/>
          <w:szCs w:val="18"/>
          <w:color w:val="auto"/>
        </w:rPr>
        <w:t xml:space="preserve"> </w:t>
      </w:r>
      <w:r>
        <w:rPr>
          <w:rFonts w:ascii="Arial" w:cs="Arial" w:eastAsia="Arial" w:hAnsi="Arial"/>
          <w:sz w:val="18"/>
          <w:szCs w:val="18"/>
          <w:u w:val="single" w:color="auto"/>
          <w:color w:val="auto"/>
        </w:rPr>
        <w:t>percentile</w:t>
      </w:r>
      <w:r>
        <w:rPr>
          <w:rFonts w:ascii="Arial" w:cs="Arial" w:eastAsia="Arial" w:hAnsi="Arial"/>
          <w:sz w:val="18"/>
          <w:szCs w:val="18"/>
          <w:color w:val="auto"/>
        </w:rPr>
        <w:t>.</w:t>
      </w:r>
    </w:p>
    <w:p>
      <w:pPr>
        <w:spacing w:after="0" w:line="1" w:lineRule="exact"/>
        <w:rPr>
          <w:sz w:val="20"/>
          <w:szCs w:val="20"/>
          <w:color w:val="auto"/>
        </w:rPr>
      </w:pPr>
    </w:p>
    <w:p>
      <w:pPr>
        <w:ind w:right="60" w:firstLine="648"/>
        <w:spacing w:after="0" w:line="210" w:lineRule="auto"/>
        <w:rPr>
          <w:sz w:val="20"/>
          <w:szCs w:val="20"/>
          <w:color w:val="auto"/>
        </w:rPr>
      </w:pPr>
      <w:r>
        <w:rPr>
          <w:rFonts w:ascii="Arial" w:cs="Arial" w:eastAsia="Arial" w:hAnsi="Arial"/>
          <w:sz w:val="21"/>
          <w:szCs w:val="21"/>
          <w:color w:val="auto"/>
        </w:rPr>
        <w:t xml:space="preserve">Because Sempra Energy’s cumulative total cumulative shareholder return is </w:t>
      </w:r>
      <w:r>
        <w:rPr>
          <w:rFonts w:ascii="Arial" w:cs="Arial" w:eastAsia="Arial" w:hAnsi="Arial"/>
          <w:sz w:val="21"/>
          <w:szCs w:val="21"/>
          <w:u w:val="single" w:color="auto"/>
          <w:color w:val="auto"/>
        </w:rPr>
        <w:t>above the 75</w:t>
      </w:r>
      <w:r>
        <w:rPr>
          <w:rFonts w:ascii="Arial" w:cs="Arial" w:eastAsia="Arial" w:hAnsi="Arial"/>
          <w:sz w:val="34"/>
          <w:szCs w:val="34"/>
          <w:u w:val="single" w:color="auto"/>
          <w:color w:val="auto"/>
          <w:vertAlign w:val="superscript"/>
        </w:rPr>
        <w:t>th</w:t>
      </w:r>
      <w:r>
        <w:rPr>
          <w:rFonts w:ascii="Arial" w:cs="Arial" w:eastAsia="Arial" w:hAnsi="Arial"/>
          <w:sz w:val="21"/>
          <w:szCs w:val="21"/>
          <w:color w:val="auto"/>
        </w:rPr>
        <w:t xml:space="preserve"> </w:t>
      </w:r>
      <w:r>
        <w:rPr>
          <w:rFonts w:ascii="Arial" w:cs="Arial" w:eastAsia="Arial" w:hAnsi="Arial"/>
          <w:sz w:val="21"/>
          <w:szCs w:val="21"/>
          <w:u w:val="single" w:color="auto"/>
          <w:color w:val="auto"/>
        </w:rPr>
        <w:t>percentile</w:t>
      </w:r>
      <w:r>
        <w:rPr>
          <w:rFonts w:ascii="Arial" w:cs="Arial" w:eastAsia="Arial" w:hAnsi="Arial"/>
          <w:sz w:val="21"/>
          <w:szCs w:val="21"/>
          <w:color w:val="auto"/>
        </w:rPr>
        <w:t>, 150% of the target number of restricted stock units vest. This is the maximum number of restricted stock units under the award.</w:t>
      </w:r>
    </w:p>
    <w:p>
      <w:pPr>
        <w:spacing w:after="0" w:line="182"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Example 2</w:t>
      </w:r>
    </w:p>
    <w:p>
      <w:pPr>
        <w:spacing w:after="0" w:line="218" w:lineRule="exact"/>
        <w:rPr>
          <w:sz w:val="20"/>
          <w:szCs w:val="20"/>
          <w:color w:val="auto"/>
        </w:rPr>
      </w:pPr>
    </w:p>
    <w:p>
      <w:pPr>
        <w:ind w:right="120" w:firstLine="648"/>
        <w:spacing w:after="0" w:line="335" w:lineRule="auto"/>
        <w:rPr>
          <w:sz w:val="20"/>
          <w:szCs w:val="20"/>
          <w:color w:val="auto"/>
        </w:rPr>
      </w:pPr>
      <w:r>
        <w:rPr>
          <w:rFonts w:ascii="Arial" w:cs="Arial" w:eastAsia="Arial" w:hAnsi="Arial"/>
          <w:sz w:val="18"/>
          <w:szCs w:val="18"/>
          <w:color w:val="auto"/>
        </w:rPr>
        <w:t xml:space="preserve">Sempra Energy’s cumulative total shareholder return for the performance period among the companies (ranked by total shareholder returns) in the </w:t>
      </w:r>
      <w:r>
        <w:rPr>
          <w:rFonts w:ascii="Arial" w:cs="Arial" w:eastAsia="Arial" w:hAnsi="Arial"/>
          <w:sz w:val="18"/>
          <w:szCs w:val="18"/>
          <w:u w:val="single" w:color="auto"/>
          <w:color w:val="auto"/>
        </w:rPr>
        <w:t>S&amp;P 500 Utility Index</w:t>
      </w:r>
      <w:r>
        <w:rPr>
          <w:rFonts w:ascii="Arial" w:cs="Arial" w:eastAsia="Arial" w:hAnsi="Arial"/>
          <w:sz w:val="18"/>
          <w:szCs w:val="18"/>
          <w:color w:val="auto"/>
        </w:rPr>
        <w:t xml:space="preserve">, as determined and certified by the Compensation Committee, is at the </w:t>
      </w:r>
      <w:r>
        <w:rPr>
          <w:rFonts w:ascii="Arial" w:cs="Arial" w:eastAsia="Arial" w:hAnsi="Arial"/>
          <w:sz w:val="18"/>
          <w:szCs w:val="18"/>
          <w:u w:val="single" w:color="auto"/>
          <w:color w:val="auto"/>
        </w:rPr>
        <w:t>67</w:t>
      </w:r>
      <w:r>
        <w:rPr>
          <w:rFonts w:ascii="Arial" w:cs="Arial" w:eastAsia="Arial" w:hAnsi="Arial"/>
          <w:sz w:val="29"/>
          <w:szCs w:val="29"/>
          <w:u w:val="single" w:color="auto"/>
          <w:color w:val="auto"/>
          <w:vertAlign w:val="superscript"/>
        </w:rPr>
        <w:t>th</w:t>
      </w:r>
      <w:r>
        <w:rPr>
          <w:rFonts w:ascii="Arial" w:cs="Arial" w:eastAsia="Arial" w:hAnsi="Arial"/>
          <w:sz w:val="18"/>
          <w:szCs w:val="18"/>
          <w:color w:val="auto"/>
        </w:rPr>
        <w:t xml:space="preserve"> </w:t>
      </w:r>
      <w:r>
        <w:rPr>
          <w:rFonts w:ascii="Arial" w:cs="Arial" w:eastAsia="Arial" w:hAnsi="Arial"/>
          <w:sz w:val="18"/>
          <w:szCs w:val="18"/>
          <w:u w:val="single" w:color="auto"/>
          <w:color w:val="auto"/>
        </w:rPr>
        <w:t>percentile</w:t>
      </w:r>
      <w:r>
        <w:rPr>
          <w:rFonts w:ascii="Arial" w:cs="Arial" w:eastAsia="Arial" w:hAnsi="Arial"/>
          <w:sz w:val="18"/>
          <w:szCs w:val="18"/>
          <w:color w:val="auto"/>
        </w:rPr>
        <w:t>.</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percentage of the target number of restricted stock units that vest is determined by a linear interpolation between the</w:t>
      </w:r>
    </w:p>
    <w:p>
      <w:pPr>
        <w:spacing w:after="0" w:line="34" w:lineRule="exact"/>
        <w:rPr>
          <w:sz w:val="20"/>
          <w:szCs w:val="20"/>
          <w:color w:val="auto"/>
        </w:rPr>
      </w:pPr>
    </w:p>
    <w:p>
      <w:pPr>
        <w:ind w:right="300"/>
        <w:spacing w:after="0" w:line="180" w:lineRule="auto"/>
        <w:rPr>
          <w:sz w:val="20"/>
          <w:szCs w:val="20"/>
          <w:color w:val="auto"/>
        </w:rPr>
      </w:pPr>
      <w:r>
        <w:rPr>
          <w:rFonts w:ascii="Arial" w:cs="Arial" w:eastAsia="Arial" w:hAnsi="Arial"/>
          <w:sz w:val="20"/>
          <w:szCs w:val="20"/>
          <w:color w:val="auto"/>
        </w:rPr>
        <w:t xml:space="preserve">percentage based on the achievement of the </w:t>
      </w:r>
      <w:r>
        <w:rPr>
          <w:rFonts w:ascii="Arial" w:cs="Arial" w:eastAsia="Arial" w:hAnsi="Arial"/>
          <w:sz w:val="20"/>
          <w:szCs w:val="20"/>
          <w:u w:val="single" w:color="auto"/>
          <w:color w:val="auto"/>
        </w:rPr>
        <w:t>65</w:t>
      </w:r>
      <w:r>
        <w:rPr>
          <w:rFonts w:ascii="Arial" w:cs="Arial" w:eastAsia="Arial" w:hAnsi="Arial"/>
          <w:sz w:val="32"/>
          <w:szCs w:val="32"/>
          <w:u w:val="single" w:color="auto"/>
          <w:color w:val="auto"/>
          <w:vertAlign w:val="superscript"/>
        </w:rPr>
        <w:t>th</w:t>
      </w:r>
      <w:r>
        <w:rPr>
          <w:rFonts w:ascii="Arial" w:cs="Arial" w:eastAsia="Arial" w:hAnsi="Arial"/>
          <w:sz w:val="20"/>
          <w:szCs w:val="20"/>
          <w:color w:val="auto"/>
        </w:rPr>
        <w:t xml:space="preserve"> </w:t>
      </w:r>
      <w:r>
        <w:rPr>
          <w:rFonts w:ascii="Arial" w:cs="Arial" w:eastAsia="Arial" w:hAnsi="Arial"/>
          <w:sz w:val="20"/>
          <w:szCs w:val="20"/>
          <w:u w:val="single" w:color="auto"/>
          <w:color w:val="auto"/>
        </w:rPr>
        <w:t>percentile</w:t>
      </w:r>
      <w:r>
        <w:rPr>
          <w:rFonts w:ascii="Arial" w:cs="Arial" w:eastAsia="Arial" w:hAnsi="Arial"/>
          <w:sz w:val="20"/>
          <w:szCs w:val="20"/>
          <w:color w:val="auto"/>
        </w:rPr>
        <w:t xml:space="preserve"> (130%) and the percentage based on the achievement of the </w:t>
      </w:r>
      <w:r>
        <w:rPr>
          <w:rFonts w:ascii="Arial" w:cs="Arial" w:eastAsia="Arial" w:hAnsi="Arial"/>
          <w:sz w:val="20"/>
          <w:szCs w:val="20"/>
          <w:u w:val="single" w:color="auto"/>
          <w:color w:val="auto"/>
        </w:rPr>
        <w:t>70</w:t>
      </w:r>
      <w:r>
        <w:rPr>
          <w:rFonts w:ascii="Arial" w:cs="Arial" w:eastAsia="Arial" w:hAnsi="Arial"/>
          <w:sz w:val="32"/>
          <w:szCs w:val="32"/>
          <w:u w:val="single" w:color="auto"/>
          <w:color w:val="auto"/>
          <w:vertAlign w:val="superscript"/>
        </w:rPr>
        <w:t>th</w:t>
      </w:r>
      <w:r>
        <w:rPr>
          <w:rFonts w:ascii="Arial" w:cs="Arial" w:eastAsia="Arial" w:hAnsi="Arial"/>
          <w:sz w:val="20"/>
          <w:szCs w:val="20"/>
          <w:color w:val="auto"/>
        </w:rPr>
        <w:t xml:space="preserve"> </w:t>
      </w:r>
      <w:r>
        <w:rPr>
          <w:rFonts w:ascii="Arial" w:cs="Arial" w:eastAsia="Arial" w:hAnsi="Arial"/>
          <w:sz w:val="20"/>
          <w:szCs w:val="20"/>
          <w:u w:val="single" w:color="auto"/>
          <w:color w:val="auto"/>
        </w:rPr>
        <w:t>percentile</w:t>
      </w:r>
      <w:r>
        <w:rPr>
          <w:rFonts w:ascii="Arial" w:cs="Arial" w:eastAsia="Arial" w:hAnsi="Arial"/>
          <w:sz w:val="20"/>
          <w:szCs w:val="20"/>
          <w:color w:val="auto"/>
        </w:rPr>
        <w:t xml:space="preserve"> (140%).</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21"/>
          <w:szCs w:val="21"/>
          <w:color w:val="auto"/>
        </w:rPr>
        <w:t>The percentage is determined as follows:</w:t>
      </w:r>
    </w:p>
    <w:p>
      <w:pPr>
        <w:spacing w:after="0" w:line="218" w:lineRule="exact"/>
        <w:rPr>
          <w:sz w:val="20"/>
          <w:szCs w:val="20"/>
          <w:color w:val="auto"/>
        </w:rPr>
      </w:pPr>
    </w:p>
    <w:p>
      <w:pPr>
        <w:ind w:left="1960" w:hanging="655"/>
        <w:spacing w:after="0"/>
        <w:tabs>
          <w:tab w:leader="none" w:pos="1960" w:val="left"/>
        </w:tabs>
        <w:numPr>
          <w:ilvl w:val="0"/>
          <w:numId w:val="18"/>
        </w:numPr>
        <w:rPr>
          <w:rFonts w:ascii="Arial" w:cs="Arial" w:eastAsia="Arial" w:hAnsi="Arial"/>
          <w:sz w:val="41"/>
          <w:szCs w:val="41"/>
          <w:color w:val="auto"/>
          <w:vertAlign w:val="superscript"/>
        </w:rPr>
      </w:pPr>
      <w:r>
        <w:rPr>
          <w:rFonts w:ascii="Arial" w:cs="Arial" w:eastAsia="Arial" w:hAnsi="Arial"/>
          <w:sz w:val="21"/>
          <w:szCs w:val="21"/>
          <w:color w:val="auto"/>
        </w:rPr>
        <w:t xml:space="preserve">130% (the percentage based on the achievement of the </w:t>
      </w:r>
      <w:r>
        <w:rPr>
          <w:rFonts w:ascii="Arial" w:cs="Arial" w:eastAsia="Arial" w:hAnsi="Arial"/>
          <w:sz w:val="21"/>
          <w:szCs w:val="21"/>
          <w:u w:val="single" w:color="auto"/>
          <w:color w:val="auto"/>
        </w:rPr>
        <w:t>65</w:t>
      </w:r>
      <w:r>
        <w:rPr>
          <w:rFonts w:ascii="Arial" w:cs="Arial" w:eastAsia="Arial" w:hAnsi="Arial"/>
          <w:sz w:val="34"/>
          <w:szCs w:val="34"/>
          <w:u w:val="single" w:color="auto"/>
          <w:color w:val="auto"/>
          <w:vertAlign w:val="superscript"/>
        </w:rPr>
        <w:t>th</w:t>
      </w:r>
      <w:r>
        <w:rPr>
          <w:rFonts w:ascii="Arial" w:cs="Arial" w:eastAsia="Arial" w:hAnsi="Arial"/>
          <w:sz w:val="21"/>
          <w:szCs w:val="21"/>
          <w:color w:val="auto"/>
        </w:rPr>
        <w:t xml:space="preserve"> </w:t>
      </w:r>
      <w:r>
        <w:rPr>
          <w:rFonts w:ascii="Arial" w:cs="Arial" w:eastAsia="Arial" w:hAnsi="Arial"/>
          <w:sz w:val="21"/>
          <w:szCs w:val="21"/>
          <w:u w:val="single" w:color="auto"/>
          <w:color w:val="auto"/>
        </w:rPr>
        <w:t>percentile</w:t>
      </w:r>
      <w:r>
        <w:rPr>
          <w:rFonts w:ascii="Arial" w:cs="Arial" w:eastAsia="Arial" w:hAnsi="Arial"/>
          <w:sz w:val="21"/>
          <w:szCs w:val="21"/>
          <w:color w:val="auto"/>
        </w:rPr>
        <w:t>), plus</w:t>
      </w:r>
    </w:p>
    <w:p>
      <w:pPr>
        <w:spacing w:after="0" w:line="69" w:lineRule="exact"/>
        <w:rPr>
          <w:rFonts w:ascii="Arial" w:cs="Arial" w:eastAsia="Arial" w:hAnsi="Arial"/>
          <w:sz w:val="41"/>
          <w:szCs w:val="41"/>
          <w:color w:val="auto"/>
          <w:vertAlign w:val="superscript"/>
        </w:rPr>
      </w:pPr>
    </w:p>
    <w:p>
      <w:pPr>
        <w:ind w:left="660" w:right="1040" w:firstLine="645"/>
        <w:spacing w:after="0" w:line="209" w:lineRule="auto"/>
        <w:tabs>
          <w:tab w:leader="none" w:pos="1957" w:val="left"/>
        </w:tabs>
        <w:numPr>
          <w:ilvl w:val="0"/>
          <w:numId w:val="18"/>
        </w:numPr>
        <w:rPr>
          <w:rFonts w:ascii="Arial" w:cs="Arial" w:eastAsia="Arial" w:hAnsi="Arial"/>
          <w:sz w:val="41"/>
          <w:szCs w:val="41"/>
          <w:color w:val="auto"/>
          <w:vertAlign w:val="superscript"/>
        </w:rPr>
      </w:pPr>
      <w:r>
        <w:rPr>
          <w:rFonts w:ascii="Arial" w:cs="Arial" w:eastAsia="Arial" w:hAnsi="Arial"/>
          <w:sz w:val="21"/>
          <w:szCs w:val="21"/>
          <w:color w:val="auto"/>
        </w:rPr>
        <w:t xml:space="preserve">10% (the percentage based on the achievement of the </w:t>
      </w:r>
      <w:r>
        <w:rPr>
          <w:rFonts w:ascii="Arial" w:cs="Arial" w:eastAsia="Arial" w:hAnsi="Arial"/>
          <w:sz w:val="21"/>
          <w:szCs w:val="21"/>
          <w:u w:val="single" w:color="auto"/>
          <w:color w:val="auto"/>
        </w:rPr>
        <w:t>75</w:t>
      </w:r>
      <w:r>
        <w:rPr>
          <w:rFonts w:ascii="Arial" w:cs="Arial" w:eastAsia="Arial" w:hAnsi="Arial"/>
          <w:sz w:val="34"/>
          <w:szCs w:val="34"/>
          <w:u w:val="single" w:color="auto"/>
          <w:color w:val="auto"/>
          <w:vertAlign w:val="superscript"/>
        </w:rPr>
        <w:t>th</w:t>
      </w:r>
      <w:r>
        <w:rPr>
          <w:rFonts w:ascii="Arial" w:cs="Arial" w:eastAsia="Arial" w:hAnsi="Arial"/>
          <w:sz w:val="21"/>
          <w:szCs w:val="21"/>
          <w:color w:val="auto"/>
        </w:rPr>
        <w:t xml:space="preserve"> </w:t>
      </w:r>
      <w:r>
        <w:rPr>
          <w:rFonts w:ascii="Arial" w:cs="Arial" w:eastAsia="Arial" w:hAnsi="Arial"/>
          <w:sz w:val="21"/>
          <w:szCs w:val="21"/>
          <w:u w:val="single" w:color="auto"/>
          <w:color w:val="auto"/>
        </w:rPr>
        <w:t>percentile</w:t>
      </w:r>
      <w:r>
        <w:rPr>
          <w:rFonts w:ascii="Arial" w:cs="Arial" w:eastAsia="Arial" w:hAnsi="Arial"/>
          <w:sz w:val="21"/>
          <w:szCs w:val="21"/>
          <w:color w:val="auto"/>
        </w:rPr>
        <w:t xml:space="preserve">, less the percentage based on the achievement of the </w:t>
      </w:r>
      <w:r>
        <w:rPr>
          <w:rFonts w:ascii="Arial" w:cs="Arial" w:eastAsia="Arial" w:hAnsi="Arial"/>
          <w:sz w:val="21"/>
          <w:szCs w:val="21"/>
          <w:u w:val="single" w:color="auto"/>
          <w:color w:val="auto"/>
        </w:rPr>
        <w:t>65</w:t>
      </w:r>
      <w:r>
        <w:rPr>
          <w:rFonts w:ascii="Arial" w:cs="Arial" w:eastAsia="Arial" w:hAnsi="Arial"/>
          <w:sz w:val="34"/>
          <w:szCs w:val="34"/>
          <w:u w:val="single" w:color="auto"/>
          <w:color w:val="auto"/>
          <w:vertAlign w:val="superscript"/>
        </w:rPr>
        <w:t>th</w:t>
      </w:r>
      <w:r>
        <w:rPr>
          <w:rFonts w:ascii="Arial" w:cs="Arial" w:eastAsia="Arial" w:hAnsi="Arial"/>
          <w:sz w:val="21"/>
          <w:szCs w:val="21"/>
          <w:color w:val="auto"/>
        </w:rPr>
        <w:t xml:space="preserve"> </w:t>
      </w:r>
      <w:r>
        <w:rPr>
          <w:rFonts w:ascii="Arial" w:cs="Arial" w:eastAsia="Arial" w:hAnsi="Arial"/>
          <w:sz w:val="21"/>
          <w:szCs w:val="21"/>
          <w:u w:val="single" w:color="auto"/>
          <w:color w:val="auto"/>
        </w:rPr>
        <w:t>percentile</w:t>
      </w:r>
      <w:r>
        <w:rPr>
          <w:rFonts w:ascii="Arial" w:cs="Arial" w:eastAsia="Arial" w:hAnsi="Arial"/>
          <w:sz w:val="21"/>
          <w:szCs w:val="21"/>
          <w:color w:val="auto"/>
        </w:rPr>
        <w:t>), multiplied by an interpolation factor.</w:t>
      </w:r>
    </w:p>
    <w:p>
      <w:pPr>
        <w:spacing w:after="0" w:line="66" w:lineRule="exact"/>
        <w:rPr>
          <w:sz w:val="20"/>
          <w:szCs w:val="20"/>
          <w:color w:val="auto"/>
        </w:rPr>
      </w:pPr>
    </w:p>
    <w:p>
      <w:pPr>
        <w:ind w:right="460" w:firstLine="648"/>
        <w:spacing w:after="0" w:line="210" w:lineRule="auto"/>
        <w:rPr>
          <w:sz w:val="20"/>
          <w:szCs w:val="20"/>
          <w:color w:val="auto"/>
        </w:rPr>
      </w:pPr>
      <w:r>
        <w:rPr>
          <w:rFonts w:ascii="Arial" w:cs="Arial" w:eastAsia="Arial" w:hAnsi="Arial"/>
          <w:sz w:val="21"/>
          <w:szCs w:val="21"/>
          <w:color w:val="auto"/>
        </w:rPr>
        <w:t>The interpolation factor equals (67</w:t>
      </w:r>
      <w:r>
        <w:rPr>
          <w:rFonts w:ascii="Arial" w:cs="Arial" w:eastAsia="Arial" w:hAnsi="Arial"/>
          <w:sz w:val="34"/>
          <w:szCs w:val="34"/>
          <w:color w:val="auto"/>
          <w:vertAlign w:val="superscript"/>
        </w:rPr>
        <w:t>th</w:t>
      </w:r>
      <w:r>
        <w:rPr>
          <w:rFonts w:ascii="Arial" w:cs="Arial" w:eastAsia="Arial" w:hAnsi="Arial"/>
          <w:sz w:val="21"/>
          <w:szCs w:val="21"/>
          <w:color w:val="auto"/>
        </w:rPr>
        <w:t xml:space="preserve"> percentile, less 65</w:t>
      </w:r>
      <w:r>
        <w:rPr>
          <w:rFonts w:ascii="Arial" w:cs="Arial" w:eastAsia="Arial" w:hAnsi="Arial"/>
          <w:sz w:val="34"/>
          <w:szCs w:val="34"/>
          <w:color w:val="auto"/>
          <w:vertAlign w:val="superscript"/>
        </w:rPr>
        <w:t>th</w:t>
      </w:r>
      <w:r>
        <w:rPr>
          <w:rFonts w:ascii="Arial" w:cs="Arial" w:eastAsia="Arial" w:hAnsi="Arial"/>
          <w:sz w:val="21"/>
          <w:szCs w:val="21"/>
          <w:color w:val="auto"/>
        </w:rPr>
        <w:t xml:space="preserve"> percentile), divided by (70</w:t>
      </w:r>
      <w:r>
        <w:rPr>
          <w:rFonts w:ascii="Arial" w:cs="Arial" w:eastAsia="Arial" w:hAnsi="Arial"/>
          <w:sz w:val="34"/>
          <w:szCs w:val="34"/>
          <w:color w:val="auto"/>
          <w:vertAlign w:val="superscript"/>
        </w:rPr>
        <w:t>th</w:t>
      </w:r>
      <w:r>
        <w:rPr>
          <w:rFonts w:ascii="Arial" w:cs="Arial" w:eastAsia="Arial" w:hAnsi="Arial"/>
          <w:sz w:val="21"/>
          <w:szCs w:val="21"/>
          <w:color w:val="auto"/>
        </w:rPr>
        <w:t xml:space="preserve"> percentile, less 65</w:t>
      </w:r>
      <w:r>
        <w:rPr>
          <w:rFonts w:ascii="Arial" w:cs="Arial" w:eastAsia="Arial" w:hAnsi="Arial"/>
          <w:sz w:val="34"/>
          <w:szCs w:val="34"/>
          <w:color w:val="auto"/>
          <w:vertAlign w:val="superscript"/>
        </w:rPr>
        <w:t>th</w:t>
      </w:r>
      <w:r>
        <w:rPr>
          <w:rFonts w:ascii="Arial" w:cs="Arial" w:eastAsia="Arial" w:hAnsi="Arial"/>
          <w:sz w:val="21"/>
          <w:szCs w:val="21"/>
          <w:color w:val="auto"/>
        </w:rPr>
        <w:t xml:space="preserve"> percentile), or two fifths (2/5).</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9"/>
          <w:szCs w:val="19"/>
          <w:color w:val="auto"/>
        </w:rPr>
        <w:t xml:space="preserve">The percentage based on the achievement of the </w:t>
      </w:r>
      <w:r>
        <w:rPr>
          <w:rFonts w:ascii="Arial" w:cs="Arial" w:eastAsia="Arial" w:hAnsi="Arial"/>
          <w:sz w:val="19"/>
          <w:szCs w:val="19"/>
          <w:u w:val="single" w:color="auto"/>
          <w:color w:val="auto"/>
        </w:rPr>
        <w:t>67</w:t>
      </w:r>
      <w:r>
        <w:rPr>
          <w:rFonts w:ascii="Arial" w:cs="Arial" w:eastAsia="Arial" w:hAnsi="Arial"/>
          <w:sz w:val="31"/>
          <w:szCs w:val="31"/>
          <w:u w:val="single" w:color="auto"/>
          <w:color w:val="auto"/>
          <w:vertAlign w:val="superscript"/>
        </w:rPr>
        <w:t>th</w:t>
      </w:r>
      <w:r>
        <w:rPr>
          <w:rFonts w:ascii="Arial" w:cs="Arial" w:eastAsia="Arial" w:hAnsi="Arial"/>
          <w:sz w:val="19"/>
          <w:szCs w:val="19"/>
          <w:color w:val="auto"/>
        </w:rPr>
        <w:t xml:space="preserve"> </w:t>
      </w:r>
      <w:r>
        <w:rPr>
          <w:rFonts w:ascii="Arial" w:cs="Arial" w:eastAsia="Arial" w:hAnsi="Arial"/>
          <w:sz w:val="19"/>
          <w:szCs w:val="19"/>
          <w:u w:val="single" w:color="auto"/>
          <w:color w:val="auto"/>
        </w:rPr>
        <w:t>percentile</w:t>
      </w:r>
      <w:r>
        <w:rPr>
          <w:rFonts w:ascii="Arial" w:cs="Arial" w:eastAsia="Arial" w:hAnsi="Arial"/>
          <w:sz w:val="19"/>
          <w:szCs w:val="19"/>
          <w:color w:val="auto"/>
        </w:rPr>
        <w:t xml:space="preserve"> equals: (a) 130%, plus (b) 10%, multiplied by 2/5, or 134%.</w:t>
      </w:r>
    </w:p>
    <w:p>
      <w:pPr>
        <w:ind w:left="120"/>
        <w:spacing w:after="0"/>
        <w:rPr>
          <w:sz w:val="20"/>
          <w:szCs w:val="20"/>
          <w:color w:val="auto"/>
        </w:rPr>
      </w:pPr>
      <w:r>
        <w:rPr>
          <w:rFonts w:ascii="Arial" w:cs="Arial" w:eastAsia="Arial" w:hAnsi="Arial"/>
          <w:sz w:val="21"/>
          <w:szCs w:val="21"/>
          <w:color w:val="auto"/>
        </w:rPr>
        <w:t>Based on Sempra Energy’s cumulative total shareholder return, 134% of the target number of restricted stock units vest.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563880</wp:posOffset>
            </wp:positionV>
            <wp:extent cx="7246620" cy="342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632460</wp:posOffset>
            </wp:positionV>
            <wp:extent cx="7246620" cy="342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855980</wp:posOffset>
            </wp:positionV>
            <wp:extent cx="7246620" cy="342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924560</wp:posOffset>
            </wp:positionV>
            <wp:extent cx="7246620" cy="342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7"/>
          <w:szCs w:val="17"/>
          <w:color w:val="auto"/>
        </w:rPr>
        <w:t>Page 9</w:t>
      </w:r>
    </w:p>
    <w:p>
      <w:pPr>
        <w:sectPr>
          <w:pgSz w:w="11900" w:h="16838" w:orient="portrait"/>
          <w:cols w:equalWidth="0" w:num="1">
            <w:col w:w="11420"/>
          </w:cols>
          <w:pgMar w:left="240" w:top="120" w:right="239" w:bottom="1440" w:gutter="0" w:footer="0" w:header="0"/>
        </w:sectPr>
      </w:pPr>
    </w:p>
    <w:bookmarkStart w:id="62" w:name="page63"/>
    <w:bookmarkEnd w:id="62"/>
    <w:p>
      <w:pPr>
        <w:ind w:left="1200"/>
        <w:spacing w:after="0"/>
        <w:rPr>
          <w:sz w:val="20"/>
          <w:szCs w:val="20"/>
          <w:color w:val="auto"/>
        </w:rPr>
      </w:pPr>
      <w:r>
        <w:rPr>
          <w:rFonts w:ascii="Arial" w:cs="Arial" w:eastAsia="Arial" w:hAnsi="Arial"/>
          <w:sz w:val="21"/>
          <w:szCs w:val="21"/>
          <w:b w:val="1"/>
          <w:bCs w:val="1"/>
          <w:color w:val="auto"/>
        </w:rPr>
        <w:t>SEMPRA ENERGY 1998 LONG TERM INCENTIVE PLAN</w:t>
      </w:r>
    </w:p>
    <w:p>
      <w:pPr>
        <w:spacing w:after="0" w:line="26" w:lineRule="exact"/>
        <w:rPr>
          <w:sz w:val="20"/>
          <w:szCs w:val="20"/>
          <w:color w:val="auto"/>
        </w:rPr>
      </w:pPr>
    </w:p>
    <w:p>
      <w:pPr>
        <w:ind w:left="1200"/>
        <w:spacing w:after="0"/>
        <w:rPr>
          <w:sz w:val="20"/>
          <w:szCs w:val="20"/>
          <w:color w:val="auto"/>
        </w:rPr>
      </w:pPr>
      <w:r>
        <w:rPr>
          <w:rFonts w:ascii="Arial" w:cs="Arial" w:eastAsia="Arial" w:hAnsi="Arial"/>
          <w:sz w:val="21"/>
          <w:szCs w:val="21"/>
          <w:b w:val="1"/>
          <w:bCs w:val="1"/>
          <w:color w:val="auto"/>
        </w:rPr>
        <w:t>Year 2008 Restricted Stock Unit Award Agreement</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Example 3</w:t>
      </w:r>
    </w:p>
    <w:p>
      <w:pPr>
        <w:spacing w:after="0" w:line="204" w:lineRule="exact"/>
        <w:rPr>
          <w:sz w:val="20"/>
          <w:szCs w:val="20"/>
          <w:color w:val="auto"/>
        </w:rPr>
      </w:pPr>
    </w:p>
    <w:p>
      <w:pPr>
        <w:ind w:right="60" w:firstLine="648"/>
        <w:spacing w:after="0" w:line="348" w:lineRule="auto"/>
        <w:rPr>
          <w:sz w:val="20"/>
          <w:szCs w:val="20"/>
          <w:color w:val="auto"/>
        </w:rPr>
      </w:pPr>
      <w:r>
        <w:rPr>
          <w:rFonts w:ascii="Arial" w:cs="Arial" w:eastAsia="Arial" w:hAnsi="Arial"/>
          <w:sz w:val="18"/>
          <w:szCs w:val="18"/>
          <w:color w:val="auto"/>
        </w:rPr>
        <w:t xml:space="preserve">Sempra Energy’s cumulative total shareholder return for the performance period among the companies (ranked by total shareholder returns) in the </w:t>
      </w:r>
      <w:r>
        <w:rPr>
          <w:rFonts w:ascii="Arial" w:cs="Arial" w:eastAsia="Arial" w:hAnsi="Arial"/>
          <w:sz w:val="18"/>
          <w:szCs w:val="18"/>
          <w:u w:val="single" w:color="auto"/>
          <w:color w:val="auto"/>
        </w:rPr>
        <w:t>S&amp;P 500 Utility Index</w:t>
      </w:r>
      <w:r>
        <w:rPr>
          <w:rFonts w:ascii="Arial" w:cs="Arial" w:eastAsia="Arial" w:hAnsi="Arial"/>
          <w:sz w:val="18"/>
          <w:szCs w:val="18"/>
          <w:color w:val="auto"/>
        </w:rPr>
        <w:t xml:space="preserve">, as determined and certified by the Compensation Committee, is at the </w:t>
      </w:r>
      <w:r>
        <w:rPr>
          <w:rFonts w:ascii="Arial" w:cs="Arial" w:eastAsia="Arial" w:hAnsi="Arial"/>
          <w:sz w:val="18"/>
          <w:szCs w:val="18"/>
          <w:u w:val="single" w:color="auto"/>
          <w:color w:val="auto"/>
        </w:rPr>
        <w:t>45th percentile</w:t>
      </w:r>
      <w:r>
        <w:rPr>
          <w:rFonts w:ascii="Arial" w:cs="Arial" w:eastAsia="Arial" w:hAnsi="Arial"/>
          <w:sz w:val="18"/>
          <w:szCs w:val="18"/>
          <w:color w:val="auto"/>
        </w:rPr>
        <w:t>.</w:t>
      </w:r>
    </w:p>
    <w:p>
      <w:pPr>
        <w:spacing w:after="0" w:line="1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Sempra Energy’s cumulative total shareholder return for the performance period among the companies (ranked by total</w:t>
      </w:r>
    </w:p>
    <w:p>
      <w:pPr>
        <w:spacing w:after="0" w:line="34" w:lineRule="exact"/>
        <w:rPr>
          <w:sz w:val="20"/>
          <w:szCs w:val="20"/>
          <w:color w:val="auto"/>
        </w:rPr>
      </w:pPr>
    </w:p>
    <w:p>
      <w:pPr>
        <w:ind w:right="840"/>
        <w:spacing w:after="0" w:line="210" w:lineRule="auto"/>
        <w:rPr>
          <w:sz w:val="20"/>
          <w:szCs w:val="20"/>
          <w:color w:val="auto"/>
        </w:rPr>
      </w:pPr>
      <w:r>
        <w:rPr>
          <w:rFonts w:ascii="Arial" w:cs="Arial" w:eastAsia="Arial" w:hAnsi="Arial"/>
          <w:sz w:val="21"/>
          <w:szCs w:val="21"/>
          <w:color w:val="auto"/>
        </w:rPr>
        <w:t xml:space="preserve">shareholder returns) in the </w:t>
      </w:r>
      <w:r>
        <w:rPr>
          <w:rFonts w:ascii="Arial" w:cs="Arial" w:eastAsia="Arial" w:hAnsi="Arial"/>
          <w:sz w:val="21"/>
          <w:szCs w:val="21"/>
          <w:u w:val="single" w:color="auto"/>
          <w:color w:val="auto"/>
        </w:rPr>
        <w:t>S&amp;P 500 Composite Index</w:t>
      </w:r>
      <w:r>
        <w:rPr>
          <w:rFonts w:ascii="Arial" w:cs="Arial" w:eastAsia="Arial" w:hAnsi="Arial"/>
          <w:sz w:val="21"/>
          <w:szCs w:val="21"/>
          <w:color w:val="auto"/>
        </w:rPr>
        <w:t xml:space="preserve">, as determined and certified by the Compensation, is </w:t>
      </w:r>
      <w:r>
        <w:rPr>
          <w:rFonts w:ascii="Arial" w:cs="Arial" w:eastAsia="Arial" w:hAnsi="Arial"/>
          <w:sz w:val="21"/>
          <w:szCs w:val="21"/>
          <w:u w:val="single" w:color="auto"/>
          <w:color w:val="auto"/>
        </w:rPr>
        <w:t>at or above</w:t>
      </w:r>
      <w:r>
        <w:rPr>
          <w:rFonts w:ascii="Arial" w:cs="Arial" w:eastAsia="Arial" w:hAnsi="Arial"/>
          <w:sz w:val="21"/>
          <w:szCs w:val="21"/>
          <w:color w:val="auto"/>
        </w:rPr>
        <w:t xml:space="preserve"> the </w:t>
      </w:r>
      <w:r>
        <w:rPr>
          <w:rFonts w:ascii="Arial" w:cs="Arial" w:eastAsia="Arial" w:hAnsi="Arial"/>
          <w:sz w:val="21"/>
          <w:szCs w:val="21"/>
          <w:u w:val="single" w:color="auto"/>
          <w:color w:val="auto"/>
        </w:rPr>
        <w:t>50</w:t>
      </w:r>
      <w:r>
        <w:rPr>
          <w:rFonts w:ascii="Arial" w:cs="Arial" w:eastAsia="Arial" w:hAnsi="Arial"/>
          <w:sz w:val="34"/>
          <w:szCs w:val="34"/>
          <w:u w:val="single" w:color="auto"/>
          <w:color w:val="auto"/>
          <w:vertAlign w:val="superscript"/>
        </w:rPr>
        <w:t>th</w:t>
      </w:r>
      <w:r>
        <w:rPr>
          <w:rFonts w:ascii="Arial" w:cs="Arial" w:eastAsia="Arial" w:hAnsi="Arial"/>
          <w:sz w:val="21"/>
          <w:szCs w:val="21"/>
          <w:color w:val="auto"/>
        </w:rPr>
        <w:t xml:space="preserve"> </w:t>
      </w:r>
      <w:r>
        <w:rPr>
          <w:rFonts w:ascii="Arial" w:cs="Arial" w:eastAsia="Arial" w:hAnsi="Arial"/>
          <w:sz w:val="21"/>
          <w:szCs w:val="21"/>
          <w:u w:val="single" w:color="auto"/>
          <w:color w:val="auto"/>
        </w:rPr>
        <w:t>percentile</w:t>
      </w:r>
      <w:r>
        <w:rPr>
          <w:rFonts w:ascii="Arial" w:cs="Arial" w:eastAsia="Arial" w:hAnsi="Arial"/>
          <w:sz w:val="21"/>
          <w:szCs w:val="21"/>
          <w:color w:val="auto"/>
        </w:rPr>
        <w:t>.</w:t>
      </w:r>
    </w:p>
    <w:p>
      <w:pPr>
        <w:spacing w:after="0" w:line="203" w:lineRule="exact"/>
        <w:rPr>
          <w:sz w:val="20"/>
          <w:szCs w:val="20"/>
          <w:color w:val="auto"/>
        </w:rPr>
      </w:pPr>
    </w:p>
    <w:p>
      <w:pPr>
        <w:ind w:right="160" w:firstLine="648"/>
        <w:spacing w:after="0" w:line="218" w:lineRule="auto"/>
        <w:rPr>
          <w:sz w:val="20"/>
          <w:szCs w:val="20"/>
          <w:color w:val="auto"/>
        </w:rPr>
      </w:pPr>
      <w:r>
        <w:rPr>
          <w:rFonts w:ascii="Arial" w:cs="Arial" w:eastAsia="Arial" w:hAnsi="Arial"/>
          <w:sz w:val="21"/>
          <w:szCs w:val="21"/>
          <w:color w:val="auto"/>
        </w:rPr>
        <w:t xml:space="preserve">Because Sempra Energy’s cumulative total shareholder return is at the </w:t>
      </w:r>
      <w:r>
        <w:rPr>
          <w:rFonts w:ascii="Arial" w:cs="Arial" w:eastAsia="Arial" w:hAnsi="Arial"/>
          <w:sz w:val="21"/>
          <w:szCs w:val="21"/>
          <w:u w:val="single" w:color="auto"/>
          <w:color w:val="auto"/>
        </w:rPr>
        <w:t>45</w:t>
      </w:r>
      <w:r>
        <w:rPr>
          <w:rFonts w:ascii="Arial" w:cs="Arial" w:eastAsia="Arial" w:hAnsi="Arial"/>
          <w:sz w:val="34"/>
          <w:szCs w:val="34"/>
          <w:u w:val="single" w:color="auto"/>
          <w:color w:val="auto"/>
          <w:vertAlign w:val="superscript"/>
        </w:rPr>
        <w:t>th</w:t>
      </w:r>
      <w:r>
        <w:rPr>
          <w:rFonts w:ascii="Arial" w:cs="Arial" w:eastAsia="Arial" w:hAnsi="Arial"/>
          <w:sz w:val="21"/>
          <w:szCs w:val="21"/>
          <w:color w:val="auto"/>
        </w:rPr>
        <w:t xml:space="preserve"> </w:t>
      </w:r>
      <w:r>
        <w:rPr>
          <w:rFonts w:ascii="Arial" w:cs="Arial" w:eastAsia="Arial" w:hAnsi="Arial"/>
          <w:sz w:val="21"/>
          <w:szCs w:val="21"/>
          <w:u w:val="single" w:color="auto"/>
          <w:color w:val="auto"/>
        </w:rPr>
        <w:t>percentile</w:t>
      </w:r>
      <w:r>
        <w:rPr>
          <w:rFonts w:ascii="Arial" w:cs="Arial" w:eastAsia="Arial" w:hAnsi="Arial"/>
          <w:sz w:val="21"/>
          <w:szCs w:val="21"/>
          <w:color w:val="auto"/>
        </w:rPr>
        <w:t xml:space="preserve"> when ranked among the companies in the </w:t>
      </w:r>
      <w:r>
        <w:rPr>
          <w:rFonts w:ascii="Arial" w:cs="Arial" w:eastAsia="Arial" w:hAnsi="Arial"/>
          <w:sz w:val="21"/>
          <w:szCs w:val="21"/>
          <w:u w:val="single" w:color="auto"/>
          <w:color w:val="auto"/>
        </w:rPr>
        <w:t>S&amp;P 500 Utility Index</w:t>
      </w:r>
      <w:r>
        <w:rPr>
          <w:rFonts w:ascii="Arial" w:cs="Arial" w:eastAsia="Arial" w:hAnsi="Arial"/>
          <w:sz w:val="21"/>
          <w:szCs w:val="21"/>
          <w:color w:val="auto"/>
        </w:rPr>
        <w:t xml:space="preserve">, 70% of the target number of restricted stock units would vest (before taking into account Sempra Energy’s performance among the companies in the </w:t>
      </w:r>
      <w:r>
        <w:rPr>
          <w:rFonts w:ascii="Arial" w:cs="Arial" w:eastAsia="Arial" w:hAnsi="Arial"/>
          <w:sz w:val="21"/>
          <w:szCs w:val="21"/>
          <w:u w:val="single" w:color="auto"/>
          <w:color w:val="auto"/>
        </w:rPr>
        <w:t>S&amp;P 500 Composite Index</w:t>
      </w:r>
      <w:r>
        <w:rPr>
          <w:rFonts w:ascii="Arial" w:cs="Arial" w:eastAsia="Arial" w:hAnsi="Arial"/>
          <w:sz w:val="21"/>
          <w:szCs w:val="21"/>
          <w:color w:val="auto"/>
        </w:rPr>
        <w:t>).</w:t>
      </w:r>
    </w:p>
    <w:p>
      <w:pPr>
        <w:spacing w:after="0" w:line="206" w:lineRule="exact"/>
        <w:rPr>
          <w:sz w:val="20"/>
          <w:szCs w:val="20"/>
          <w:color w:val="auto"/>
        </w:rPr>
      </w:pPr>
    </w:p>
    <w:p>
      <w:pPr>
        <w:ind w:right="40" w:firstLine="648"/>
        <w:spacing w:after="0" w:line="210" w:lineRule="auto"/>
        <w:rPr>
          <w:sz w:val="20"/>
          <w:szCs w:val="20"/>
          <w:color w:val="auto"/>
        </w:rPr>
      </w:pPr>
      <w:r>
        <w:rPr>
          <w:rFonts w:ascii="Arial" w:cs="Arial" w:eastAsia="Arial" w:hAnsi="Arial"/>
          <w:sz w:val="21"/>
          <w:szCs w:val="21"/>
          <w:color w:val="auto"/>
        </w:rPr>
        <w:t xml:space="preserve">However, because Sempra Energy’s cumulative total shareholder return is </w:t>
      </w:r>
      <w:r>
        <w:rPr>
          <w:rFonts w:ascii="Arial" w:cs="Arial" w:eastAsia="Arial" w:hAnsi="Arial"/>
          <w:sz w:val="21"/>
          <w:szCs w:val="21"/>
          <w:u w:val="single" w:color="auto"/>
          <w:color w:val="auto"/>
        </w:rPr>
        <w:t>at or above the 50</w:t>
      </w:r>
      <w:r>
        <w:rPr>
          <w:rFonts w:ascii="Arial" w:cs="Arial" w:eastAsia="Arial" w:hAnsi="Arial"/>
          <w:sz w:val="34"/>
          <w:szCs w:val="34"/>
          <w:u w:val="single" w:color="auto"/>
          <w:color w:val="auto"/>
          <w:vertAlign w:val="superscript"/>
        </w:rPr>
        <w:t>th</w:t>
      </w:r>
      <w:r>
        <w:rPr>
          <w:rFonts w:ascii="Arial" w:cs="Arial" w:eastAsia="Arial" w:hAnsi="Arial"/>
          <w:sz w:val="21"/>
          <w:szCs w:val="21"/>
          <w:color w:val="auto"/>
        </w:rPr>
        <w:t xml:space="preserve"> </w:t>
      </w:r>
      <w:r>
        <w:rPr>
          <w:rFonts w:ascii="Arial" w:cs="Arial" w:eastAsia="Arial" w:hAnsi="Arial"/>
          <w:sz w:val="21"/>
          <w:szCs w:val="21"/>
          <w:u w:val="single" w:color="auto"/>
          <w:color w:val="auto"/>
        </w:rPr>
        <w:t>percentile</w:t>
      </w:r>
      <w:r>
        <w:rPr>
          <w:rFonts w:ascii="Arial" w:cs="Arial" w:eastAsia="Arial" w:hAnsi="Arial"/>
          <w:sz w:val="21"/>
          <w:szCs w:val="21"/>
          <w:color w:val="auto"/>
        </w:rPr>
        <w:t xml:space="preserve"> when ranked among the companies in the </w:t>
      </w:r>
      <w:r>
        <w:rPr>
          <w:rFonts w:ascii="Arial" w:cs="Arial" w:eastAsia="Arial" w:hAnsi="Arial"/>
          <w:sz w:val="21"/>
          <w:szCs w:val="21"/>
          <w:u w:val="single" w:color="auto"/>
          <w:color w:val="auto"/>
        </w:rPr>
        <w:t>S&amp;P 500 Composite Index</w:t>
      </w:r>
      <w:r>
        <w:rPr>
          <w:rFonts w:ascii="Arial" w:cs="Arial" w:eastAsia="Arial" w:hAnsi="Arial"/>
          <w:sz w:val="21"/>
          <w:szCs w:val="21"/>
          <w:color w:val="auto"/>
        </w:rPr>
        <w:t>, 100% of the target number of restricted stock units vest.</w:t>
      </w:r>
    </w:p>
    <w:p>
      <w:pPr>
        <w:spacing w:after="0" w:line="195"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Example 4</w:t>
      </w:r>
    </w:p>
    <w:p>
      <w:pPr>
        <w:spacing w:after="0" w:line="204" w:lineRule="exact"/>
        <w:rPr>
          <w:sz w:val="20"/>
          <w:szCs w:val="20"/>
          <w:color w:val="auto"/>
        </w:rPr>
      </w:pPr>
    </w:p>
    <w:p>
      <w:pPr>
        <w:ind w:firstLine="648"/>
        <w:spacing w:after="0" w:line="348" w:lineRule="auto"/>
        <w:rPr>
          <w:sz w:val="20"/>
          <w:szCs w:val="20"/>
          <w:color w:val="auto"/>
        </w:rPr>
      </w:pPr>
      <w:r>
        <w:rPr>
          <w:rFonts w:ascii="Arial" w:cs="Arial" w:eastAsia="Arial" w:hAnsi="Arial"/>
          <w:sz w:val="18"/>
          <w:szCs w:val="18"/>
          <w:color w:val="auto"/>
        </w:rPr>
        <w:t xml:space="preserve">Sempra Energy’s cumulative total shareholder return for the performance period among the companies (ranked by total shareholder returns) in the </w:t>
      </w:r>
      <w:r>
        <w:rPr>
          <w:rFonts w:ascii="Arial" w:cs="Arial" w:eastAsia="Arial" w:hAnsi="Arial"/>
          <w:sz w:val="18"/>
          <w:szCs w:val="18"/>
          <w:u w:val="single" w:color="auto"/>
          <w:color w:val="auto"/>
        </w:rPr>
        <w:t>S&amp;P 500 Utility Index</w:t>
      </w:r>
      <w:r>
        <w:rPr>
          <w:rFonts w:ascii="Arial" w:cs="Arial" w:eastAsia="Arial" w:hAnsi="Arial"/>
          <w:sz w:val="18"/>
          <w:szCs w:val="18"/>
          <w:color w:val="auto"/>
        </w:rPr>
        <w:t xml:space="preserve">, as determined and certified by the Compensation Committee, is at the </w:t>
      </w:r>
      <w:r>
        <w:rPr>
          <w:rFonts w:ascii="Arial" w:cs="Arial" w:eastAsia="Arial" w:hAnsi="Arial"/>
          <w:sz w:val="18"/>
          <w:szCs w:val="18"/>
          <w:u w:val="single" w:color="auto"/>
          <w:color w:val="auto"/>
        </w:rPr>
        <w:t>30th percentile</w:t>
      </w:r>
      <w:r>
        <w:rPr>
          <w:rFonts w:ascii="Arial" w:cs="Arial" w:eastAsia="Arial" w:hAnsi="Arial"/>
          <w:sz w:val="18"/>
          <w:szCs w:val="18"/>
          <w:color w:val="auto"/>
        </w:rPr>
        <w:t>.</w:t>
      </w:r>
    </w:p>
    <w:p>
      <w:pPr>
        <w:spacing w:after="0" w:line="89" w:lineRule="exact"/>
        <w:rPr>
          <w:sz w:val="20"/>
          <w:szCs w:val="20"/>
          <w:color w:val="auto"/>
        </w:rPr>
      </w:pPr>
    </w:p>
    <w:p>
      <w:pPr>
        <w:ind w:right="260" w:firstLine="648"/>
        <w:spacing w:after="0" w:line="253" w:lineRule="auto"/>
        <w:rPr>
          <w:sz w:val="20"/>
          <w:szCs w:val="20"/>
          <w:color w:val="auto"/>
        </w:rPr>
      </w:pPr>
      <w:r>
        <w:rPr>
          <w:rFonts w:ascii="Arial" w:cs="Arial" w:eastAsia="Arial" w:hAnsi="Arial"/>
          <w:sz w:val="21"/>
          <w:szCs w:val="21"/>
          <w:color w:val="auto"/>
        </w:rPr>
        <w:t xml:space="preserve">Also, Sempra Energy’s total shareholder return for the performance period among the companies (ranked by cumulative total shareholder returns) in the </w:t>
      </w:r>
      <w:r>
        <w:rPr>
          <w:rFonts w:ascii="Arial" w:cs="Arial" w:eastAsia="Arial" w:hAnsi="Arial"/>
          <w:sz w:val="21"/>
          <w:szCs w:val="21"/>
          <w:u w:val="single" w:color="auto"/>
          <w:color w:val="auto"/>
        </w:rPr>
        <w:t>S&amp;P 500 Composite Index</w:t>
      </w:r>
      <w:r>
        <w:rPr>
          <w:rFonts w:ascii="Arial" w:cs="Arial" w:eastAsia="Arial" w:hAnsi="Arial"/>
          <w:sz w:val="21"/>
          <w:szCs w:val="21"/>
          <w:color w:val="auto"/>
        </w:rPr>
        <w:t xml:space="preserve">, as determined and certified by the Compensation Committee, is </w:t>
      </w:r>
      <w:r>
        <w:rPr>
          <w:rFonts w:ascii="Arial" w:cs="Arial" w:eastAsia="Arial" w:hAnsi="Arial"/>
          <w:sz w:val="21"/>
          <w:szCs w:val="21"/>
          <w:u w:val="single" w:color="auto"/>
          <w:color w:val="auto"/>
        </w:rPr>
        <w:t>below the 50th</w:t>
      </w:r>
      <w:r>
        <w:rPr>
          <w:rFonts w:ascii="Arial" w:cs="Arial" w:eastAsia="Arial" w:hAnsi="Arial"/>
          <w:sz w:val="21"/>
          <w:szCs w:val="21"/>
          <w:color w:val="auto"/>
        </w:rPr>
        <w:t xml:space="preserve"> </w:t>
      </w:r>
      <w:r>
        <w:rPr>
          <w:rFonts w:ascii="Arial" w:cs="Arial" w:eastAsia="Arial" w:hAnsi="Arial"/>
          <w:sz w:val="21"/>
          <w:szCs w:val="21"/>
          <w:u w:val="single" w:color="auto"/>
          <w:color w:val="auto"/>
        </w:rPr>
        <w:t>percentile</w:t>
      </w:r>
      <w:r>
        <w:rPr>
          <w:rFonts w:ascii="Arial" w:cs="Arial" w:eastAsia="Arial" w:hAnsi="Arial"/>
          <w:sz w:val="21"/>
          <w:szCs w:val="21"/>
          <w:color w:val="auto"/>
        </w:rPr>
        <w:t>.</w:t>
      </w:r>
    </w:p>
    <w:p>
      <w:pPr>
        <w:spacing w:after="0" w:line="182" w:lineRule="exact"/>
        <w:rPr>
          <w:sz w:val="20"/>
          <w:szCs w:val="20"/>
          <w:color w:val="auto"/>
        </w:rPr>
      </w:pPr>
    </w:p>
    <w:p>
      <w:pPr>
        <w:ind w:right="120" w:firstLine="648"/>
        <w:spacing w:after="0" w:line="290" w:lineRule="auto"/>
        <w:rPr>
          <w:sz w:val="20"/>
          <w:szCs w:val="20"/>
          <w:color w:val="auto"/>
        </w:rPr>
      </w:pPr>
      <w:r>
        <w:rPr>
          <w:rFonts w:ascii="Arial" w:cs="Arial" w:eastAsia="Arial" w:hAnsi="Arial"/>
          <w:sz w:val="21"/>
          <w:szCs w:val="21"/>
          <w:color w:val="auto"/>
        </w:rPr>
        <w:t xml:space="preserve">Because Sempra Energy’s total shareholder return for the performance period among companies in the </w:t>
      </w:r>
      <w:r>
        <w:rPr>
          <w:rFonts w:ascii="Arial" w:cs="Arial" w:eastAsia="Arial" w:hAnsi="Arial"/>
          <w:sz w:val="21"/>
          <w:szCs w:val="21"/>
          <w:u w:val="single" w:color="auto"/>
          <w:color w:val="auto"/>
        </w:rPr>
        <w:t>S&amp;P 500 Utility Index</w:t>
      </w:r>
      <w:r>
        <w:rPr>
          <w:rFonts w:ascii="Arial" w:cs="Arial" w:eastAsia="Arial" w:hAnsi="Arial"/>
          <w:sz w:val="21"/>
          <w:szCs w:val="21"/>
          <w:color w:val="auto"/>
        </w:rPr>
        <w:t xml:space="preserve"> is </w:t>
      </w:r>
      <w:r>
        <w:rPr>
          <w:rFonts w:ascii="Arial" w:cs="Arial" w:eastAsia="Arial" w:hAnsi="Arial"/>
          <w:sz w:val="21"/>
          <w:szCs w:val="21"/>
          <w:u w:val="single" w:color="auto"/>
          <w:color w:val="auto"/>
        </w:rPr>
        <w:t>below the 35</w:t>
      </w:r>
      <w:r>
        <w:rPr>
          <w:rFonts w:ascii="Arial" w:cs="Arial" w:eastAsia="Arial" w:hAnsi="Arial"/>
          <w:sz w:val="34"/>
          <w:szCs w:val="34"/>
          <w:u w:val="single" w:color="auto"/>
          <w:color w:val="auto"/>
          <w:vertAlign w:val="superscript"/>
        </w:rPr>
        <w:t>th</w:t>
      </w:r>
      <w:r>
        <w:rPr>
          <w:rFonts w:ascii="Arial" w:cs="Arial" w:eastAsia="Arial" w:hAnsi="Arial"/>
          <w:sz w:val="21"/>
          <w:szCs w:val="21"/>
          <w:color w:val="auto"/>
        </w:rPr>
        <w:t xml:space="preserve"> </w:t>
      </w:r>
      <w:r>
        <w:rPr>
          <w:rFonts w:ascii="Arial" w:cs="Arial" w:eastAsia="Arial" w:hAnsi="Arial"/>
          <w:sz w:val="21"/>
          <w:szCs w:val="21"/>
          <w:u w:val="single" w:color="auto"/>
          <w:color w:val="auto"/>
        </w:rPr>
        <w:t>percentile</w:t>
      </w:r>
      <w:r>
        <w:rPr>
          <w:rFonts w:ascii="Arial" w:cs="Arial" w:eastAsia="Arial" w:hAnsi="Arial"/>
          <w:sz w:val="21"/>
          <w:szCs w:val="21"/>
          <w:color w:val="auto"/>
        </w:rPr>
        <w:t>, none of the target number of restricted stock units vest.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spacing w:after="0"/>
        <w:rPr>
          <w:sz w:val="20"/>
          <w:szCs w:val="20"/>
          <w:color w:val="auto"/>
        </w:rPr>
      </w:pPr>
      <w:r>
        <w:rPr>
          <w:rFonts w:ascii="Arial" w:cs="Arial" w:eastAsia="Arial" w:hAnsi="Arial"/>
          <w:sz w:val="17"/>
          <w:szCs w:val="17"/>
          <w:color w:val="auto"/>
        </w:rPr>
        <w:t>Page 10</w:t>
      </w:r>
    </w:p>
    <w:p>
      <w:pPr>
        <w:sectPr>
          <w:pgSz w:w="11900" w:h="16838" w:orient="portrait"/>
          <w:cols w:equalWidth="0" w:num="1">
            <w:col w:w="11380"/>
          </w:cols>
          <w:pgMar w:left="240" w:top="161" w:right="279" w:bottom="1440" w:gutter="0" w:footer="0" w:header="0"/>
        </w:sectPr>
      </w:pPr>
    </w:p>
    <w:bookmarkStart w:id="63" w:name="page64"/>
    <w:bookmarkEnd w:id="63"/>
    <w:p>
      <w:pPr>
        <w:jc w:val="right"/>
        <w:spacing w:after="0"/>
        <w:rPr>
          <w:sz w:val="20"/>
          <w:szCs w:val="20"/>
          <w:color w:val="auto"/>
        </w:rPr>
      </w:pPr>
      <w:r>
        <w:rPr>
          <w:rFonts w:ascii="Arial" w:cs="Arial" w:eastAsia="Arial" w:hAnsi="Arial"/>
          <w:sz w:val="22"/>
          <w:szCs w:val="22"/>
          <w:b w:val="1"/>
          <w:bCs w:val="1"/>
          <w:color w:val="auto"/>
        </w:rPr>
        <w:t>Exhibit 10.10</w:t>
      </w:r>
    </w:p>
    <w:p>
      <w:pPr>
        <w:spacing w:after="0" w:line="97" w:lineRule="exact"/>
        <w:rPr>
          <w:sz w:val="20"/>
          <w:szCs w:val="20"/>
          <w:color w:val="auto"/>
        </w:rPr>
      </w:pPr>
    </w:p>
    <w:p>
      <w:pPr>
        <w:jc w:val="center"/>
        <w:ind w:right="1080"/>
        <w:spacing w:after="0"/>
        <w:rPr>
          <w:sz w:val="20"/>
          <w:szCs w:val="20"/>
          <w:color w:val="auto"/>
        </w:rPr>
      </w:pPr>
      <w:r>
        <w:rPr>
          <w:rFonts w:ascii="Arial" w:cs="Arial" w:eastAsia="Arial" w:hAnsi="Arial"/>
          <w:sz w:val="24"/>
          <w:szCs w:val="24"/>
          <w:b w:val="1"/>
          <w:bCs w:val="1"/>
          <w:color w:val="auto"/>
        </w:rPr>
        <w:t>SEMPRA ENERGY</w:t>
      </w:r>
    </w:p>
    <w:p>
      <w:pPr>
        <w:spacing w:after="0" w:line="116" w:lineRule="exact"/>
        <w:rPr>
          <w:sz w:val="20"/>
          <w:szCs w:val="20"/>
          <w:color w:val="auto"/>
        </w:rPr>
      </w:pPr>
    </w:p>
    <w:p>
      <w:pPr>
        <w:jc w:val="center"/>
        <w:ind w:right="1080"/>
        <w:spacing w:after="0"/>
        <w:rPr>
          <w:sz w:val="20"/>
          <w:szCs w:val="20"/>
          <w:color w:val="auto"/>
        </w:rPr>
      </w:pPr>
      <w:r>
        <w:rPr>
          <w:rFonts w:ascii="Arial" w:cs="Arial" w:eastAsia="Arial" w:hAnsi="Arial"/>
          <w:sz w:val="24"/>
          <w:szCs w:val="24"/>
          <w:b w:val="1"/>
          <w:bCs w:val="1"/>
          <w:color w:val="auto"/>
        </w:rPr>
        <w:t>1998 LONG TERM INCENTIVE PLAN</w:t>
      </w:r>
    </w:p>
    <w:p>
      <w:pPr>
        <w:spacing w:after="0" w:line="116" w:lineRule="exact"/>
        <w:rPr>
          <w:sz w:val="20"/>
          <w:szCs w:val="20"/>
          <w:color w:val="auto"/>
        </w:rPr>
      </w:pPr>
    </w:p>
    <w:p>
      <w:pPr>
        <w:jc w:val="center"/>
        <w:ind w:right="1080"/>
        <w:spacing w:after="0"/>
        <w:rPr>
          <w:sz w:val="20"/>
          <w:szCs w:val="20"/>
          <w:color w:val="auto"/>
        </w:rPr>
      </w:pPr>
      <w:r>
        <w:rPr>
          <w:rFonts w:ascii="Arial" w:cs="Arial" w:eastAsia="Arial" w:hAnsi="Arial"/>
          <w:sz w:val="24"/>
          <w:szCs w:val="24"/>
          <w:b w:val="1"/>
          <w:bCs w:val="1"/>
          <w:color w:val="auto"/>
        </w:rPr>
        <w:t>2008 NONQUALIFIED STOCK OPTION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5883275" cy="342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883275" cy="342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142875</wp:posOffset>
            </wp:positionV>
            <wp:extent cx="5883275" cy="342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883275" cy="34290"/>
                    </a:xfrm>
                    <a:prstGeom prst="rect">
                      <a:avLst/>
                    </a:prstGeom>
                    <a:noFill/>
                  </pic:spPr>
                </pic:pic>
              </a:graphicData>
            </a:graphic>
          </wp:anchor>
        </w:drawing>
      </w:r>
    </w:p>
    <w:p>
      <w:pPr>
        <w:spacing w:after="0" w:line="372" w:lineRule="exact"/>
        <w:rPr>
          <w:sz w:val="20"/>
          <w:szCs w:val="20"/>
          <w:color w:val="auto"/>
        </w:rPr>
      </w:pPr>
    </w:p>
    <w:p>
      <w:pPr>
        <w:spacing w:after="0"/>
        <w:rPr>
          <w:sz w:val="20"/>
          <w:szCs w:val="20"/>
          <w:color w:val="auto"/>
        </w:rPr>
      </w:pPr>
      <w:r>
        <w:rPr>
          <w:rFonts w:ascii="Arial" w:cs="Arial" w:eastAsia="Arial" w:hAnsi="Arial"/>
          <w:sz w:val="19"/>
          <w:szCs w:val="19"/>
          <w:color w:val="auto"/>
        </w:rPr>
        <w:t>You have been granted an option to purchase the number of shares of Sempra Energy Common Stock set forth below.</w:t>
      </w:r>
    </w:p>
    <w:p>
      <w:pPr>
        <w:spacing w:after="0" w:line="214" w:lineRule="exact"/>
        <w:rPr>
          <w:sz w:val="20"/>
          <w:szCs w:val="20"/>
          <w:color w:val="auto"/>
        </w:rPr>
      </w:pPr>
    </w:p>
    <w:p>
      <w:pPr>
        <w:ind w:right="1080"/>
        <w:spacing w:after="0" w:line="245" w:lineRule="auto"/>
        <w:rPr>
          <w:sz w:val="20"/>
          <w:szCs w:val="20"/>
          <w:color w:val="auto"/>
        </w:rPr>
      </w:pPr>
      <w:r>
        <w:rPr>
          <w:rFonts w:ascii="Arial" w:cs="Arial" w:eastAsia="Arial" w:hAnsi="Arial"/>
          <w:sz w:val="19"/>
          <w:szCs w:val="19"/>
          <w:i w:val="1"/>
          <w:iCs w:val="1"/>
          <w:color w:val="auto"/>
        </w:rPr>
        <w:t>The terms and conditions of your option are set forth in the attached Year 2008 Nonqualified Stock Option Agreement and in the Sempra Energy 1998 Long Term Incentive Plan, which is enclosed. The summary below highlights selected terms and conditions but it is not complete and you should carefully read the attachments to fully understand the terms and conditions of your grant.</w:t>
      </w:r>
    </w:p>
    <w:p>
      <w:pPr>
        <w:sectPr>
          <w:pgSz w:w="11900" w:h="16838" w:orient="portrait"/>
          <w:cols w:equalWidth="0" w:num="1">
            <w:col w:w="10320"/>
          </w:cols>
          <w:pgMar w:left="1340" w:top="43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Date of Option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-368935</wp:posOffset>
            </wp:positionV>
            <wp:extent cx="286448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86448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-351790</wp:posOffset>
            </wp:positionV>
            <wp:extent cx="286448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864485" cy="8890"/>
                    </a:xfrm>
                    <a:prstGeom prst="rect">
                      <a:avLst/>
                    </a:prstGeom>
                    <a:noFill/>
                  </pic:spPr>
                </pic:pic>
              </a:graphicData>
            </a:graphic>
          </wp:anchor>
        </w:drawing>
      </w:r>
    </w:p>
    <w:p>
      <w:pPr>
        <w:spacing w:after="0" w:line="16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Name of Optionee:</w:t>
      </w:r>
    </w:p>
    <w:p>
      <w:pPr>
        <w:spacing w:after="0" w:line="18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Optionee’s Employee Number:</w:t>
      </w:r>
    </w:p>
    <w:p>
      <w:pPr>
        <w:spacing w:after="0" w:line="187" w:lineRule="exact"/>
        <w:rPr>
          <w:sz w:val="20"/>
          <w:szCs w:val="20"/>
          <w:color w:val="auto"/>
        </w:rPr>
      </w:pPr>
    </w:p>
    <w:p>
      <w:pPr>
        <w:spacing w:after="0" w:line="268" w:lineRule="auto"/>
        <w:rPr>
          <w:sz w:val="20"/>
          <w:szCs w:val="20"/>
          <w:color w:val="auto"/>
        </w:rPr>
      </w:pPr>
      <w:r>
        <w:rPr>
          <w:rFonts w:ascii="Arial" w:cs="Arial" w:eastAsia="Arial" w:hAnsi="Arial"/>
          <w:sz w:val="19"/>
          <w:szCs w:val="19"/>
          <w:b w:val="1"/>
          <w:bCs w:val="1"/>
          <w:color w:val="auto"/>
        </w:rPr>
        <w:t>Number of Shares of Sempra Energy Common Stock Covered by Option:</w:t>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ind w:left="720"/>
        <w:spacing w:after="0"/>
        <w:rPr>
          <w:sz w:val="20"/>
          <w:szCs w:val="20"/>
          <w:color w:val="auto"/>
        </w:rPr>
      </w:pPr>
      <w:r>
        <w:rPr>
          <w:rFonts w:ascii="Arial" w:cs="Arial" w:eastAsia="Arial" w:hAnsi="Arial"/>
          <w:sz w:val="24"/>
          <w:szCs w:val="24"/>
          <w:b w:val="1"/>
          <w:bCs w:val="1"/>
          <w:color w:val="auto"/>
        </w:rPr>
        <w:t>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1466850</wp:posOffset>
            </wp:positionH>
            <wp:positionV relativeFrom="paragraph">
              <wp:posOffset>-79375</wp:posOffset>
            </wp:positionV>
            <wp:extent cx="181800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818005" cy="8890"/>
                    </a:xfrm>
                    <a:prstGeom prst="rect">
                      <a:avLst/>
                    </a:prstGeom>
                    <a:noFill/>
                  </pic:spPr>
                </pic:pic>
              </a:graphicData>
            </a:graphic>
          </wp:anchor>
        </w:drawing>
        <w:drawing>
          <wp:anchor simplePos="0" relativeHeight="251657728" behindDoc="1" locked="0" layoutInCell="0" allowOverlap="1">
            <wp:simplePos x="0" y="0"/>
            <wp:positionH relativeFrom="column">
              <wp:posOffset>1466850</wp:posOffset>
            </wp:positionH>
            <wp:positionV relativeFrom="paragraph">
              <wp:posOffset>-62230</wp:posOffset>
            </wp:positionV>
            <wp:extent cx="181800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January 2,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76835</wp:posOffset>
            </wp:positionV>
            <wp:extent cx="329311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293110" cy="88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334010</wp:posOffset>
            </wp:positionV>
            <wp:extent cx="329311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293110" cy="88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591185</wp:posOffset>
            </wp:positionV>
            <wp:extent cx="329311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293110" cy="88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985520</wp:posOffset>
            </wp:positionV>
            <wp:extent cx="329311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1631" w:lineRule="exact"/>
        <w:rPr>
          <w:sz w:val="20"/>
          <w:szCs w:val="20"/>
          <w:color w:val="auto"/>
        </w:rPr>
      </w:pPr>
    </w:p>
    <w:p>
      <w:pPr>
        <w:sectPr>
          <w:pgSz w:w="11900" w:h="16838" w:orient="portrait"/>
          <w:cols w:equalWidth="0" w:num="2">
            <w:col w:w="3780" w:space="300"/>
            <w:col w:w="6240"/>
          </w:cols>
          <w:pgMar w:left="1340" w:top="436" w:right="239" w:bottom="1440" w:gutter="0" w:footer="0" w:header="0"/>
          <w:type w:val="continuous"/>
        </w:sectPr>
      </w:pPr>
    </w:p>
    <w:tbl>
      <w:tblPr>
        <w:tblLayout w:type="fixed"/>
        <w:tblInd w:w="0" w:type="dxa"/>
        <w:tblCellMar>
          <w:top w:w="0" w:type="dxa"/>
          <w:left w:w="0" w:type="dxa"/>
          <w:bottom w:w="0" w:type="dxa"/>
          <w:right w:w="0" w:type="dxa"/>
        </w:tblCellMar>
      </w:tblPr>
      <w:tr>
        <w:trPr>
          <w:trHeight w:val="260"/>
        </w:trPr>
        <w:tc>
          <w:tcPr>
            <w:tcW w:w="3060" w:type="dxa"/>
            <w:vAlign w:val="bottom"/>
          </w:tcPr>
          <w:p>
            <w:pPr>
              <w:spacing w:after="0"/>
              <w:rPr>
                <w:sz w:val="20"/>
                <w:szCs w:val="20"/>
                <w:color w:val="auto"/>
              </w:rPr>
            </w:pPr>
            <w:r>
              <w:rPr>
                <w:rFonts w:ascii="Arial" w:cs="Arial" w:eastAsia="Arial" w:hAnsi="Arial"/>
                <w:sz w:val="19"/>
                <w:szCs w:val="19"/>
                <w:b w:val="1"/>
                <w:bCs w:val="1"/>
                <w:color w:val="auto"/>
              </w:rPr>
              <w:t>Exercise Price per Share:</w:t>
            </w:r>
          </w:p>
        </w:tc>
        <w:tc>
          <w:tcPr>
            <w:tcW w:w="1540" w:type="dxa"/>
            <w:vAlign w:val="bottom"/>
          </w:tcPr>
          <w:p>
            <w:pPr>
              <w:jc w:val="right"/>
              <w:spacing w:after="0"/>
              <w:rPr>
                <w:sz w:val="20"/>
                <w:szCs w:val="20"/>
                <w:color w:val="auto"/>
              </w:rPr>
            </w:pPr>
            <w:r>
              <w:rPr>
                <w:rFonts w:ascii="Arial" w:cs="Arial" w:eastAsia="Arial" w:hAnsi="Arial"/>
                <w:sz w:val="19"/>
                <w:szCs w:val="19"/>
                <w:b w:val="1"/>
                <w:bCs w:val="1"/>
                <w:color w:val="auto"/>
              </w:rPr>
              <w:t>$61.41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2582545</wp:posOffset>
            </wp:positionH>
            <wp:positionV relativeFrom="paragraph">
              <wp:posOffset>50165</wp:posOffset>
            </wp:positionV>
            <wp:extent cx="329311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13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Vesting:</w:t>
      </w:r>
    </w:p>
    <w:p>
      <w:pPr>
        <w:spacing w:after="0" w:line="20" w:lineRule="exact"/>
        <w:rPr>
          <w:sz w:val="20"/>
          <w:szCs w:val="20"/>
          <w:color w:val="auto"/>
        </w:rPr>
      </w:pPr>
    </w:p>
    <w:p>
      <w:pPr>
        <w:ind w:right="1160"/>
        <w:spacing w:after="0"/>
        <w:rPr>
          <w:sz w:val="20"/>
          <w:szCs w:val="20"/>
          <w:color w:val="auto"/>
        </w:rPr>
      </w:pPr>
      <w:r>
        <w:rPr>
          <w:rFonts w:ascii="Arial" w:cs="Arial" w:eastAsia="Arial" w:hAnsi="Arial"/>
          <w:sz w:val="19"/>
          <w:szCs w:val="19"/>
          <w:color w:val="auto"/>
        </w:rPr>
        <w:t>Your option vests (becomes exercisable) in four equal annual cumulative installments of 25% each over a four-year period. Once an installment becomes exercisable, it will remain exercisable until it is exercised or your option expires or terminates.</w:t>
      </w:r>
    </w:p>
    <w:p>
      <w:pPr>
        <w:spacing w:after="0" w:line="16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Option Term:</w:t>
      </w:r>
    </w:p>
    <w:p>
      <w:pPr>
        <w:spacing w:after="0" w:line="20" w:lineRule="exact"/>
        <w:rPr>
          <w:sz w:val="20"/>
          <w:szCs w:val="20"/>
          <w:color w:val="auto"/>
        </w:rPr>
      </w:pPr>
    </w:p>
    <w:p>
      <w:pPr>
        <w:spacing w:after="0"/>
        <w:rPr>
          <w:sz w:val="20"/>
          <w:szCs w:val="20"/>
          <w:color w:val="auto"/>
        </w:rPr>
      </w:pPr>
      <w:r>
        <w:rPr>
          <w:rFonts w:ascii="Arial" w:cs="Arial" w:eastAsia="Arial" w:hAnsi="Arial"/>
          <w:sz w:val="19"/>
          <w:szCs w:val="19"/>
          <w:color w:val="auto"/>
        </w:rPr>
        <w:t>Ten years subject to earlier expiration if your employment terminates.</w:t>
      </w:r>
    </w:p>
    <w:p>
      <w:pPr>
        <w:spacing w:after="0" w:line="16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Termination of Employment:</w:t>
      </w:r>
    </w:p>
    <w:p>
      <w:pPr>
        <w:spacing w:after="0" w:line="20" w:lineRule="exact"/>
        <w:rPr>
          <w:sz w:val="20"/>
          <w:szCs w:val="20"/>
          <w:color w:val="auto"/>
        </w:rPr>
      </w:pPr>
    </w:p>
    <w:p>
      <w:pPr>
        <w:spacing w:after="0"/>
        <w:rPr>
          <w:sz w:val="20"/>
          <w:szCs w:val="20"/>
          <w:color w:val="auto"/>
        </w:rPr>
      </w:pPr>
      <w:r>
        <w:rPr>
          <w:rFonts w:ascii="Arial" w:cs="Arial" w:eastAsia="Arial" w:hAnsi="Arial"/>
          <w:sz w:val="19"/>
          <w:szCs w:val="19"/>
          <w:color w:val="auto"/>
        </w:rPr>
        <w:t>Your option may expire or cease to vest if your employment is terminated.</w:t>
      </w:r>
    </w:p>
    <w:p>
      <w:pPr>
        <w:spacing w:after="0" w:line="16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 Dividend Equivalents:</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No dividend equivalents will be paid by the Company with respect to your option or the shares covered by your option.</w:t>
      </w:r>
    </w:p>
    <w:p>
      <w:pPr>
        <w:spacing w:after="0" w:line="18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Exercise of Option/Taxes:</w:t>
      </w:r>
    </w:p>
    <w:p>
      <w:pPr>
        <w:spacing w:after="0" w:line="20" w:lineRule="exact"/>
        <w:rPr>
          <w:sz w:val="20"/>
          <w:szCs w:val="20"/>
          <w:color w:val="auto"/>
        </w:rPr>
      </w:pPr>
    </w:p>
    <w:p>
      <w:pPr>
        <w:ind w:right="1360"/>
        <w:spacing w:after="0" w:line="300" w:lineRule="auto"/>
        <w:rPr>
          <w:sz w:val="20"/>
          <w:szCs w:val="20"/>
          <w:color w:val="auto"/>
        </w:rPr>
      </w:pPr>
      <w:r>
        <w:rPr>
          <w:rFonts w:ascii="Arial" w:cs="Arial" w:eastAsia="Arial" w:hAnsi="Arial"/>
          <w:sz w:val="17"/>
          <w:szCs w:val="17"/>
          <w:color w:val="auto"/>
        </w:rPr>
        <w:t>Upon exercise of your option you must pay (or make acceptable arrangements to pay) the exercise price for each share for which you exercise your option and any withholding taxes that may be due as a result of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27940</wp:posOffset>
            </wp:positionV>
            <wp:extent cx="5883275" cy="342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883275" cy="342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96520</wp:posOffset>
            </wp:positionV>
            <wp:extent cx="5883275" cy="342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883275" cy="34290"/>
                    </a:xfrm>
                    <a:prstGeom prst="rect">
                      <a:avLst/>
                    </a:prstGeom>
                    <a:noFill/>
                  </pic:spPr>
                </pic:pic>
              </a:graphicData>
            </a:graphic>
          </wp:anchor>
        </w:drawing>
      </w:r>
    </w:p>
    <w:p>
      <w:pPr>
        <w:spacing w:after="0" w:line="187" w:lineRule="exact"/>
        <w:rPr>
          <w:sz w:val="20"/>
          <w:szCs w:val="20"/>
          <w:color w:val="auto"/>
        </w:rPr>
      </w:pPr>
    </w:p>
    <w:p>
      <w:pPr>
        <w:ind w:right="1460"/>
        <w:spacing w:after="0" w:line="292" w:lineRule="auto"/>
        <w:rPr>
          <w:sz w:val="20"/>
          <w:szCs w:val="20"/>
          <w:color w:val="auto"/>
        </w:rPr>
      </w:pPr>
      <w:r>
        <w:rPr>
          <w:rFonts w:ascii="Arial" w:cs="Arial" w:eastAsia="Arial" w:hAnsi="Arial"/>
          <w:sz w:val="19"/>
          <w:szCs w:val="19"/>
          <w:b w:val="1"/>
          <w:bCs w:val="1"/>
          <w:i w:val="1"/>
          <w:iCs w:val="1"/>
          <w:color w:val="auto"/>
        </w:rPr>
        <w:t>To accept your grant you must sign this page and promptly return it to Sempra Energy. By doing so, you agree to all of the terms and conditions described in the attached Year 2008 Nonqualified Stock Option Agreement and in the Sempra Energy 1998 Long Term Incentive Plan.</w:t>
      </w:r>
    </w:p>
    <w:p>
      <w:pPr>
        <w:spacing w:after="0" w:line="350" w:lineRule="exact"/>
        <w:rPr>
          <w:sz w:val="20"/>
          <w:szCs w:val="20"/>
          <w:color w:val="auto"/>
        </w:rPr>
      </w:pPr>
    </w:p>
    <w:tbl>
      <w:tblPr>
        <w:tblLayout w:type="fixed"/>
        <w:tblInd w:w="1460" w:type="dxa"/>
        <w:tblCellMar>
          <w:top w:w="0" w:type="dxa"/>
          <w:left w:w="0" w:type="dxa"/>
          <w:bottom w:w="0" w:type="dxa"/>
          <w:right w:w="0" w:type="dxa"/>
        </w:tblCellMar>
      </w:tblPr>
      <w:tr>
        <w:trPr>
          <w:trHeight w:val="338"/>
        </w:trPr>
        <w:tc>
          <w:tcPr>
            <w:tcW w:w="1740" w:type="dxa"/>
            <w:vAlign w:val="bottom"/>
          </w:tcPr>
          <w:p>
            <w:pPr>
              <w:spacing w:after="0"/>
              <w:rPr>
                <w:sz w:val="20"/>
                <w:szCs w:val="20"/>
                <w:color w:val="auto"/>
              </w:rPr>
            </w:pPr>
            <w:r>
              <w:rPr>
                <w:rFonts w:ascii="Arial" w:cs="Arial" w:eastAsia="Arial" w:hAnsi="Arial"/>
                <w:sz w:val="19"/>
                <w:szCs w:val="19"/>
                <w:color w:val="auto"/>
              </w:rPr>
              <w:t>Recipient:</w:t>
            </w:r>
          </w:p>
        </w:tc>
        <w:tc>
          <w:tcPr>
            <w:tcW w:w="4600" w:type="dxa"/>
            <w:vAlign w:val="bottom"/>
            <w:tcBorders>
              <w:bottom w:val="single" w:sz="8" w:color="auto"/>
            </w:tcBorders>
          </w:tcPr>
          <w:p>
            <w:pPr>
              <w:spacing w:after="0"/>
              <w:rPr>
                <w:sz w:val="20"/>
                <w:szCs w:val="20"/>
                <w:color w:val="auto"/>
              </w:rPr>
            </w:pPr>
            <w:r>
              <w:rPr>
                <w:rFonts w:ascii="Arial" w:cs="Arial" w:eastAsia="Arial" w:hAnsi="Arial"/>
                <w:sz w:val="27"/>
                <w:szCs w:val="27"/>
                <w:b w:val="1"/>
                <w:bCs w:val="1"/>
                <w:color w:val="auto"/>
              </w:rPr>
              <w:t>X</w:t>
            </w:r>
          </w:p>
        </w:tc>
      </w:tr>
      <w:tr>
        <w:trPr>
          <w:trHeight w:val="228"/>
        </w:trPr>
        <w:tc>
          <w:tcPr>
            <w:tcW w:w="1740" w:type="dxa"/>
            <w:vAlign w:val="bottom"/>
          </w:tcPr>
          <w:p>
            <w:pPr>
              <w:spacing w:after="0"/>
              <w:rPr>
                <w:sz w:val="19"/>
                <w:szCs w:val="19"/>
                <w:color w:val="auto"/>
              </w:rPr>
            </w:pPr>
          </w:p>
        </w:tc>
        <w:tc>
          <w:tcPr>
            <w:tcW w:w="4600" w:type="dxa"/>
            <w:vAlign w:val="bottom"/>
          </w:tcPr>
          <w:p>
            <w:pPr>
              <w:jc w:val="center"/>
              <w:spacing w:after="0"/>
              <w:rPr>
                <w:sz w:val="20"/>
                <w:szCs w:val="20"/>
                <w:color w:val="auto"/>
              </w:rPr>
            </w:pPr>
            <w:r>
              <w:rPr>
                <w:rFonts w:ascii="Arial" w:cs="Arial" w:eastAsia="Arial" w:hAnsi="Arial"/>
                <w:sz w:val="19"/>
                <w:szCs w:val="19"/>
                <w:color w:val="auto"/>
                <w:w w:val="91"/>
              </w:rPr>
              <w:t>(Signature)</w:t>
            </w:r>
          </w:p>
        </w:tc>
      </w:tr>
      <w:tr>
        <w:trPr>
          <w:trHeight w:val="252"/>
        </w:trPr>
        <w:tc>
          <w:tcPr>
            <w:tcW w:w="1740" w:type="dxa"/>
            <w:vAlign w:val="bottom"/>
          </w:tcPr>
          <w:p>
            <w:pPr>
              <w:spacing w:after="0"/>
              <w:rPr>
                <w:sz w:val="20"/>
                <w:szCs w:val="20"/>
                <w:color w:val="auto"/>
              </w:rPr>
            </w:pPr>
            <w:r>
              <w:rPr>
                <w:rFonts w:ascii="Arial" w:cs="Arial" w:eastAsia="Arial" w:hAnsi="Arial"/>
                <w:sz w:val="19"/>
                <w:szCs w:val="19"/>
                <w:color w:val="auto"/>
              </w:rPr>
              <w:t>Sempra Energy:</w:t>
            </w:r>
          </w:p>
        </w:tc>
        <w:tc>
          <w:tcPr>
            <w:tcW w:w="460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w w:val="91"/>
              </w:rPr>
              <w:t>/S/ Donald E. Felsinger</w:t>
            </w:r>
          </w:p>
        </w:tc>
      </w:tr>
      <w:tr>
        <w:trPr>
          <w:trHeight w:val="228"/>
        </w:trPr>
        <w:tc>
          <w:tcPr>
            <w:tcW w:w="1740" w:type="dxa"/>
            <w:vAlign w:val="bottom"/>
          </w:tcPr>
          <w:p>
            <w:pPr>
              <w:spacing w:after="0"/>
              <w:rPr>
                <w:sz w:val="19"/>
                <w:szCs w:val="19"/>
                <w:color w:val="auto"/>
              </w:rPr>
            </w:pPr>
          </w:p>
        </w:tc>
        <w:tc>
          <w:tcPr>
            <w:tcW w:w="4600" w:type="dxa"/>
            <w:vAlign w:val="bottom"/>
          </w:tcPr>
          <w:p>
            <w:pPr>
              <w:jc w:val="center"/>
              <w:spacing w:after="0"/>
              <w:rPr>
                <w:sz w:val="20"/>
                <w:szCs w:val="20"/>
                <w:color w:val="auto"/>
              </w:rPr>
            </w:pPr>
            <w:r>
              <w:rPr>
                <w:rFonts w:ascii="Arial" w:cs="Arial" w:eastAsia="Arial" w:hAnsi="Arial"/>
                <w:sz w:val="19"/>
                <w:szCs w:val="19"/>
                <w:color w:val="auto"/>
                <w:w w:val="91"/>
              </w:rPr>
              <w:t>(Signature)</w:t>
            </w:r>
          </w:p>
        </w:tc>
      </w:tr>
      <w:tr>
        <w:trPr>
          <w:trHeight w:val="246"/>
        </w:trPr>
        <w:tc>
          <w:tcPr>
            <w:tcW w:w="1740" w:type="dxa"/>
            <w:vAlign w:val="bottom"/>
          </w:tcPr>
          <w:p>
            <w:pPr>
              <w:spacing w:after="0"/>
              <w:rPr>
                <w:sz w:val="20"/>
                <w:szCs w:val="20"/>
                <w:color w:val="auto"/>
              </w:rPr>
            </w:pPr>
            <w:r>
              <w:rPr>
                <w:rFonts w:ascii="Arial" w:cs="Arial" w:eastAsia="Arial" w:hAnsi="Arial"/>
                <w:sz w:val="19"/>
                <w:szCs w:val="19"/>
                <w:color w:val="auto"/>
              </w:rPr>
              <w:t>Title:</w:t>
            </w:r>
          </w:p>
        </w:tc>
        <w:tc>
          <w:tcPr>
            <w:tcW w:w="460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w w:val="93"/>
              </w:rPr>
              <w:t>Chairman &amp; Chief Executive Officer</w:t>
            </w:r>
          </w:p>
        </w:tc>
      </w:tr>
    </w:tbl>
    <w:p>
      <w:pPr>
        <w:sectPr>
          <w:pgSz w:w="11900" w:h="16838" w:orient="portrait"/>
          <w:cols w:equalWidth="0" w:num="1">
            <w:col w:w="10320"/>
          </w:cols>
          <w:pgMar w:left="1340" w:top="436" w:right="239" w:bottom="1440" w:gutter="0" w:footer="0" w:header="0"/>
          <w:type w:val="continuous"/>
        </w:sectPr>
      </w:pPr>
    </w:p>
    <w:bookmarkStart w:id="64" w:name="page65"/>
    <w:bookmarkEnd w:id="64"/>
    <w:p>
      <w:pPr>
        <w:jc w:val="center"/>
        <w:ind w:right="-1159"/>
        <w:spacing w:after="0"/>
        <w:rPr>
          <w:sz w:val="20"/>
          <w:szCs w:val="20"/>
          <w:color w:val="auto"/>
        </w:rPr>
      </w:pPr>
      <w:r>
        <w:rPr>
          <w:rFonts w:ascii="Arial" w:cs="Arial" w:eastAsia="Arial" w:hAnsi="Arial"/>
          <w:sz w:val="15"/>
          <w:szCs w:val="15"/>
          <w:b w:val="1"/>
          <w:bCs w:val="1"/>
          <w:color w:val="auto"/>
        </w:rPr>
        <w:t>SEMPRA ENERGY</w:t>
      </w:r>
    </w:p>
    <w:p>
      <w:pPr>
        <w:spacing w:after="0" w:line="17" w:lineRule="exact"/>
        <w:rPr>
          <w:sz w:val="20"/>
          <w:szCs w:val="20"/>
          <w:color w:val="auto"/>
        </w:rPr>
      </w:pPr>
    </w:p>
    <w:p>
      <w:pPr>
        <w:jc w:val="center"/>
        <w:ind w:right="-1159"/>
        <w:spacing w:after="0"/>
        <w:rPr>
          <w:sz w:val="20"/>
          <w:szCs w:val="20"/>
          <w:color w:val="auto"/>
        </w:rPr>
      </w:pPr>
      <w:r>
        <w:rPr>
          <w:rFonts w:ascii="Arial" w:cs="Arial" w:eastAsia="Arial" w:hAnsi="Arial"/>
          <w:sz w:val="15"/>
          <w:szCs w:val="15"/>
          <w:b w:val="1"/>
          <w:bCs w:val="1"/>
          <w:color w:val="auto"/>
        </w:rPr>
        <w:t>1998 LONG TERM INCENTIVE PLAN</w:t>
      </w:r>
    </w:p>
    <w:p>
      <w:pPr>
        <w:spacing w:after="0" w:line="137" w:lineRule="exact"/>
        <w:rPr>
          <w:sz w:val="20"/>
          <w:szCs w:val="20"/>
          <w:color w:val="auto"/>
        </w:rPr>
      </w:pPr>
    </w:p>
    <w:p>
      <w:pPr>
        <w:ind w:left="3900"/>
        <w:spacing w:after="0"/>
        <w:rPr>
          <w:sz w:val="20"/>
          <w:szCs w:val="20"/>
          <w:color w:val="auto"/>
        </w:rPr>
      </w:pPr>
      <w:r>
        <w:rPr>
          <w:rFonts w:ascii="Arial" w:cs="Arial" w:eastAsia="Arial" w:hAnsi="Arial"/>
          <w:sz w:val="14"/>
          <w:szCs w:val="14"/>
          <w:b w:val="1"/>
          <w:bCs w:val="1"/>
          <w:color w:val="auto"/>
        </w:rPr>
        <w:t>2008 NONQUALIFIED STOCK OPTION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127635</wp:posOffset>
            </wp:positionV>
            <wp:extent cx="5797550" cy="342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97550" cy="342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196215</wp:posOffset>
            </wp:positionV>
            <wp:extent cx="5797550" cy="342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97550" cy="34290"/>
                    </a:xfrm>
                    <a:prstGeom prst="rect">
                      <a:avLst/>
                    </a:prstGeom>
                    <a:noFill/>
                  </pic:spPr>
                </pic:pic>
              </a:graphicData>
            </a:graphic>
          </wp:anchor>
        </w:drawing>
      </w:r>
    </w:p>
    <w:p>
      <w:pPr>
        <w:sectPr>
          <w:pgSz w:w="11900" w:h="16838" w:orient="portrait"/>
          <w:cols w:equalWidth="0" w:num="1">
            <w:col w:w="10260"/>
          </w:cols>
          <w:pgMar w:left="240" w:top="885" w:right="1399" w:bottom="1440" w:gutter="0" w:footer="0" w:header="0"/>
        </w:sectPr>
      </w:pPr>
    </w:p>
    <w:p>
      <w:pPr>
        <w:spacing w:after="0" w:line="200" w:lineRule="exact"/>
        <w:rPr>
          <w:sz w:val="20"/>
          <w:szCs w:val="20"/>
          <w:color w:val="auto"/>
        </w:rPr>
      </w:pPr>
    </w:p>
    <w:p>
      <w:pPr>
        <w:spacing w:after="0" w:line="252" w:lineRule="exact"/>
        <w:rPr>
          <w:sz w:val="20"/>
          <w:szCs w:val="20"/>
          <w:color w:val="auto"/>
        </w:rPr>
      </w:pPr>
    </w:p>
    <w:p>
      <w:pPr>
        <w:ind w:left="1160"/>
        <w:spacing w:after="0"/>
        <w:rPr>
          <w:sz w:val="20"/>
          <w:szCs w:val="20"/>
          <w:color w:val="auto"/>
        </w:rPr>
      </w:pPr>
      <w:r>
        <w:rPr>
          <w:rFonts w:ascii="Arial" w:cs="Arial" w:eastAsia="Arial" w:hAnsi="Arial"/>
          <w:sz w:val="21"/>
          <w:szCs w:val="21"/>
          <w:b w:val="1"/>
          <w:bCs w:val="1"/>
          <w:color w:val="auto"/>
        </w:rPr>
        <w:t>Company</w:t>
      </w:r>
    </w:p>
    <w:p>
      <w:pPr>
        <w:spacing w:after="0" w:line="200" w:lineRule="exact"/>
        <w:rPr>
          <w:sz w:val="20"/>
          <w:szCs w:val="20"/>
          <w:color w:val="auto"/>
        </w:rPr>
      </w:pPr>
    </w:p>
    <w:p>
      <w:pPr>
        <w:spacing w:after="0" w:line="247" w:lineRule="exact"/>
        <w:rPr>
          <w:sz w:val="20"/>
          <w:szCs w:val="20"/>
          <w:color w:val="auto"/>
        </w:rPr>
      </w:pPr>
    </w:p>
    <w:p>
      <w:pPr>
        <w:ind w:left="1160"/>
        <w:spacing w:after="0"/>
        <w:rPr>
          <w:sz w:val="20"/>
          <w:szCs w:val="20"/>
          <w:color w:val="auto"/>
        </w:rPr>
      </w:pPr>
      <w:r>
        <w:rPr>
          <w:rFonts w:ascii="Arial" w:cs="Arial" w:eastAsia="Arial" w:hAnsi="Arial"/>
          <w:sz w:val="21"/>
          <w:szCs w:val="21"/>
          <w:b w:val="1"/>
          <w:bCs w:val="1"/>
          <w:color w:val="auto"/>
        </w:rPr>
        <w:t>Vesting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160"/>
        <w:spacing w:after="0"/>
        <w:rPr>
          <w:sz w:val="20"/>
          <w:szCs w:val="20"/>
          <w:color w:val="auto"/>
        </w:rPr>
      </w:pPr>
      <w:r>
        <w:rPr>
          <w:rFonts w:ascii="Arial" w:cs="Arial" w:eastAsia="Arial" w:hAnsi="Arial"/>
          <w:sz w:val="21"/>
          <w:szCs w:val="21"/>
          <w:b w:val="1"/>
          <w:bCs w:val="1"/>
          <w:color w:val="auto"/>
        </w:rPr>
        <w:t>No Dividend</w:t>
      </w:r>
    </w:p>
    <w:p>
      <w:pPr>
        <w:spacing w:after="0" w:line="26" w:lineRule="exact"/>
        <w:rPr>
          <w:sz w:val="20"/>
          <w:szCs w:val="20"/>
          <w:color w:val="auto"/>
        </w:rPr>
      </w:pPr>
    </w:p>
    <w:p>
      <w:pPr>
        <w:ind w:left="1160"/>
        <w:spacing w:after="0"/>
        <w:rPr>
          <w:sz w:val="20"/>
          <w:szCs w:val="20"/>
          <w:color w:val="auto"/>
        </w:rPr>
      </w:pPr>
      <w:r>
        <w:rPr>
          <w:rFonts w:ascii="Arial" w:cs="Arial" w:eastAsia="Arial" w:hAnsi="Arial"/>
          <w:sz w:val="21"/>
          <w:szCs w:val="21"/>
          <w:b w:val="1"/>
          <w:bCs w:val="1"/>
          <w:color w:val="auto"/>
        </w:rPr>
        <w:t>Equivalents</w:t>
      </w:r>
    </w:p>
    <w:p>
      <w:pPr>
        <w:spacing w:after="0" w:line="207" w:lineRule="exact"/>
        <w:rPr>
          <w:sz w:val="20"/>
          <w:szCs w:val="20"/>
          <w:color w:val="auto"/>
        </w:rPr>
      </w:pPr>
    </w:p>
    <w:p>
      <w:pPr>
        <w:ind w:left="1160"/>
        <w:spacing w:after="0"/>
        <w:rPr>
          <w:sz w:val="20"/>
          <w:szCs w:val="20"/>
          <w:color w:val="auto"/>
        </w:rPr>
      </w:pPr>
      <w:r>
        <w:rPr>
          <w:rFonts w:ascii="Arial" w:cs="Arial" w:eastAsia="Arial" w:hAnsi="Arial"/>
          <w:sz w:val="21"/>
          <w:szCs w:val="21"/>
          <w:b w:val="1"/>
          <w:bCs w:val="1"/>
          <w:color w:val="auto"/>
        </w:rPr>
        <w:t>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160"/>
        <w:spacing w:after="0"/>
        <w:rPr>
          <w:sz w:val="20"/>
          <w:szCs w:val="20"/>
          <w:color w:val="auto"/>
        </w:rPr>
      </w:pPr>
      <w:r>
        <w:rPr>
          <w:rFonts w:ascii="Arial" w:cs="Arial" w:eastAsia="Arial" w:hAnsi="Arial"/>
          <w:sz w:val="18"/>
          <w:szCs w:val="18"/>
          <w:b w:val="1"/>
          <w:bCs w:val="1"/>
          <w:color w:val="auto"/>
        </w:rPr>
        <w:t>Termination of</w:t>
      </w:r>
    </w:p>
    <w:p>
      <w:pPr>
        <w:spacing w:after="0" w:line="60" w:lineRule="exact"/>
        <w:rPr>
          <w:sz w:val="20"/>
          <w:szCs w:val="20"/>
          <w:color w:val="auto"/>
        </w:rPr>
      </w:pPr>
    </w:p>
    <w:p>
      <w:pPr>
        <w:ind w:left="1160"/>
        <w:spacing w:after="0"/>
        <w:rPr>
          <w:sz w:val="20"/>
          <w:szCs w:val="20"/>
          <w:color w:val="auto"/>
        </w:rPr>
      </w:pPr>
      <w:r>
        <w:rPr>
          <w:rFonts w:ascii="Arial" w:cs="Arial" w:eastAsia="Arial" w:hAnsi="Arial"/>
          <w:sz w:val="21"/>
          <w:szCs w:val="21"/>
          <w:b w:val="1"/>
          <w:bCs w:val="1"/>
          <w:color w:val="auto"/>
        </w:rPr>
        <w:t>Employment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4" w:lineRule="exact"/>
        <w:rPr>
          <w:sz w:val="20"/>
          <w:szCs w:val="20"/>
          <w:color w:val="auto"/>
        </w:rPr>
      </w:pPr>
    </w:p>
    <w:p>
      <w:pPr>
        <w:ind w:right="380"/>
        <w:spacing w:after="0" w:line="260" w:lineRule="auto"/>
        <w:rPr>
          <w:sz w:val="20"/>
          <w:szCs w:val="20"/>
          <w:color w:val="auto"/>
        </w:rPr>
      </w:pPr>
      <w:r>
        <w:rPr>
          <w:rFonts w:ascii="Arial" w:cs="Arial" w:eastAsia="Arial" w:hAnsi="Arial"/>
          <w:sz w:val="20"/>
          <w:szCs w:val="20"/>
          <w:color w:val="auto"/>
        </w:rPr>
        <w:t>“Company” as used in this agreement refers to your employer, which may be Sempra Energy or a subsidiary of Sempra Energy.</w:t>
      </w:r>
    </w:p>
    <w:p>
      <w:pPr>
        <w:spacing w:after="0" w:line="190" w:lineRule="exact"/>
        <w:rPr>
          <w:sz w:val="20"/>
          <w:szCs w:val="20"/>
          <w:color w:val="auto"/>
        </w:rPr>
      </w:pPr>
    </w:p>
    <w:p>
      <w:pPr>
        <w:spacing w:after="0" w:line="259" w:lineRule="auto"/>
        <w:rPr>
          <w:sz w:val="20"/>
          <w:szCs w:val="20"/>
          <w:color w:val="auto"/>
        </w:rPr>
      </w:pPr>
      <w:r>
        <w:rPr>
          <w:rFonts w:ascii="Arial" w:cs="Arial" w:eastAsia="Arial" w:hAnsi="Arial"/>
          <w:sz w:val="19"/>
          <w:szCs w:val="19"/>
          <w:color w:val="auto"/>
        </w:rPr>
        <w:t>Your option vests (becomes exercisable) in equal annual cumulative installments over a four-year period. Each installment is 25% of the original number of shares covered by your option and an installment vests on each of the first four anniversaries of the Date of Option Grant shown on the cover sheet. Once an installment of your option becomes exercisable, it will remain exercisable until it is exercised or your option expires.</w:t>
      </w:r>
    </w:p>
    <w:p>
      <w:pPr>
        <w:spacing w:after="0" w:line="192"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No dividend equivalents will be paid by the Company with respect to your option or the shares covered by your option.</w:t>
      </w:r>
    </w:p>
    <w:p>
      <w:pPr>
        <w:spacing w:after="0" w:line="217" w:lineRule="exact"/>
        <w:rPr>
          <w:sz w:val="20"/>
          <w:szCs w:val="20"/>
          <w:color w:val="auto"/>
        </w:rPr>
      </w:pPr>
    </w:p>
    <w:p>
      <w:pPr>
        <w:ind w:right="80"/>
        <w:spacing w:after="0" w:line="263" w:lineRule="auto"/>
        <w:rPr>
          <w:sz w:val="20"/>
          <w:szCs w:val="20"/>
          <w:color w:val="auto"/>
        </w:rPr>
      </w:pPr>
      <w:r>
        <w:rPr>
          <w:rFonts w:ascii="Arial" w:cs="Arial" w:eastAsia="Arial" w:hAnsi="Arial"/>
          <w:sz w:val="19"/>
          <w:szCs w:val="19"/>
          <w:color w:val="auto"/>
        </w:rPr>
        <w:t>Your option will expire at the close of business at Sempra Energy headquarters on the day before the 10th anniversary of the Date of Option Grant shown on the cover sheet, and is subject to earlier expiration (as described below) if your employment with the Company terminates.</w:t>
      </w:r>
    </w:p>
    <w:p>
      <w:pPr>
        <w:spacing w:after="0" w:line="190" w:lineRule="exact"/>
        <w:rPr>
          <w:sz w:val="20"/>
          <w:szCs w:val="20"/>
          <w:color w:val="auto"/>
        </w:rPr>
      </w:pPr>
    </w:p>
    <w:p>
      <w:pPr>
        <w:ind w:right="180"/>
        <w:spacing w:after="0" w:line="274" w:lineRule="auto"/>
        <w:rPr>
          <w:sz w:val="20"/>
          <w:szCs w:val="20"/>
          <w:color w:val="auto"/>
        </w:rPr>
      </w:pPr>
      <w:r>
        <w:rPr>
          <w:rFonts w:ascii="Arial" w:cs="Arial" w:eastAsia="Arial" w:hAnsi="Arial"/>
          <w:sz w:val="18"/>
          <w:szCs w:val="18"/>
          <w:color w:val="auto"/>
        </w:rPr>
        <w:t>If your employment with the Company terminates for any reason (other than under the circumstances set forth below), your option will expire at the close of business at Sempra Energy headquarters on the 90th day after the date your employment terminated or upon the earlier expiration of the ten-year term of your option. Your option will not continue to vest after your employment terminates and will be exercisable only as to the number of shares for which it was exercisable on the date of your employment terminated.</w:t>
      </w:r>
    </w:p>
    <w:p>
      <w:pPr>
        <w:spacing w:after="0" w:line="48" w:lineRule="exact"/>
        <w:rPr>
          <w:sz w:val="20"/>
          <w:szCs w:val="20"/>
          <w:color w:val="auto"/>
        </w:rPr>
      </w:pPr>
    </w:p>
    <w:p>
      <w:pPr>
        <w:spacing w:after="0" w:line="274" w:lineRule="auto"/>
        <w:rPr>
          <w:sz w:val="20"/>
          <w:szCs w:val="20"/>
          <w:color w:val="auto"/>
        </w:rPr>
      </w:pPr>
      <w:r>
        <w:rPr>
          <w:rFonts w:ascii="Arial" w:cs="Arial" w:eastAsia="Arial" w:hAnsi="Arial"/>
          <w:sz w:val="18"/>
          <w:szCs w:val="18"/>
          <w:color w:val="auto"/>
        </w:rPr>
        <w:t xml:space="preserve">If your employment terminates for any reason (including as a result of your death or total and permanent disability) after you have attained age 55 </w:t>
      </w:r>
      <w:r>
        <w:rPr>
          <w:rFonts w:ascii="Arial" w:cs="Arial" w:eastAsia="Arial" w:hAnsi="Arial"/>
          <w:sz w:val="18"/>
          <w:szCs w:val="18"/>
          <w:i w:val="1"/>
          <w:iCs w:val="1"/>
          <w:color w:val="auto"/>
        </w:rPr>
        <w:t>and</w:t>
      </w:r>
      <w:r>
        <w:rPr>
          <w:rFonts w:ascii="Arial" w:cs="Arial" w:eastAsia="Arial" w:hAnsi="Arial"/>
          <w:sz w:val="18"/>
          <w:szCs w:val="18"/>
          <w:color w:val="auto"/>
        </w:rPr>
        <w:t xml:space="preserve"> at the time your employment terminated you had completed five years of continuous service, your option will expire at the close of business at Sempra Energy headquarters on the date three years (five years if you have attained age 62) after the date your employment terminated or upon the earlier expiration of the ten-year term of your option. Your option will continue to vest during that period.</w:t>
      </w:r>
    </w:p>
    <w:p>
      <w:pPr>
        <w:spacing w:after="0" w:line="61" w:lineRule="exact"/>
        <w:rPr>
          <w:sz w:val="20"/>
          <w:szCs w:val="20"/>
          <w:color w:val="auto"/>
        </w:rPr>
      </w:pPr>
    </w:p>
    <w:p>
      <w:pPr>
        <w:ind w:right="220"/>
        <w:spacing w:after="0" w:line="309" w:lineRule="auto"/>
        <w:rPr>
          <w:sz w:val="20"/>
          <w:szCs w:val="20"/>
          <w:color w:val="auto"/>
        </w:rPr>
      </w:pPr>
      <w:r>
        <w:rPr>
          <w:rFonts w:ascii="Arial" w:cs="Arial" w:eastAsia="Arial" w:hAnsi="Arial"/>
          <w:sz w:val="16"/>
          <w:szCs w:val="16"/>
          <w:color w:val="auto"/>
        </w:rPr>
        <w:t>If your employment terminates as a result of your death or total and permanent disability and at the date your employment terminated you had not attained age</w:t>
      </w:r>
    </w:p>
    <w:p>
      <w:pPr>
        <w:spacing w:after="0" w:line="1" w:lineRule="exact"/>
        <w:rPr>
          <w:sz w:val="20"/>
          <w:szCs w:val="20"/>
          <w:color w:val="auto"/>
        </w:rPr>
      </w:pPr>
    </w:p>
    <w:p>
      <w:pPr>
        <w:ind w:right="100"/>
        <w:spacing w:after="0" w:line="272" w:lineRule="auto"/>
        <w:rPr>
          <w:sz w:val="20"/>
          <w:szCs w:val="20"/>
          <w:color w:val="auto"/>
        </w:rPr>
      </w:pPr>
      <w:r>
        <w:rPr>
          <w:rFonts w:ascii="Arial" w:cs="Arial" w:eastAsia="Arial" w:hAnsi="Arial"/>
          <w:sz w:val="18"/>
          <w:szCs w:val="18"/>
          <w:color w:val="auto"/>
        </w:rPr>
        <w:t>55 and completed five years of continuous service, your option will expire at the close of business at Sempra Energy headquarters on the date 12 months after the date your employment terminated or upon the earlier expiration of the ten-year term of your option. Your option will not continue to vest following your death and will be exercisable only as to the number of shares for which it was exercisable at the date your employment terminated.</w:t>
      </w:r>
    </w:p>
    <w:p>
      <w:pPr>
        <w:spacing w:after="0" w:line="200" w:lineRule="exact"/>
        <w:rPr>
          <w:sz w:val="20"/>
          <w:szCs w:val="20"/>
          <w:color w:val="auto"/>
        </w:rPr>
      </w:pPr>
    </w:p>
    <w:p>
      <w:pPr>
        <w:sectPr>
          <w:pgSz w:w="11900" w:h="16838" w:orient="portrait"/>
          <w:cols w:equalWidth="0" w:num="2">
            <w:col w:w="3060" w:space="720"/>
            <w:col w:w="6480"/>
          </w:cols>
          <w:pgMar w:left="240" w:top="885" w:right="1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4"/>
          <w:szCs w:val="14"/>
          <w:color w:val="auto"/>
        </w:rPr>
        <w:t>Page 1</w:t>
      </w:r>
    </w:p>
    <w:p>
      <w:pPr>
        <w:sectPr>
          <w:pgSz w:w="11900" w:h="16838" w:orient="portrait"/>
          <w:cols w:equalWidth="0" w:num="1">
            <w:col w:w="10260"/>
          </w:cols>
          <w:pgMar w:left="240" w:top="885" w:right="1399" w:bottom="1440" w:gutter="0" w:footer="0" w:header="0"/>
          <w:type w:val="continuous"/>
        </w:sectPr>
      </w:pPr>
    </w:p>
    <w:bookmarkStart w:id="65" w:name="page66"/>
    <w:bookmarkEnd w:id="65"/>
    <w:p>
      <w:pPr>
        <w:ind w:right="4780"/>
        <w:spacing w:after="0" w:line="295" w:lineRule="auto"/>
        <w:rPr>
          <w:sz w:val="20"/>
          <w:szCs w:val="20"/>
          <w:color w:val="auto"/>
        </w:rPr>
      </w:pPr>
      <w:r>
        <w:rPr>
          <w:rFonts w:ascii="Arial" w:cs="Arial" w:eastAsia="Arial" w:hAnsi="Arial"/>
          <w:sz w:val="20"/>
          <w:szCs w:val="20"/>
          <w:b w:val="1"/>
          <w:bCs w:val="1"/>
          <w:color w:val="auto"/>
        </w:rPr>
        <w:t>SEMPRA ENERGY 1998 LONG TERM INCENTIVE PLAN Year 2008 Nonqualified Stock Option Agreement</w:t>
      </w:r>
    </w:p>
    <w:p>
      <w:pPr>
        <w:sectPr>
          <w:pgSz w:w="11900" w:h="16838" w:orient="portrait"/>
          <w:cols w:equalWidth="0" w:num="1">
            <w:col w:w="10240"/>
          </w:cols>
          <w:pgMar w:left="240" w:top="120"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20"/>
        <w:spacing w:after="0"/>
        <w:rPr>
          <w:sz w:val="20"/>
          <w:szCs w:val="20"/>
          <w:color w:val="auto"/>
        </w:rPr>
      </w:pPr>
      <w:r>
        <w:rPr>
          <w:rFonts w:ascii="Arial" w:cs="Arial" w:eastAsia="Arial" w:hAnsi="Arial"/>
          <w:sz w:val="21"/>
          <w:szCs w:val="21"/>
          <w:b w:val="1"/>
          <w:bCs w:val="1"/>
          <w:color w:val="auto"/>
        </w:rPr>
        <w:t>Leaves of Absence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160"/>
        <w:spacing w:after="0"/>
        <w:rPr>
          <w:sz w:val="20"/>
          <w:szCs w:val="20"/>
          <w:color w:val="auto"/>
        </w:rPr>
      </w:pPr>
      <w:r>
        <w:rPr>
          <w:rFonts w:ascii="Arial" w:cs="Arial" w:eastAsia="Arial" w:hAnsi="Arial"/>
          <w:sz w:val="18"/>
          <w:szCs w:val="18"/>
          <w:b w:val="1"/>
          <w:bCs w:val="1"/>
          <w:color w:val="auto"/>
        </w:rPr>
        <w:t>Restrictions on Exercise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160"/>
        <w:spacing w:after="0"/>
        <w:rPr>
          <w:sz w:val="20"/>
          <w:szCs w:val="20"/>
          <w:color w:val="auto"/>
        </w:rPr>
      </w:pPr>
      <w:r>
        <w:rPr>
          <w:rFonts w:ascii="Arial" w:cs="Arial" w:eastAsia="Arial" w:hAnsi="Arial"/>
          <w:sz w:val="21"/>
          <w:szCs w:val="21"/>
          <w:b w:val="1"/>
          <w:bCs w:val="1"/>
          <w:color w:val="auto"/>
        </w:rPr>
        <w:t>Notice of Exercise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160"/>
        <w:spacing w:after="0"/>
        <w:rPr>
          <w:sz w:val="20"/>
          <w:szCs w:val="20"/>
          <w:color w:val="auto"/>
        </w:rPr>
      </w:pPr>
      <w:r>
        <w:rPr>
          <w:rFonts w:ascii="Arial" w:cs="Arial" w:eastAsia="Arial" w:hAnsi="Arial"/>
          <w:sz w:val="21"/>
          <w:szCs w:val="21"/>
          <w:b w:val="1"/>
          <w:bCs w:val="1"/>
          <w:color w:val="auto"/>
        </w:rPr>
        <w:t>Payment of Option</w:t>
      </w:r>
    </w:p>
    <w:p>
      <w:pPr>
        <w:spacing w:after="0" w:line="26" w:lineRule="exact"/>
        <w:rPr>
          <w:sz w:val="20"/>
          <w:szCs w:val="20"/>
          <w:color w:val="auto"/>
        </w:rPr>
      </w:pPr>
    </w:p>
    <w:p>
      <w:pPr>
        <w:ind w:left="1160"/>
        <w:spacing w:after="0"/>
        <w:rPr>
          <w:sz w:val="20"/>
          <w:szCs w:val="20"/>
          <w:color w:val="auto"/>
        </w:rPr>
      </w:pPr>
      <w:r>
        <w:rPr>
          <w:rFonts w:ascii="Arial" w:cs="Arial" w:eastAsia="Arial" w:hAnsi="Arial"/>
          <w:sz w:val="21"/>
          <w:szCs w:val="21"/>
          <w:b w:val="1"/>
          <w:bCs w:val="1"/>
          <w:color w:val="auto"/>
        </w:rPr>
        <w:t>Price and</w:t>
      </w:r>
    </w:p>
    <w:p>
      <w:pPr>
        <w:spacing w:after="0" w:line="2" w:lineRule="exact"/>
        <w:rPr>
          <w:sz w:val="20"/>
          <w:szCs w:val="20"/>
          <w:color w:val="auto"/>
        </w:rPr>
      </w:pPr>
    </w:p>
    <w:p>
      <w:pPr>
        <w:ind w:left="1160"/>
        <w:spacing w:after="0"/>
        <w:rPr>
          <w:sz w:val="20"/>
          <w:szCs w:val="20"/>
          <w:color w:val="auto"/>
        </w:rPr>
      </w:pPr>
      <w:r>
        <w:rPr>
          <w:rFonts w:ascii="Arial" w:cs="Arial" w:eastAsia="Arial" w:hAnsi="Arial"/>
          <w:sz w:val="21"/>
          <w:szCs w:val="21"/>
          <w:b w:val="1"/>
          <w:bCs w:val="1"/>
          <w:color w:val="auto"/>
        </w:rPr>
        <w:t>Withholding Taxes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120"/>
        <w:spacing w:after="0" w:line="328" w:lineRule="auto"/>
        <w:rPr>
          <w:sz w:val="20"/>
          <w:szCs w:val="20"/>
          <w:color w:val="auto"/>
        </w:rPr>
      </w:pPr>
      <w:r>
        <w:rPr>
          <w:rFonts w:ascii="Arial" w:cs="Arial" w:eastAsia="Arial" w:hAnsi="Arial"/>
          <w:sz w:val="16"/>
          <w:szCs w:val="16"/>
          <w:color w:val="auto"/>
        </w:rPr>
        <w:t>“Total and permanent disability” means that you are unable to engage in any substantial gainful activity by reason of any medically determinable physical or mental impairment which can be expected to result in death or which has lasted, or can be expected to last, for a continuous period of not less than one year.</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plan, your employment does not terminate when you go on:</w:t>
      </w:r>
    </w:p>
    <w:p>
      <w:pPr>
        <w:spacing w:after="0" w:line="117" w:lineRule="exact"/>
        <w:rPr>
          <w:sz w:val="20"/>
          <w:szCs w:val="20"/>
          <w:color w:val="auto"/>
        </w:rPr>
      </w:pPr>
    </w:p>
    <w:p>
      <w:pPr>
        <w:ind w:left="700" w:hanging="333"/>
        <w:spacing w:after="0"/>
        <w:tabs>
          <w:tab w:leader="none" w:pos="700" w:val="left"/>
        </w:tabs>
        <w:numPr>
          <w:ilvl w:val="0"/>
          <w:numId w:val="19"/>
        </w:numPr>
        <w:rPr>
          <w:rFonts w:ascii="Arial" w:cs="Arial" w:eastAsia="Arial" w:hAnsi="Arial"/>
          <w:sz w:val="20"/>
          <w:szCs w:val="20"/>
          <w:color w:val="auto"/>
        </w:rPr>
      </w:pPr>
      <w:r>
        <w:rPr>
          <w:rFonts w:ascii="Arial" w:cs="Arial" w:eastAsia="Arial" w:hAnsi="Arial"/>
          <w:sz w:val="20"/>
          <w:szCs w:val="20"/>
          <w:color w:val="auto"/>
        </w:rPr>
        <w:t>Military leave,</w:t>
      </w:r>
    </w:p>
    <w:p>
      <w:pPr>
        <w:spacing w:after="0" w:line="94" w:lineRule="exact"/>
        <w:rPr>
          <w:rFonts w:ascii="Arial" w:cs="Arial" w:eastAsia="Arial" w:hAnsi="Arial"/>
          <w:sz w:val="20"/>
          <w:szCs w:val="20"/>
          <w:color w:val="auto"/>
        </w:rPr>
      </w:pPr>
    </w:p>
    <w:p>
      <w:pPr>
        <w:ind w:left="700" w:hanging="333"/>
        <w:spacing w:after="0"/>
        <w:tabs>
          <w:tab w:leader="none" w:pos="700" w:val="left"/>
        </w:tabs>
        <w:numPr>
          <w:ilvl w:val="0"/>
          <w:numId w:val="19"/>
        </w:numPr>
        <w:rPr>
          <w:rFonts w:ascii="Arial" w:cs="Arial" w:eastAsia="Arial" w:hAnsi="Arial"/>
          <w:sz w:val="20"/>
          <w:szCs w:val="20"/>
          <w:color w:val="auto"/>
        </w:rPr>
      </w:pPr>
      <w:r>
        <w:rPr>
          <w:rFonts w:ascii="Arial" w:cs="Arial" w:eastAsia="Arial" w:hAnsi="Arial"/>
          <w:sz w:val="20"/>
          <w:szCs w:val="20"/>
          <w:color w:val="auto"/>
        </w:rPr>
        <w:t>Sick leave that is approved in writing by the Company, or</w:t>
      </w:r>
    </w:p>
    <w:p>
      <w:pPr>
        <w:spacing w:after="0" w:line="94" w:lineRule="exact"/>
        <w:rPr>
          <w:rFonts w:ascii="Arial" w:cs="Arial" w:eastAsia="Arial" w:hAnsi="Arial"/>
          <w:sz w:val="20"/>
          <w:szCs w:val="20"/>
          <w:color w:val="auto"/>
        </w:rPr>
      </w:pPr>
    </w:p>
    <w:p>
      <w:pPr>
        <w:ind w:left="700" w:right="500" w:hanging="333"/>
        <w:spacing w:after="0" w:line="260" w:lineRule="auto"/>
        <w:tabs>
          <w:tab w:leader="none" w:pos="700" w:val="left"/>
        </w:tabs>
        <w:numPr>
          <w:ilvl w:val="0"/>
          <w:numId w:val="19"/>
        </w:numPr>
        <w:rPr>
          <w:rFonts w:ascii="Arial" w:cs="Arial" w:eastAsia="Arial" w:hAnsi="Arial"/>
          <w:sz w:val="20"/>
          <w:szCs w:val="20"/>
          <w:color w:val="auto"/>
        </w:rPr>
      </w:pPr>
      <w:r>
        <w:rPr>
          <w:rFonts w:ascii="Arial" w:cs="Arial" w:eastAsia="Arial" w:hAnsi="Arial"/>
          <w:sz w:val="20"/>
          <w:szCs w:val="20"/>
          <w:color w:val="auto"/>
        </w:rPr>
        <w:t xml:space="preserve">Other </w:t>
      </w:r>
      <w:r>
        <w:rPr>
          <w:rFonts w:ascii="Arial" w:cs="Arial" w:eastAsia="Arial" w:hAnsi="Arial"/>
          <w:sz w:val="20"/>
          <w:szCs w:val="20"/>
          <w:i w:val="1"/>
          <w:iCs w:val="1"/>
          <w:color w:val="auto"/>
        </w:rPr>
        <w:t>bona fide</w:t>
      </w:r>
      <w:r>
        <w:rPr>
          <w:rFonts w:ascii="Arial" w:cs="Arial" w:eastAsia="Arial" w:hAnsi="Arial"/>
          <w:sz w:val="20"/>
          <w:szCs w:val="20"/>
          <w:color w:val="auto"/>
        </w:rPr>
        <w:t xml:space="preserve"> leave of absence that is approved in writing by the Company.</w:t>
      </w:r>
    </w:p>
    <w:p>
      <w:pPr>
        <w:spacing w:after="0" w:line="69"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Your employment will be deemed to have terminated at the end of your approved leave unless (a) you immediately return to active work when your approved leave ends; or (b) your right to return to active work is otherwise guaranteed by law or contract; or (c) for military leaves, you return to active work within the 90-day period prescribed by law.</w:t>
      </w:r>
    </w:p>
    <w:p>
      <w:pPr>
        <w:spacing w:after="0" w:line="195" w:lineRule="exact"/>
        <w:rPr>
          <w:sz w:val="20"/>
          <w:szCs w:val="20"/>
          <w:color w:val="auto"/>
        </w:rPr>
      </w:pPr>
    </w:p>
    <w:p>
      <w:pPr>
        <w:ind w:right="100"/>
        <w:spacing w:after="0" w:line="250" w:lineRule="auto"/>
        <w:rPr>
          <w:sz w:val="20"/>
          <w:szCs w:val="20"/>
          <w:color w:val="auto"/>
        </w:rPr>
      </w:pPr>
      <w:r>
        <w:rPr>
          <w:rFonts w:ascii="Arial" w:cs="Arial" w:eastAsia="Arial" w:hAnsi="Arial"/>
          <w:sz w:val="20"/>
          <w:szCs w:val="20"/>
          <w:color w:val="auto"/>
        </w:rPr>
        <w:t>You will not be permitted to exercise your option at any time at which Sempra Energy determines that the issuance of shares may violate any law, regulation or Sempra Energy policy.</w:t>
      </w:r>
    </w:p>
    <w:p>
      <w:pPr>
        <w:spacing w:after="0" w:line="200"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When you wish to exercise your option, you must notify Sempra Energy by filing the proper “Notice of Exercise” form at the address given on the form. Your notice must specify how many shares you wish to purchase. Your notice must also specify how your shares should be registered. The notice will be effective when Sempra Energy receives it.</w:t>
      </w:r>
    </w:p>
    <w:p>
      <w:pPr>
        <w:spacing w:after="0" w:line="208" w:lineRule="exact"/>
        <w:rPr>
          <w:sz w:val="20"/>
          <w:szCs w:val="20"/>
          <w:color w:val="auto"/>
        </w:rPr>
      </w:pPr>
    </w:p>
    <w:p>
      <w:pPr>
        <w:ind w:right="120"/>
        <w:spacing w:after="0" w:line="316" w:lineRule="auto"/>
        <w:rPr>
          <w:sz w:val="20"/>
          <w:szCs w:val="20"/>
          <w:color w:val="auto"/>
        </w:rPr>
      </w:pPr>
      <w:r>
        <w:rPr>
          <w:rFonts w:ascii="Arial" w:cs="Arial" w:eastAsia="Arial" w:hAnsi="Arial"/>
          <w:sz w:val="18"/>
          <w:szCs w:val="18"/>
          <w:color w:val="auto"/>
        </w:rPr>
        <w:t>If someone else wants to exercise your option after your death, that person must prove to Sempra Energy’s satisfaction that he or she is entitled to do so.</w:t>
      </w:r>
    </w:p>
    <w:p>
      <w:pPr>
        <w:spacing w:after="0" w:line="144" w:lineRule="exact"/>
        <w:rPr>
          <w:sz w:val="20"/>
          <w:szCs w:val="20"/>
          <w:color w:val="auto"/>
        </w:rPr>
      </w:pPr>
    </w:p>
    <w:p>
      <w:pPr>
        <w:jc w:val="both"/>
        <w:ind w:right="160"/>
        <w:spacing w:after="0" w:line="291" w:lineRule="auto"/>
        <w:rPr>
          <w:sz w:val="20"/>
          <w:szCs w:val="20"/>
          <w:color w:val="auto"/>
        </w:rPr>
      </w:pPr>
      <w:r>
        <w:rPr>
          <w:rFonts w:ascii="Arial" w:cs="Arial" w:eastAsia="Arial" w:hAnsi="Arial"/>
          <w:sz w:val="18"/>
          <w:szCs w:val="18"/>
          <w:color w:val="auto"/>
        </w:rPr>
        <w:t>When you submit your notice of exercise, you must pay the option price for the shares you are purchasing and any related withholding taxes. Payment may be made by one (or a combination of two or more) of the following methods:</w:t>
      </w:r>
    </w:p>
    <w:p>
      <w:pPr>
        <w:spacing w:after="0" w:line="206" w:lineRule="exact"/>
        <w:rPr>
          <w:sz w:val="20"/>
          <w:szCs w:val="20"/>
          <w:color w:val="auto"/>
        </w:rPr>
      </w:pPr>
    </w:p>
    <w:p>
      <w:pPr>
        <w:ind w:left="660" w:hanging="657"/>
        <w:spacing w:after="0"/>
        <w:tabs>
          <w:tab w:leader="none" w:pos="660" w:val="left"/>
        </w:tabs>
        <w:numPr>
          <w:ilvl w:val="0"/>
          <w:numId w:val="20"/>
        </w:numPr>
        <w:rPr>
          <w:rFonts w:ascii="Arial" w:cs="Arial" w:eastAsia="Arial" w:hAnsi="Arial"/>
          <w:sz w:val="20"/>
          <w:szCs w:val="20"/>
          <w:color w:val="auto"/>
        </w:rPr>
      </w:pPr>
      <w:r>
        <w:rPr>
          <w:rFonts w:ascii="Arial" w:cs="Arial" w:eastAsia="Arial" w:hAnsi="Arial"/>
          <w:sz w:val="20"/>
          <w:szCs w:val="20"/>
          <w:color w:val="auto"/>
        </w:rPr>
        <w:t>Personal check, cashier’s check or money order.</w:t>
      </w:r>
    </w:p>
    <w:p>
      <w:pPr>
        <w:spacing w:after="0" w:line="215" w:lineRule="exact"/>
        <w:rPr>
          <w:rFonts w:ascii="Arial" w:cs="Arial" w:eastAsia="Arial" w:hAnsi="Arial"/>
          <w:sz w:val="20"/>
          <w:szCs w:val="20"/>
          <w:color w:val="auto"/>
        </w:rPr>
      </w:pPr>
    </w:p>
    <w:p>
      <w:pPr>
        <w:ind w:right="60" w:firstLine="3"/>
        <w:spacing w:after="0" w:line="243" w:lineRule="auto"/>
        <w:tabs>
          <w:tab w:leader="none" w:pos="648" w:val="left"/>
        </w:tabs>
        <w:numPr>
          <w:ilvl w:val="0"/>
          <w:numId w:val="20"/>
        </w:numPr>
        <w:rPr>
          <w:rFonts w:ascii="Arial" w:cs="Arial" w:eastAsia="Arial" w:hAnsi="Arial"/>
          <w:sz w:val="20"/>
          <w:szCs w:val="20"/>
          <w:color w:val="auto"/>
        </w:rPr>
      </w:pPr>
      <w:r>
        <w:rPr>
          <w:rFonts w:ascii="Arial" w:cs="Arial" w:eastAsia="Arial" w:hAnsi="Arial"/>
          <w:sz w:val="20"/>
          <w:szCs w:val="20"/>
          <w:color w:val="auto"/>
        </w:rPr>
        <w:t>Effecting a net share exercise by instructing Sempra Energy to retain a number of the shares as to which you are exercising your option that, taken at their fair market value, is sufficient to pay the option price and any related withholding taxes. In that event, the number of shares that will be issued to you will have a fair market value (at the date your option is exercised) that equals the spread or “in the money value” of the shares as to which you are exercising your option.</w:t>
      </w:r>
    </w:p>
    <w:p>
      <w:pPr>
        <w:spacing w:after="0" w:line="193" w:lineRule="exact"/>
        <w:rPr>
          <w:rFonts w:ascii="Arial" w:cs="Arial" w:eastAsia="Arial" w:hAnsi="Arial"/>
          <w:sz w:val="20"/>
          <w:szCs w:val="20"/>
          <w:color w:val="auto"/>
        </w:rPr>
      </w:pPr>
    </w:p>
    <w:p>
      <w:pPr>
        <w:ind w:right="220" w:firstLine="3"/>
        <w:spacing w:after="0" w:line="246" w:lineRule="auto"/>
        <w:tabs>
          <w:tab w:leader="none" w:pos="648" w:val="left"/>
        </w:tabs>
        <w:numPr>
          <w:ilvl w:val="0"/>
          <w:numId w:val="20"/>
        </w:numPr>
        <w:rPr>
          <w:rFonts w:ascii="Arial" w:cs="Arial" w:eastAsia="Arial" w:hAnsi="Arial"/>
          <w:sz w:val="20"/>
          <w:szCs w:val="20"/>
          <w:color w:val="auto"/>
        </w:rPr>
      </w:pPr>
      <w:r>
        <w:rPr>
          <w:rFonts w:ascii="Arial" w:cs="Arial" w:eastAsia="Arial" w:hAnsi="Arial"/>
          <w:sz w:val="20"/>
          <w:szCs w:val="20"/>
          <w:color w:val="auto"/>
        </w:rPr>
        <w:t>To the extent permitted by law, making arrangements for a “cashless exercise” directing a securities broker approved by Sempra Energy to sell your option shares and to deliver sufficient sale proceeds to Sempra Energy in payment.</w:t>
      </w:r>
    </w:p>
    <w:p>
      <w:pPr>
        <w:spacing w:after="0" w:line="200" w:lineRule="exact"/>
        <w:rPr>
          <w:sz w:val="20"/>
          <w:szCs w:val="20"/>
          <w:color w:val="auto"/>
        </w:rPr>
      </w:pPr>
    </w:p>
    <w:p>
      <w:pPr>
        <w:sectPr>
          <w:pgSz w:w="11900" w:h="16838" w:orient="portrait"/>
          <w:cols w:equalWidth="0" w:num="2">
            <w:col w:w="3280" w:space="500"/>
            <w:col w:w="6460"/>
          </w:cols>
          <w:pgMar w:left="240" w:top="120" w:right="1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4"/>
          <w:szCs w:val="14"/>
          <w:color w:val="auto"/>
        </w:rPr>
        <w:t>Page 2</w:t>
      </w:r>
    </w:p>
    <w:p>
      <w:pPr>
        <w:sectPr>
          <w:pgSz w:w="11900" w:h="16838" w:orient="portrait"/>
          <w:cols w:equalWidth="0" w:num="1">
            <w:col w:w="10240"/>
          </w:cols>
          <w:pgMar w:left="240" w:top="120" w:right="1419" w:bottom="1440" w:gutter="0" w:footer="0" w:header="0"/>
          <w:type w:val="continuous"/>
        </w:sectPr>
      </w:pPr>
    </w:p>
    <w:bookmarkStart w:id="66" w:name="page67"/>
    <w:bookmarkEnd w:id="66"/>
    <w:p>
      <w:pPr>
        <w:ind w:right="4760"/>
        <w:spacing w:after="0" w:line="295" w:lineRule="auto"/>
        <w:rPr>
          <w:sz w:val="20"/>
          <w:szCs w:val="20"/>
          <w:color w:val="auto"/>
        </w:rPr>
      </w:pPr>
      <w:r>
        <w:rPr>
          <w:rFonts w:ascii="Arial" w:cs="Arial" w:eastAsia="Arial" w:hAnsi="Arial"/>
          <w:sz w:val="20"/>
          <w:szCs w:val="20"/>
          <w:b w:val="1"/>
          <w:bCs w:val="1"/>
          <w:color w:val="auto"/>
        </w:rPr>
        <w:t>SEMPRA ENERGY 1998 LONG TERM INCENTIVE PLAN Year 2008 Nonqualified Stock Option Agreement</w:t>
      </w:r>
    </w:p>
    <w:p>
      <w:pPr>
        <w:sectPr>
          <w:pgSz w:w="11900" w:h="16838" w:orient="portrait"/>
          <w:cols w:equalWidth="0" w:num="1">
            <w:col w:w="10220"/>
          </w:cols>
          <w:pgMar w:left="240" w:top="120" w:right="1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1160"/>
        <w:spacing w:after="0"/>
        <w:rPr>
          <w:sz w:val="20"/>
          <w:szCs w:val="20"/>
          <w:color w:val="auto"/>
        </w:rPr>
      </w:pPr>
      <w:r>
        <w:rPr>
          <w:rFonts w:ascii="Arial" w:cs="Arial" w:eastAsia="Arial" w:hAnsi="Arial"/>
          <w:sz w:val="18"/>
          <w:szCs w:val="18"/>
          <w:b w:val="1"/>
          <w:bCs w:val="1"/>
          <w:color w:val="auto"/>
        </w:rPr>
        <w:t>Restrictions on Resale</w:t>
      </w:r>
    </w:p>
    <w:p>
      <w:pPr>
        <w:spacing w:after="0" w:line="200" w:lineRule="exact"/>
        <w:rPr>
          <w:sz w:val="20"/>
          <w:szCs w:val="20"/>
          <w:color w:val="auto"/>
        </w:rPr>
      </w:pPr>
    </w:p>
    <w:p>
      <w:pPr>
        <w:spacing w:after="0" w:line="282" w:lineRule="exact"/>
        <w:rPr>
          <w:sz w:val="20"/>
          <w:szCs w:val="20"/>
          <w:color w:val="auto"/>
        </w:rPr>
      </w:pPr>
    </w:p>
    <w:p>
      <w:pPr>
        <w:ind w:left="1160"/>
        <w:spacing w:after="0"/>
        <w:rPr>
          <w:sz w:val="20"/>
          <w:szCs w:val="20"/>
          <w:color w:val="auto"/>
        </w:rPr>
      </w:pPr>
      <w:r>
        <w:rPr>
          <w:rFonts w:ascii="Arial" w:cs="Arial" w:eastAsia="Arial" w:hAnsi="Arial"/>
          <w:sz w:val="21"/>
          <w:szCs w:val="21"/>
          <w:b w:val="1"/>
          <w:bCs w:val="1"/>
          <w:color w:val="auto"/>
        </w:rPr>
        <w:t>Transfer of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left="700"/>
        <w:spacing w:after="0"/>
        <w:rPr>
          <w:sz w:val="20"/>
          <w:szCs w:val="20"/>
          <w:color w:val="auto"/>
        </w:rPr>
      </w:pPr>
      <w:r>
        <w:rPr>
          <w:rFonts w:ascii="Arial" w:cs="Arial" w:eastAsia="Arial" w:hAnsi="Arial"/>
          <w:sz w:val="18"/>
          <w:szCs w:val="18"/>
          <w:b w:val="1"/>
          <w:bCs w:val="1"/>
          <w:color w:val="auto"/>
        </w:rPr>
        <w:t>Retention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1160"/>
        <w:spacing w:after="0"/>
        <w:rPr>
          <w:sz w:val="20"/>
          <w:szCs w:val="20"/>
          <w:color w:val="auto"/>
        </w:rPr>
      </w:pPr>
      <w:r>
        <w:rPr>
          <w:rFonts w:ascii="Arial" w:cs="Arial" w:eastAsia="Arial" w:hAnsi="Arial"/>
          <w:sz w:val="21"/>
          <w:szCs w:val="21"/>
          <w:b w:val="1"/>
          <w:bCs w:val="1"/>
          <w:color w:val="auto"/>
        </w:rPr>
        <w:t>Shareholder Rights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160"/>
        <w:spacing w:after="0"/>
        <w:rPr>
          <w:sz w:val="20"/>
          <w:szCs w:val="20"/>
          <w:color w:val="auto"/>
        </w:rPr>
      </w:pPr>
      <w:r>
        <w:rPr>
          <w:rFonts w:ascii="Arial" w:cs="Arial" w:eastAsia="Arial" w:hAnsi="Arial"/>
          <w:sz w:val="21"/>
          <w:szCs w:val="21"/>
          <w:b w:val="1"/>
          <w:bCs w:val="1"/>
          <w:color w:val="auto"/>
        </w:rPr>
        <w:t>Adjustments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160"/>
        <w:spacing w:after="0"/>
        <w:rPr>
          <w:sz w:val="20"/>
          <w:szCs w:val="20"/>
          <w:color w:val="auto"/>
        </w:rPr>
      </w:pPr>
      <w:r>
        <w:rPr>
          <w:rFonts w:ascii="Arial" w:cs="Arial" w:eastAsia="Arial" w:hAnsi="Arial"/>
          <w:sz w:val="21"/>
          <w:szCs w:val="21"/>
          <w:b w:val="1"/>
          <w:bCs w:val="1"/>
          <w:color w:val="auto"/>
        </w:rPr>
        <w:t>Change in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1160"/>
        <w:spacing w:after="0"/>
        <w:rPr>
          <w:sz w:val="20"/>
          <w:szCs w:val="20"/>
          <w:color w:val="auto"/>
        </w:rPr>
      </w:pPr>
      <w:r>
        <w:rPr>
          <w:rFonts w:ascii="Arial" w:cs="Arial" w:eastAsia="Arial" w:hAnsi="Arial"/>
          <w:sz w:val="21"/>
          <w:szCs w:val="21"/>
          <w:b w:val="1"/>
          <w:bCs w:val="1"/>
          <w:color w:val="auto"/>
        </w:rPr>
        <w:t>Nonqualified Stock</w:t>
      </w:r>
    </w:p>
    <w:p>
      <w:pPr>
        <w:spacing w:after="0" w:line="26" w:lineRule="exact"/>
        <w:rPr>
          <w:sz w:val="20"/>
          <w:szCs w:val="20"/>
          <w:color w:val="auto"/>
        </w:rPr>
      </w:pPr>
    </w:p>
    <w:p>
      <w:pPr>
        <w:ind w:left="1160"/>
        <w:spacing w:after="0"/>
        <w:rPr>
          <w:sz w:val="20"/>
          <w:szCs w:val="20"/>
          <w:color w:val="auto"/>
        </w:rPr>
      </w:pPr>
      <w:r>
        <w:rPr>
          <w:rFonts w:ascii="Arial" w:cs="Arial" w:eastAsia="Arial" w:hAnsi="Arial"/>
          <w:sz w:val="21"/>
          <w:szCs w:val="21"/>
          <w:b w:val="1"/>
          <w:bCs w:val="1"/>
          <w:color w:val="auto"/>
        </w:rPr>
        <w:t>Option</w:t>
      </w:r>
    </w:p>
    <w:p>
      <w:pPr>
        <w:spacing w:after="0" w:line="207" w:lineRule="exact"/>
        <w:rPr>
          <w:sz w:val="20"/>
          <w:szCs w:val="20"/>
          <w:color w:val="auto"/>
        </w:rPr>
      </w:pPr>
    </w:p>
    <w:p>
      <w:pPr>
        <w:jc w:val="center"/>
        <w:ind w:left="600"/>
        <w:spacing w:after="0"/>
        <w:rPr>
          <w:sz w:val="20"/>
          <w:szCs w:val="20"/>
          <w:color w:val="auto"/>
        </w:rPr>
      </w:pPr>
      <w:r>
        <w:rPr>
          <w:rFonts w:ascii="Arial" w:cs="Arial" w:eastAsia="Arial" w:hAnsi="Arial"/>
          <w:sz w:val="19"/>
          <w:szCs w:val="19"/>
          <w:b w:val="1"/>
          <w:bCs w:val="1"/>
          <w:color w:val="auto"/>
        </w:rPr>
        <w:t>Applicable Law</w:t>
      </w: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Arial" w:cs="Arial" w:eastAsia="Arial" w:hAnsi="Arial"/>
          <w:sz w:val="21"/>
          <w:szCs w:val="21"/>
          <w:b w:val="1"/>
          <w:bCs w:val="1"/>
          <w:color w:val="auto"/>
        </w:rPr>
        <w:t>The Plan and Other</w:t>
      </w:r>
    </w:p>
    <w:p>
      <w:pPr>
        <w:spacing w:after="0" w:line="26" w:lineRule="exact"/>
        <w:rPr>
          <w:sz w:val="20"/>
          <w:szCs w:val="20"/>
          <w:color w:val="auto"/>
        </w:rPr>
      </w:pPr>
    </w:p>
    <w:p>
      <w:pPr>
        <w:ind w:left="1160"/>
        <w:spacing w:after="0"/>
        <w:rPr>
          <w:sz w:val="20"/>
          <w:szCs w:val="20"/>
          <w:color w:val="auto"/>
        </w:rPr>
      </w:pPr>
      <w:r>
        <w:rPr>
          <w:rFonts w:ascii="Arial" w:cs="Arial" w:eastAsia="Arial" w:hAnsi="Arial"/>
          <w:sz w:val="21"/>
          <w:szCs w:val="21"/>
          <w:b w:val="1"/>
          <w:bCs w:val="1"/>
          <w:color w:val="auto"/>
        </w:rPr>
        <w:t>Agreements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840"/>
        <w:spacing w:after="0" w:line="287" w:lineRule="auto"/>
        <w:rPr>
          <w:sz w:val="20"/>
          <w:szCs w:val="20"/>
          <w:color w:val="auto"/>
        </w:rPr>
      </w:pPr>
      <w:r>
        <w:rPr>
          <w:rFonts w:ascii="Arial" w:cs="Arial" w:eastAsia="Arial" w:hAnsi="Arial"/>
          <w:sz w:val="19"/>
          <w:szCs w:val="19"/>
          <w:color w:val="auto"/>
        </w:rPr>
        <w:t>You agree not to sell any option shares at a time when applicable laws, regulations or Sempra Energy policies prohibit a sale.</w:t>
      </w:r>
    </w:p>
    <w:p>
      <w:pPr>
        <w:spacing w:after="0" w:line="166" w:lineRule="exact"/>
        <w:rPr>
          <w:sz w:val="20"/>
          <w:szCs w:val="20"/>
          <w:color w:val="auto"/>
        </w:rPr>
      </w:pPr>
    </w:p>
    <w:p>
      <w:pPr>
        <w:ind w:right="40"/>
        <w:spacing w:after="0" w:line="273" w:lineRule="auto"/>
        <w:rPr>
          <w:sz w:val="20"/>
          <w:szCs w:val="20"/>
          <w:color w:val="auto"/>
        </w:rPr>
      </w:pPr>
      <w:r>
        <w:rPr>
          <w:rFonts w:ascii="Arial" w:cs="Arial" w:eastAsia="Arial" w:hAnsi="Arial"/>
          <w:sz w:val="18"/>
          <w:szCs w:val="18"/>
          <w:color w:val="auto"/>
        </w:rPr>
        <w:t>Prior to your death, only you or the trustee of a revocable living trust established by you may exercise this option. You cannot otherwise transfer or assign this option. For example, you may not sell this option or use it as security for a loan. If you attempt to do any of these things, your option will immediately become invalid. You may, however, dispose of your option in your will, and your option may be transferred pursuant to a “qualified domestic relations order” as defined in the Internal Revenue Code of 1986, as amended, or Title I of the Employee Retirement Income Security Act of 1974, as amended.</w:t>
      </w:r>
    </w:p>
    <w:p>
      <w:pPr>
        <w:spacing w:after="0" w:line="183" w:lineRule="exact"/>
        <w:rPr>
          <w:sz w:val="20"/>
          <w:szCs w:val="20"/>
          <w:color w:val="auto"/>
        </w:rPr>
      </w:pPr>
    </w:p>
    <w:p>
      <w:pPr>
        <w:ind w:right="100"/>
        <w:spacing w:after="0" w:line="278" w:lineRule="auto"/>
        <w:rPr>
          <w:sz w:val="20"/>
          <w:szCs w:val="20"/>
          <w:color w:val="auto"/>
        </w:rPr>
      </w:pPr>
      <w:r>
        <w:rPr>
          <w:rFonts w:ascii="Arial" w:cs="Arial" w:eastAsia="Arial" w:hAnsi="Arial"/>
          <w:sz w:val="18"/>
          <w:szCs w:val="18"/>
          <w:color w:val="auto"/>
        </w:rPr>
        <w:t>Neither your option nor this Agreement gives you the right to be retained by the Company in any capacity. The Company reserves the right to terminate your employment at any time, with or without cause. The value of the shares subject to your option will not be included as compensation or earnings for purposes of any other benefit plan offered by the Company or any of its subsidiaries.</w:t>
      </w:r>
    </w:p>
    <w:p>
      <w:pPr>
        <w:spacing w:after="0" w:line="179" w:lineRule="exact"/>
        <w:rPr>
          <w:sz w:val="20"/>
          <w:szCs w:val="20"/>
          <w:color w:val="auto"/>
        </w:rPr>
      </w:pPr>
    </w:p>
    <w:p>
      <w:pPr>
        <w:jc w:val="both"/>
        <w:ind w:right="200"/>
        <w:spacing w:after="0" w:line="342" w:lineRule="auto"/>
        <w:rPr>
          <w:sz w:val="20"/>
          <w:szCs w:val="20"/>
          <w:color w:val="auto"/>
        </w:rPr>
      </w:pPr>
      <w:r>
        <w:rPr>
          <w:rFonts w:ascii="Arial" w:cs="Arial" w:eastAsia="Arial" w:hAnsi="Arial"/>
          <w:sz w:val="16"/>
          <w:szCs w:val="16"/>
          <w:color w:val="auto"/>
        </w:rPr>
        <w:t>You have no rights as a shareholder of Sempra Energy until your option shares have been issued. No adjustments are made for dividends or other rights if the applicable record date occurs before your option shares are issued.</w:t>
      </w:r>
    </w:p>
    <w:p>
      <w:pPr>
        <w:spacing w:after="0" w:line="132" w:lineRule="exact"/>
        <w:rPr>
          <w:sz w:val="20"/>
          <w:szCs w:val="20"/>
          <w:color w:val="auto"/>
        </w:rPr>
      </w:pPr>
    </w:p>
    <w:p>
      <w:pPr>
        <w:jc w:val="both"/>
        <w:ind w:right="480"/>
        <w:spacing w:after="0" w:line="342" w:lineRule="auto"/>
        <w:rPr>
          <w:sz w:val="20"/>
          <w:szCs w:val="20"/>
          <w:color w:val="auto"/>
        </w:rPr>
      </w:pPr>
      <w:r>
        <w:rPr>
          <w:rFonts w:ascii="Arial" w:cs="Arial" w:eastAsia="Arial" w:hAnsi="Arial"/>
          <w:sz w:val="16"/>
          <w:szCs w:val="16"/>
          <w:color w:val="auto"/>
        </w:rPr>
        <w:t>In the event of a stock split, a stock dividend or a similar change in Sempra Energy common stock the number of shares covered by this option and the exercise price per share may be adjusted pursuant to the Plan.</w:t>
      </w:r>
    </w:p>
    <w:p>
      <w:pPr>
        <w:spacing w:after="0" w:line="132" w:lineRule="exact"/>
        <w:rPr>
          <w:sz w:val="20"/>
          <w:szCs w:val="20"/>
          <w:color w:val="auto"/>
        </w:rPr>
      </w:pPr>
    </w:p>
    <w:p>
      <w:pPr>
        <w:ind w:right="520"/>
        <w:spacing w:after="0" w:line="244" w:lineRule="auto"/>
        <w:rPr>
          <w:sz w:val="20"/>
          <w:szCs w:val="20"/>
          <w:color w:val="auto"/>
        </w:rPr>
      </w:pPr>
      <w:r>
        <w:rPr>
          <w:rFonts w:ascii="Arial" w:cs="Arial" w:eastAsia="Arial" w:hAnsi="Arial"/>
          <w:sz w:val="20"/>
          <w:szCs w:val="20"/>
          <w:color w:val="auto"/>
        </w:rPr>
        <w:t>Subject to certain limitations set forth in the Plan, in the event of a Change in Control (as defined in the Plan) of Sempra Energy, your option will automatically become fully vested and exercisable as of the date of the Change in Control, and may, in the discretion of Sempra Energy’s compensation committee, be cashed-out.</w:t>
      </w:r>
    </w:p>
    <w:p>
      <w:pPr>
        <w:spacing w:after="0" w:line="208" w:lineRule="exact"/>
        <w:rPr>
          <w:sz w:val="20"/>
          <w:szCs w:val="20"/>
          <w:color w:val="auto"/>
        </w:rPr>
      </w:pPr>
    </w:p>
    <w:p>
      <w:pPr>
        <w:ind w:right="180"/>
        <w:spacing w:after="0" w:line="260" w:lineRule="auto"/>
        <w:rPr>
          <w:sz w:val="20"/>
          <w:szCs w:val="20"/>
          <w:color w:val="auto"/>
        </w:rPr>
      </w:pPr>
      <w:r>
        <w:rPr>
          <w:rFonts w:ascii="Arial" w:cs="Arial" w:eastAsia="Arial" w:hAnsi="Arial"/>
          <w:sz w:val="20"/>
          <w:szCs w:val="20"/>
          <w:color w:val="auto"/>
        </w:rPr>
        <w:t>This option is not intended to be an incentive stock option under section 422 of the Internal Revenue Code.</w:t>
      </w:r>
    </w:p>
    <w:p>
      <w:pPr>
        <w:spacing w:after="0" w:line="217" w:lineRule="exact"/>
        <w:rPr>
          <w:sz w:val="20"/>
          <w:szCs w:val="20"/>
          <w:color w:val="auto"/>
        </w:rPr>
      </w:pPr>
    </w:p>
    <w:p>
      <w:pPr>
        <w:ind w:right="860"/>
        <w:spacing w:after="0" w:line="260" w:lineRule="auto"/>
        <w:rPr>
          <w:sz w:val="20"/>
          <w:szCs w:val="20"/>
          <w:color w:val="auto"/>
        </w:rPr>
      </w:pPr>
      <w:r>
        <w:rPr>
          <w:rFonts w:ascii="Arial" w:cs="Arial" w:eastAsia="Arial" w:hAnsi="Arial"/>
          <w:sz w:val="20"/>
          <w:szCs w:val="20"/>
          <w:color w:val="auto"/>
        </w:rPr>
        <w:t>This Agreement will be interpreted and enforced under the laws of the State of California.</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The text of the Plan is incorporated in this Agreement by reference.</w:t>
      </w:r>
    </w:p>
    <w:p>
      <w:pPr>
        <w:spacing w:after="0" w:line="108"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In the event of any conflict between the terms of this Agreement and any written employment, severance or other employment-related agreement between you and Sempra Energy, the terms of such other agreement shall prevail.</w:t>
      </w:r>
    </w:p>
    <w:p>
      <w:pPr>
        <w:spacing w:after="0" w:line="200" w:lineRule="exact"/>
        <w:rPr>
          <w:sz w:val="20"/>
          <w:szCs w:val="20"/>
          <w:color w:val="auto"/>
        </w:rPr>
      </w:pPr>
    </w:p>
    <w:p>
      <w:pPr>
        <w:sectPr>
          <w:pgSz w:w="11900" w:h="16838" w:orient="portrait"/>
          <w:cols w:equalWidth="0" w:num="2">
            <w:col w:w="3120" w:space="660"/>
            <w:col w:w="6440"/>
          </w:cols>
          <w:pgMar w:left="240" w:top="120" w:right="1439" w:bottom="1440" w:gutter="0" w:footer="0" w:header="0"/>
          <w:type w:val="continuous"/>
        </w:sectPr>
      </w:pPr>
    </w:p>
    <w:p>
      <w:pPr>
        <w:spacing w:after="0" w:line="83" w:lineRule="exact"/>
        <w:rPr>
          <w:sz w:val="20"/>
          <w:szCs w:val="20"/>
          <w:color w:val="auto"/>
        </w:rPr>
      </w:pPr>
    </w:p>
    <w:p>
      <w:pPr>
        <w:ind w:left="2540" w:right="1320" w:firstLine="243"/>
        <w:spacing w:after="0" w:line="363" w:lineRule="auto"/>
        <w:rPr>
          <w:sz w:val="20"/>
          <w:szCs w:val="20"/>
          <w:color w:val="auto"/>
        </w:rPr>
      </w:pPr>
      <w:r>
        <w:rPr>
          <w:rFonts w:ascii="Arial" w:cs="Arial" w:eastAsia="Arial" w:hAnsi="Arial"/>
          <w:sz w:val="20"/>
          <w:szCs w:val="20"/>
          <w:b w:val="1"/>
          <w:bCs w:val="1"/>
          <w:i w:val="1"/>
          <w:iCs w:val="1"/>
          <w:color w:val="auto"/>
        </w:rPr>
        <w:t>By signing the cover sheet of this Agreement, you agree to all of the terms and conditions described above and in the Plan.</w:t>
      </w:r>
    </w:p>
    <w:p>
      <w:pPr>
        <w:sectPr>
          <w:pgSz w:w="11900" w:h="16838" w:orient="portrait"/>
          <w:cols w:equalWidth="0" w:num="1">
            <w:col w:w="10220"/>
          </w:cols>
          <w:pgMar w:left="240" w:top="120" w:right="1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20"/>
        <w:spacing w:after="0"/>
        <w:rPr>
          <w:sz w:val="20"/>
          <w:szCs w:val="20"/>
          <w:color w:val="auto"/>
        </w:rPr>
      </w:pPr>
      <w:r>
        <w:rPr>
          <w:rFonts w:ascii="Arial" w:cs="Arial" w:eastAsia="Arial" w:hAnsi="Arial"/>
          <w:sz w:val="14"/>
          <w:szCs w:val="14"/>
          <w:color w:val="auto"/>
        </w:rPr>
        <w:t>Page 3</w:t>
      </w:r>
    </w:p>
    <w:p>
      <w:pPr>
        <w:sectPr>
          <w:pgSz w:w="11900" w:h="16838" w:orient="portrait"/>
          <w:cols w:equalWidth="0" w:num="1">
            <w:col w:w="10220"/>
          </w:cols>
          <w:pgMar w:left="240" w:top="120" w:right="1439" w:bottom="1440" w:gutter="0" w:footer="0" w:header="0"/>
          <w:type w:val="continuous"/>
        </w:sectPr>
      </w:pPr>
    </w:p>
    <w:bookmarkStart w:id="67" w:name="page68"/>
    <w:bookmarkEnd w:id="67"/>
    <w:p>
      <w:pPr>
        <w:jc w:val="center"/>
        <w:ind w:right="20"/>
        <w:spacing w:after="0"/>
        <w:rPr>
          <w:sz w:val="20"/>
          <w:szCs w:val="20"/>
          <w:color w:val="auto"/>
        </w:rPr>
      </w:pPr>
      <w:r>
        <w:rPr>
          <w:rFonts w:ascii="Arial" w:cs="Arial" w:eastAsia="Arial" w:hAnsi="Arial"/>
          <w:sz w:val="18"/>
          <w:szCs w:val="18"/>
          <w:b w:val="1"/>
          <w:bCs w:val="1"/>
          <w:color w:val="auto"/>
        </w:rPr>
        <w:t>EXHIBIT 12.1</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SEMPRA ENERGY</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COMPUTATION OF RATIO OF EARNINGS TO COMBINED FIXED CHARGES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AND PREFERRED STOCK DIVIDENDS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(Dollars in millions)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50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2003</w:t>
            </w:r>
          </w:p>
        </w:tc>
        <w:tc>
          <w:tcPr>
            <w:tcW w:w="56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2004</w:t>
            </w:r>
          </w:p>
        </w:tc>
        <w:tc>
          <w:tcPr>
            <w:tcW w:w="56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2005</w:t>
            </w:r>
          </w:p>
        </w:tc>
        <w:tc>
          <w:tcPr>
            <w:tcW w:w="56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2006</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tcPr>
          <w:p>
            <w:pPr>
              <w:jc w:val="right"/>
              <w:ind w:right="550"/>
              <w:spacing w:after="0"/>
              <w:rPr>
                <w:sz w:val="20"/>
                <w:szCs w:val="20"/>
                <w:color w:val="auto"/>
              </w:rPr>
            </w:pPr>
            <w:r>
              <w:rPr>
                <w:rFonts w:ascii="Arial" w:cs="Arial" w:eastAsia="Arial" w:hAnsi="Arial"/>
                <w:sz w:val="18"/>
                <w:szCs w:val="18"/>
                <w:color w:val="auto"/>
              </w:rPr>
              <w:t>2007</w:t>
            </w:r>
          </w:p>
        </w:tc>
        <w:tc>
          <w:tcPr>
            <w:tcW w:w="0" w:type="dxa"/>
            <w:vAlign w:val="bottom"/>
          </w:tcPr>
          <w:p>
            <w:pPr>
              <w:spacing w:after="0"/>
              <w:rPr>
                <w:sz w:val="1"/>
                <w:szCs w:val="1"/>
                <w:color w:val="auto"/>
              </w:rPr>
            </w:pPr>
          </w:p>
        </w:tc>
      </w:tr>
      <w:tr>
        <w:trPr>
          <w:trHeight w:val="209"/>
        </w:trPr>
        <w:tc>
          <w:tcPr>
            <w:tcW w:w="2500" w:type="dxa"/>
            <w:vAlign w:val="bottom"/>
          </w:tcPr>
          <w:p>
            <w:pPr>
              <w:spacing w:after="0"/>
              <w:rPr>
                <w:sz w:val="20"/>
                <w:szCs w:val="20"/>
                <w:color w:val="auto"/>
              </w:rPr>
            </w:pPr>
            <w:r>
              <w:rPr>
                <w:rFonts w:ascii="Arial" w:cs="Arial" w:eastAsia="Arial" w:hAnsi="Arial"/>
                <w:sz w:val="18"/>
                <w:szCs w:val="18"/>
                <w:color w:val="auto"/>
              </w:rPr>
              <w:t>Fixed charges and preferred</w:t>
            </w:r>
          </w:p>
        </w:tc>
        <w:tc>
          <w:tcPr>
            <w:tcW w:w="11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500" w:type="dxa"/>
            <w:vAlign w:val="bottom"/>
          </w:tcPr>
          <w:p>
            <w:pPr>
              <w:spacing w:after="0"/>
              <w:rPr>
                <w:sz w:val="20"/>
                <w:szCs w:val="20"/>
                <w:color w:val="auto"/>
              </w:rPr>
            </w:pPr>
            <w:r>
              <w:rPr>
                <w:rFonts w:ascii="Arial" w:cs="Arial" w:eastAsia="Arial" w:hAnsi="Arial"/>
                <w:sz w:val="18"/>
                <w:szCs w:val="18"/>
                <w:color w:val="auto"/>
              </w:rPr>
              <w:t>stock dividends:</w:t>
            </w:r>
          </w:p>
        </w:tc>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2500" w:type="dxa"/>
            <w:vAlign w:val="bottom"/>
          </w:tcPr>
          <w:p>
            <w:pPr>
              <w:spacing w:after="0"/>
              <w:rPr>
                <w:sz w:val="20"/>
                <w:szCs w:val="20"/>
                <w:color w:val="auto"/>
              </w:rPr>
            </w:pPr>
            <w:r>
              <w:rPr>
                <w:rFonts w:ascii="Arial" w:cs="Arial" w:eastAsia="Arial" w:hAnsi="Arial"/>
                <w:sz w:val="18"/>
                <w:szCs w:val="18"/>
                <w:color w:val="auto"/>
              </w:rPr>
              <w:t>Interest</w:t>
            </w:r>
          </w:p>
        </w:tc>
        <w:tc>
          <w:tcPr>
            <w:tcW w:w="1160" w:type="dxa"/>
            <w:vAlign w:val="bottom"/>
          </w:tcPr>
          <w:p>
            <w:pPr>
              <w:jc w:val="right"/>
              <w:ind w:right="81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345</w:t>
            </w:r>
          </w:p>
        </w:tc>
        <w:tc>
          <w:tcPr>
            <w:tcW w:w="1240" w:type="dxa"/>
            <w:vAlign w:val="bottom"/>
            <w:gridSpan w:val="2"/>
          </w:tcPr>
          <w:p>
            <w:pPr>
              <w:jc w:val="right"/>
              <w:ind w:right="90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332</w:t>
            </w:r>
          </w:p>
        </w:tc>
        <w:tc>
          <w:tcPr>
            <w:tcW w:w="1260" w:type="dxa"/>
            <w:vAlign w:val="bottom"/>
            <w:gridSpan w:val="2"/>
          </w:tcPr>
          <w:p>
            <w:pPr>
              <w:jc w:val="right"/>
              <w:ind w:right="90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342</w:t>
            </w:r>
          </w:p>
        </w:tc>
        <w:tc>
          <w:tcPr>
            <w:tcW w:w="1240" w:type="dxa"/>
            <w:vAlign w:val="bottom"/>
            <w:gridSpan w:val="2"/>
          </w:tcPr>
          <w:p>
            <w:pPr>
              <w:jc w:val="right"/>
              <w:ind w:right="90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413</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83"/>
        </w:trPr>
        <w:tc>
          <w:tcPr>
            <w:tcW w:w="2500" w:type="dxa"/>
            <w:vAlign w:val="bottom"/>
          </w:tcPr>
          <w:p>
            <w:pPr>
              <w:spacing w:after="0"/>
              <w:rPr>
                <w:sz w:val="20"/>
                <w:szCs w:val="20"/>
                <w:color w:val="auto"/>
              </w:rPr>
            </w:pPr>
            <w:r>
              <w:rPr>
                <w:rFonts w:ascii="Arial" w:cs="Arial" w:eastAsia="Arial" w:hAnsi="Arial"/>
                <w:sz w:val="18"/>
                <w:szCs w:val="18"/>
                <w:color w:val="auto"/>
              </w:rPr>
              <w:t>Interest portion of annual</w:t>
            </w:r>
          </w:p>
        </w:tc>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500" w:type="dxa"/>
            <w:vAlign w:val="bottom"/>
          </w:tcPr>
          <w:p>
            <w:pPr>
              <w:spacing w:after="0"/>
              <w:rPr>
                <w:sz w:val="20"/>
                <w:szCs w:val="20"/>
                <w:color w:val="auto"/>
              </w:rPr>
            </w:pPr>
            <w:r>
              <w:rPr>
                <w:rFonts w:ascii="Arial" w:cs="Arial" w:eastAsia="Arial" w:hAnsi="Arial"/>
                <w:sz w:val="18"/>
                <w:szCs w:val="18"/>
                <w:color w:val="auto"/>
              </w:rPr>
              <w:t>rentals</w:t>
            </w:r>
          </w:p>
        </w:tc>
        <w:tc>
          <w:tcPr>
            <w:tcW w:w="1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83"/>
        </w:trPr>
        <w:tc>
          <w:tcPr>
            <w:tcW w:w="2500" w:type="dxa"/>
            <w:vAlign w:val="bottom"/>
          </w:tcPr>
          <w:p>
            <w:pPr>
              <w:spacing w:after="0"/>
              <w:rPr>
                <w:sz w:val="20"/>
                <w:szCs w:val="20"/>
                <w:color w:val="auto"/>
              </w:rPr>
            </w:pPr>
            <w:r>
              <w:rPr>
                <w:rFonts w:ascii="Arial" w:cs="Arial" w:eastAsia="Arial" w:hAnsi="Arial"/>
                <w:sz w:val="18"/>
                <w:szCs w:val="18"/>
                <w:color w:val="auto"/>
              </w:rPr>
              <w:t>Preferred dividends of</w:t>
            </w:r>
          </w:p>
        </w:tc>
        <w:tc>
          <w:tcPr>
            <w:tcW w:w="1160" w:type="dxa"/>
            <w:vAlign w:val="bottom"/>
          </w:tcPr>
          <w:p>
            <w:pPr>
              <w:spacing w:after="0"/>
              <w:rPr>
                <w:sz w:val="24"/>
                <w:szCs w:val="24"/>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3"/>
        </w:trPr>
        <w:tc>
          <w:tcPr>
            <w:tcW w:w="2500" w:type="dxa"/>
            <w:vAlign w:val="bottom"/>
          </w:tcPr>
          <w:p>
            <w:pPr>
              <w:spacing w:after="0" w:line="203" w:lineRule="exact"/>
              <w:rPr>
                <w:sz w:val="20"/>
                <w:szCs w:val="20"/>
                <w:color w:val="auto"/>
              </w:rPr>
            </w:pPr>
            <w:r>
              <w:rPr>
                <w:rFonts w:ascii="Arial" w:cs="Arial" w:eastAsia="Arial" w:hAnsi="Arial"/>
                <w:sz w:val="18"/>
                <w:szCs w:val="18"/>
                <w:color w:val="auto"/>
              </w:rPr>
              <w:t>subsidiaries (1)</w:t>
            </w:r>
          </w:p>
        </w:tc>
        <w:tc>
          <w:tcPr>
            <w:tcW w:w="1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2500" w:type="dxa"/>
            <w:vAlign w:val="bottom"/>
          </w:tcPr>
          <w:p>
            <w:pPr>
              <w:ind w:left="240"/>
              <w:spacing w:after="0"/>
              <w:rPr>
                <w:sz w:val="20"/>
                <w:szCs w:val="20"/>
                <w:color w:val="auto"/>
              </w:rPr>
            </w:pPr>
            <w:r>
              <w:rPr>
                <w:rFonts w:ascii="Arial" w:cs="Arial" w:eastAsia="Arial" w:hAnsi="Arial"/>
                <w:sz w:val="18"/>
                <w:szCs w:val="18"/>
                <w:color w:val="auto"/>
              </w:rPr>
              <w:t>Total fixed charges</w:t>
            </w:r>
          </w:p>
        </w:tc>
        <w:tc>
          <w:tcPr>
            <w:tcW w:w="11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360</w:t>
            </w: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348</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357</w:t>
            </w: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434</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83"/>
        </w:trPr>
        <w:tc>
          <w:tcPr>
            <w:tcW w:w="2500" w:type="dxa"/>
            <w:vAlign w:val="bottom"/>
          </w:tcPr>
          <w:p>
            <w:pPr>
              <w:spacing w:after="0"/>
              <w:rPr>
                <w:sz w:val="20"/>
                <w:szCs w:val="20"/>
                <w:color w:val="auto"/>
              </w:rPr>
            </w:pPr>
            <w:r>
              <w:rPr>
                <w:rFonts w:ascii="Arial" w:cs="Arial" w:eastAsia="Arial" w:hAnsi="Arial"/>
                <w:sz w:val="18"/>
                <w:szCs w:val="18"/>
                <w:color w:val="auto"/>
              </w:rPr>
              <w:t>Preferred dividends for</w:t>
            </w:r>
          </w:p>
        </w:tc>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500" w:type="dxa"/>
            <w:vAlign w:val="bottom"/>
          </w:tcPr>
          <w:p>
            <w:pPr>
              <w:spacing w:after="0"/>
              <w:rPr>
                <w:sz w:val="20"/>
                <w:szCs w:val="20"/>
                <w:color w:val="auto"/>
              </w:rPr>
            </w:pPr>
            <w:r>
              <w:rPr>
                <w:rFonts w:ascii="Arial" w:cs="Arial" w:eastAsia="Arial" w:hAnsi="Arial"/>
                <w:sz w:val="18"/>
                <w:szCs w:val="18"/>
                <w:color w:val="auto"/>
              </w:rPr>
              <w:t>purpose of ratio</w:t>
            </w:r>
          </w:p>
        </w:tc>
        <w:tc>
          <w:tcPr>
            <w:tcW w:w="1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500" w:type="dxa"/>
            <w:vAlign w:val="bottom"/>
            <w:vMerge w:val="restart"/>
          </w:tcPr>
          <w:p>
            <w:pPr>
              <w:spacing w:after="0"/>
              <w:rPr>
                <w:sz w:val="20"/>
                <w:szCs w:val="20"/>
                <w:color w:val="auto"/>
              </w:rPr>
            </w:pPr>
            <w:r>
              <w:rPr>
                <w:rFonts w:ascii="Arial" w:cs="Arial" w:eastAsia="Arial" w:hAnsi="Arial"/>
                <w:sz w:val="18"/>
                <w:szCs w:val="18"/>
                <w:color w:val="auto"/>
              </w:rPr>
              <w:t>Total fixed charges and</w:t>
            </w:r>
          </w:p>
        </w:tc>
        <w:tc>
          <w:tcPr>
            <w:tcW w:w="11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500" w:type="dxa"/>
            <w:vAlign w:val="bottom"/>
            <w:vMerge w:val="continue"/>
          </w:tcPr>
          <w:p>
            <w:pPr>
              <w:spacing w:after="0"/>
              <w:rPr>
                <w:sz w:val="17"/>
                <w:szCs w:val="17"/>
                <w:color w:val="auto"/>
              </w:rPr>
            </w:pPr>
          </w:p>
        </w:tc>
        <w:tc>
          <w:tcPr>
            <w:tcW w:w="1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00" w:type="dxa"/>
            <w:vAlign w:val="bottom"/>
          </w:tcPr>
          <w:p>
            <w:pPr>
              <w:spacing w:after="0" w:line="202" w:lineRule="exact"/>
              <w:rPr>
                <w:sz w:val="20"/>
                <w:szCs w:val="20"/>
                <w:color w:val="auto"/>
              </w:rPr>
            </w:pPr>
            <w:r>
              <w:rPr>
                <w:rFonts w:ascii="Arial" w:cs="Arial" w:eastAsia="Arial" w:hAnsi="Arial"/>
                <w:sz w:val="18"/>
                <w:szCs w:val="18"/>
                <w:color w:val="auto"/>
              </w:rPr>
              <w:t>preferred dividends for</w:t>
            </w:r>
          </w:p>
        </w:tc>
        <w:tc>
          <w:tcPr>
            <w:tcW w:w="1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500" w:type="dxa"/>
            <w:vAlign w:val="bottom"/>
          </w:tcPr>
          <w:p>
            <w:pPr>
              <w:spacing w:after="0"/>
              <w:rPr>
                <w:sz w:val="20"/>
                <w:szCs w:val="20"/>
                <w:color w:val="auto"/>
              </w:rPr>
            </w:pPr>
            <w:r>
              <w:rPr>
                <w:rFonts w:ascii="Arial" w:cs="Arial" w:eastAsia="Arial" w:hAnsi="Arial"/>
                <w:sz w:val="18"/>
                <w:szCs w:val="18"/>
                <w:color w:val="auto"/>
              </w:rPr>
              <w:t>purpose of ratio</w:t>
            </w:r>
          </w:p>
        </w:tc>
        <w:tc>
          <w:tcPr>
            <w:tcW w:w="1160" w:type="dxa"/>
            <w:vAlign w:val="bottom"/>
            <w:vMerge w:val="restart"/>
          </w:tcPr>
          <w:p>
            <w:pPr>
              <w:jc w:val="right"/>
              <w:ind w:right="810"/>
              <w:spacing w:after="0"/>
              <w:rPr>
                <w:sz w:val="20"/>
                <w:szCs w:val="20"/>
                <w:color w:val="auto"/>
              </w:rPr>
            </w:pPr>
            <w:r>
              <w:rPr>
                <w:rFonts w:ascii="Arial" w:cs="Arial" w:eastAsia="Arial" w:hAnsi="Arial"/>
                <w:sz w:val="18"/>
                <w:szCs w:val="18"/>
                <w:color w:val="auto"/>
              </w:rPr>
              <w:t>$</w:t>
            </w: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360</w:t>
            </w:r>
          </w:p>
        </w:tc>
        <w:tc>
          <w:tcPr>
            <w:tcW w:w="1240" w:type="dxa"/>
            <w:vAlign w:val="bottom"/>
            <w:gridSpan w:val="2"/>
            <w:vMerge w:val="restart"/>
          </w:tcPr>
          <w:p>
            <w:pPr>
              <w:jc w:val="right"/>
              <w:ind w:right="900"/>
              <w:spacing w:after="0"/>
              <w:rPr>
                <w:sz w:val="20"/>
                <w:szCs w:val="20"/>
                <w:color w:val="auto"/>
              </w:rPr>
            </w:pPr>
            <w:r>
              <w:rPr>
                <w:rFonts w:ascii="Arial" w:cs="Arial" w:eastAsia="Arial" w:hAnsi="Arial"/>
                <w:sz w:val="18"/>
                <w:szCs w:val="18"/>
                <w:color w:val="auto"/>
              </w:rPr>
              <w:t>$</w:t>
            </w: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348</w:t>
            </w:r>
          </w:p>
        </w:tc>
        <w:tc>
          <w:tcPr>
            <w:tcW w:w="1260" w:type="dxa"/>
            <w:vAlign w:val="bottom"/>
            <w:gridSpan w:val="2"/>
            <w:vMerge w:val="restart"/>
          </w:tcPr>
          <w:p>
            <w:pPr>
              <w:jc w:val="right"/>
              <w:ind w:right="900"/>
              <w:spacing w:after="0"/>
              <w:rPr>
                <w:sz w:val="20"/>
                <w:szCs w:val="20"/>
                <w:color w:val="auto"/>
              </w:rPr>
            </w:pPr>
            <w:r>
              <w:rPr>
                <w:rFonts w:ascii="Arial" w:cs="Arial" w:eastAsia="Arial" w:hAnsi="Arial"/>
                <w:sz w:val="18"/>
                <w:szCs w:val="18"/>
                <w:color w:val="auto"/>
              </w:rPr>
              <w:t>$</w:t>
            </w: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357</w:t>
            </w:r>
          </w:p>
        </w:tc>
        <w:tc>
          <w:tcPr>
            <w:tcW w:w="1240" w:type="dxa"/>
            <w:vAlign w:val="bottom"/>
            <w:gridSpan w:val="2"/>
            <w:vMerge w:val="restart"/>
          </w:tcPr>
          <w:p>
            <w:pPr>
              <w:jc w:val="right"/>
              <w:ind w:right="900"/>
              <w:spacing w:after="0"/>
              <w:rPr>
                <w:sz w:val="20"/>
                <w:szCs w:val="20"/>
                <w:color w:val="auto"/>
              </w:rPr>
            </w:pPr>
            <w:r>
              <w:rPr>
                <w:rFonts w:ascii="Arial" w:cs="Arial" w:eastAsia="Arial" w:hAnsi="Arial"/>
                <w:sz w:val="18"/>
                <w:szCs w:val="18"/>
                <w:color w:val="auto"/>
              </w:rPr>
              <w:t>$</w:t>
            </w: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434</w:t>
            </w:r>
          </w:p>
        </w:tc>
        <w:tc>
          <w:tcPr>
            <w:tcW w:w="54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500" w:type="dxa"/>
            <w:vAlign w:val="bottom"/>
            <w:vMerge w:val="restart"/>
          </w:tcPr>
          <w:p>
            <w:pPr>
              <w:spacing w:after="0"/>
              <w:rPr>
                <w:sz w:val="20"/>
                <w:szCs w:val="20"/>
                <w:color w:val="auto"/>
              </w:rPr>
            </w:pPr>
            <w:r>
              <w:rPr>
                <w:rFonts w:ascii="Arial" w:cs="Arial" w:eastAsia="Arial" w:hAnsi="Arial"/>
                <w:sz w:val="18"/>
                <w:szCs w:val="18"/>
                <w:color w:val="auto"/>
              </w:rPr>
              <w:t>Earnings:</w:t>
            </w: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1"/>
        </w:trPr>
        <w:tc>
          <w:tcPr>
            <w:tcW w:w="250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500" w:type="dxa"/>
            <w:vAlign w:val="bottom"/>
          </w:tcPr>
          <w:p>
            <w:pPr>
              <w:spacing w:after="0"/>
              <w:rPr>
                <w:sz w:val="20"/>
                <w:szCs w:val="20"/>
                <w:color w:val="auto"/>
              </w:rPr>
            </w:pPr>
            <w:r>
              <w:rPr>
                <w:rFonts w:ascii="Arial" w:cs="Arial" w:eastAsia="Arial" w:hAnsi="Arial"/>
                <w:sz w:val="18"/>
                <w:szCs w:val="18"/>
                <w:color w:val="auto"/>
              </w:rPr>
              <w:t>Pretax income from</w:t>
            </w:r>
          </w:p>
        </w:tc>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500" w:type="dxa"/>
            <w:vAlign w:val="bottom"/>
          </w:tcPr>
          <w:p>
            <w:pPr>
              <w:spacing w:after="0"/>
              <w:rPr>
                <w:sz w:val="20"/>
                <w:szCs w:val="20"/>
                <w:color w:val="auto"/>
              </w:rPr>
            </w:pPr>
            <w:r>
              <w:rPr>
                <w:rFonts w:ascii="Arial" w:cs="Arial" w:eastAsia="Arial" w:hAnsi="Arial"/>
                <w:sz w:val="18"/>
                <w:szCs w:val="18"/>
                <w:color w:val="auto"/>
              </w:rPr>
              <w:t>continuing operations</w:t>
            </w:r>
          </w:p>
        </w:tc>
        <w:tc>
          <w:tcPr>
            <w:tcW w:w="1160" w:type="dxa"/>
            <w:vAlign w:val="bottom"/>
          </w:tcPr>
          <w:p>
            <w:pPr>
              <w:jc w:val="right"/>
              <w:ind w:right="81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814</w:t>
            </w:r>
          </w:p>
        </w:tc>
        <w:tc>
          <w:tcPr>
            <w:tcW w:w="1240" w:type="dxa"/>
            <w:vAlign w:val="bottom"/>
            <w:gridSpan w:val="2"/>
          </w:tcPr>
          <w:p>
            <w:pPr>
              <w:jc w:val="right"/>
              <w:ind w:right="94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1,105</w:t>
            </w:r>
          </w:p>
        </w:tc>
        <w:tc>
          <w:tcPr>
            <w:tcW w:w="1260" w:type="dxa"/>
            <w:vAlign w:val="bottom"/>
            <w:gridSpan w:val="2"/>
          </w:tcPr>
          <w:p>
            <w:pPr>
              <w:jc w:val="right"/>
              <w:ind w:right="90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947</w:t>
            </w:r>
          </w:p>
        </w:tc>
        <w:tc>
          <w:tcPr>
            <w:tcW w:w="1240" w:type="dxa"/>
            <w:vAlign w:val="bottom"/>
            <w:gridSpan w:val="2"/>
          </w:tcPr>
          <w:p>
            <w:pPr>
              <w:jc w:val="right"/>
              <w:ind w:right="94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1,732</w:t>
            </w: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1,649</w:t>
            </w:r>
          </w:p>
        </w:tc>
        <w:tc>
          <w:tcPr>
            <w:tcW w:w="0" w:type="dxa"/>
            <w:vAlign w:val="bottom"/>
          </w:tcPr>
          <w:p>
            <w:pPr>
              <w:spacing w:after="0"/>
              <w:rPr>
                <w:sz w:val="1"/>
                <w:szCs w:val="1"/>
                <w:color w:val="auto"/>
              </w:rPr>
            </w:pPr>
          </w:p>
        </w:tc>
      </w:tr>
      <w:tr>
        <w:trPr>
          <w:trHeight w:val="297"/>
        </w:trPr>
        <w:tc>
          <w:tcPr>
            <w:tcW w:w="2500" w:type="dxa"/>
            <w:vAlign w:val="bottom"/>
          </w:tcPr>
          <w:p>
            <w:pPr>
              <w:spacing w:after="0"/>
              <w:rPr>
                <w:sz w:val="20"/>
                <w:szCs w:val="20"/>
                <w:color w:val="auto"/>
              </w:rPr>
            </w:pPr>
            <w:r>
              <w:rPr>
                <w:rFonts w:ascii="Arial" w:cs="Arial" w:eastAsia="Arial" w:hAnsi="Arial"/>
                <w:sz w:val="18"/>
                <w:szCs w:val="18"/>
                <w:color w:val="auto"/>
              </w:rPr>
              <w:t>Add:</w:t>
            </w:r>
          </w:p>
        </w:tc>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500" w:type="dxa"/>
            <w:vAlign w:val="bottom"/>
          </w:tcPr>
          <w:p>
            <w:pPr>
              <w:ind w:left="100"/>
              <w:spacing w:after="0"/>
              <w:rPr>
                <w:sz w:val="20"/>
                <w:szCs w:val="20"/>
                <w:color w:val="auto"/>
              </w:rPr>
            </w:pPr>
            <w:r>
              <w:rPr>
                <w:rFonts w:ascii="Arial" w:cs="Arial" w:eastAsia="Arial" w:hAnsi="Arial"/>
                <w:sz w:val="18"/>
                <w:szCs w:val="18"/>
                <w:color w:val="auto"/>
              </w:rPr>
              <w:t>Total fixed charges (from</w:t>
            </w:r>
          </w:p>
        </w:tc>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500" w:type="dxa"/>
            <w:vAlign w:val="bottom"/>
          </w:tcPr>
          <w:p>
            <w:pPr>
              <w:spacing w:after="0"/>
              <w:rPr>
                <w:sz w:val="20"/>
                <w:szCs w:val="20"/>
                <w:color w:val="auto"/>
              </w:rPr>
            </w:pPr>
            <w:r>
              <w:rPr>
                <w:rFonts w:ascii="Arial" w:cs="Arial" w:eastAsia="Arial" w:hAnsi="Arial"/>
                <w:sz w:val="18"/>
                <w:szCs w:val="18"/>
                <w:color w:val="auto"/>
              </w:rPr>
              <w:t>above)</w:t>
            </w:r>
          </w:p>
        </w:tc>
        <w:tc>
          <w:tcPr>
            <w:tcW w:w="1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360</w:t>
            </w: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348</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357</w:t>
            </w: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434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83"/>
        </w:trPr>
        <w:tc>
          <w:tcPr>
            <w:tcW w:w="2500" w:type="dxa"/>
            <w:vAlign w:val="bottom"/>
          </w:tcPr>
          <w:p>
            <w:pPr>
              <w:ind w:left="100"/>
              <w:spacing w:after="0"/>
              <w:rPr>
                <w:sz w:val="20"/>
                <w:szCs w:val="20"/>
                <w:color w:val="auto"/>
              </w:rPr>
            </w:pPr>
            <w:r>
              <w:rPr>
                <w:rFonts w:ascii="Arial" w:cs="Arial" w:eastAsia="Arial" w:hAnsi="Arial"/>
                <w:sz w:val="18"/>
                <w:szCs w:val="18"/>
                <w:color w:val="auto"/>
              </w:rPr>
              <w:t>Distributed income of</w:t>
            </w:r>
          </w:p>
        </w:tc>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500" w:type="dxa"/>
            <w:vAlign w:val="bottom"/>
          </w:tcPr>
          <w:p>
            <w:pPr>
              <w:spacing w:after="0"/>
              <w:rPr>
                <w:sz w:val="20"/>
                <w:szCs w:val="20"/>
                <w:color w:val="auto"/>
              </w:rPr>
            </w:pPr>
            <w:r>
              <w:rPr>
                <w:rFonts w:ascii="Arial" w:cs="Arial" w:eastAsia="Arial" w:hAnsi="Arial"/>
                <w:sz w:val="18"/>
                <w:szCs w:val="18"/>
                <w:color w:val="auto"/>
              </w:rPr>
              <w:t>equity investees</w:t>
            </w:r>
          </w:p>
        </w:tc>
        <w:tc>
          <w:tcPr>
            <w:tcW w:w="1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72</w:t>
            </w: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73</w:t>
            </w: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431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97"/>
        </w:trPr>
        <w:tc>
          <w:tcPr>
            <w:tcW w:w="2500" w:type="dxa"/>
            <w:vAlign w:val="bottom"/>
          </w:tcPr>
          <w:p>
            <w:pPr>
              <w:spacing w:after="0"/>
              <w:rPr>
                <w:sz w:val="20"/>
                <w:szCs w:val="20"/>
                <w:color w:val="auto"/>
              </w:rPr>
            </w:pPr>
            <w:r>
              <w:rPr>
                <w:rFonts w:ascii="Arial" w:cs="Arial" w:eastAsia="Arial" w:hAnsi="Arial"/>
                <w:sz w:val="18"/>
                <w:szCs w:val="18"/>
                <w:color w:val="auto"/>
              </w:rPr>
              <w:t>Less:</w:t>
            </w:r>
          </w:p>
        </w:tc>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500" w:type="dxa"/>
            <w:vAlign w:val="bottom"/>
          </w:tcPr>
          <w:p>
            <w:pPr>
              <w:ind w:left="100"/>
              <w:spacing w:after="0"/>
              <w:rPr>
                <w:sz w:val="20"/>
                <w:szCs w:val="20"/>
                <w:color w:val="auto"/>
              </w:rPr>
            </w:pPr>
            <w:r>
              <w:rPr>
                <w:rFonts w:ascii="Arial" w:cs="Arial" w:eastAsia="Arial" w:hAnsi="Arial"/>
                <w:sz w:val="18"/>
                <w:szCs w:val="18"/>
                <w:color w:val="auto"/>
              </w:rPr>
              <w:t>Interest capitalized</w:t>
            </w:r>
          </w:p>
        </w:tc>
        <w:tc>
          <w:tcPr>
            <w:tcW w:w="1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83"/>
        </w:trPr>
        <w:tc>
          <w:tcPr>
            <w:tcW w:w="2500" w:type="dxa"/>
            <w:vAlign w:val="bottom"/>
          </w:tcPr>
          <w:p>
            <w:pPr>
              <w:ind w:left="100"/>
              <w:spacing w:after="0"/>
              <w:rPr>
                <w:sz w:val="20"/>
                <w:szCs w:val="20"/>
                <w:color w:val="auto"/>
              </w:rPr>
            </w:pPr>
            <w:r>
              <w:rPr>
                <w:rFonts w:ascii="Arial" w:cs="Arial" w:eastAsia="Arial" w:hAnsi="Arial"/>
                <w:sz w:val="18"/>
                <w:szCs w:val="18"/>
                <w:color w:val="auto"/>
              </w:rPr>
              <w:t>Equity in income (loss) of</w:t>
            </w:r>
          </w:p>
        </w:tc>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500" w:type="dxa"/>
            <w:vAlign w:val="bottom"/>
          </w:tcPr>
          <w:p>
            <w:pPr>
              <w:spacing w:after="0" w:line="202" w:lineRule="exact"/>
              <w:rPr>
                <w:sz w:val="20"/>
                <w:szCs w:val="20"/>
                <w:color w:val="auto"/>
              </w:rPr>
            </w:pPr>
            <w:r>
              <w:rPr>
                <w:rFonts w:ascii="Arial" w:cs="Arial" w:eastAsia="Arial" w:hAnsi="Arial"/>
                <w:sz w:val="18"/>
                <w:szCs w:val="18"/>
                <w:color w:val="auto"/>
              </w:rPr>
              <w:t>unconsolidated subsidiaries</w:t>
            </w:r>
          </w:p>
        </w:tc>
        <w:tc>
          <w:tcPr>
            <w:tcW w:w="1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500" w:type="dxa"/>
            <w:vAlign w:val="bottom"/>
          </w:tcPr>
          <w:p>
            <w:pPr>
              <w:spacing w:after="0"/>
              <w:rPr>
                <w:sz w:val="20"/>
                <w:szCs w:val="20"/>
                <w:color w:val="auto"/>
              </w:rPr>
            </w:pPr>
            <w:r>
              <w:rPr>
                <w:rFonts w:ascii="Arial" w:cs="Arial" w:eastAsia="Arial" w:hAnsi="Arial"/>
                <w:sz w:val="18"/>
                <w:szCs w:val="18"/>
                <w:color w:val="auto"/>
              </w:rPr>
              <w:t>and joint ventures</w:t>
            </w:r>
          </w:p>
        </w:tc>
        <w:tc>
          <w:tcPr>
            <w:tcW w:w="1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66</w:t>
            </w: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83"/>
        </w:trPr>
        <w:tc>
          <w:tcPr>
            <w:tcW w:w="2500" w:type="dxa"/>
            <w:vAlign w:val="bottom"/>
          </w:tcPr>
          <w:p>
            <w:pPr>
              <w:ind w:left="100"/>
              <w:spacing w:after="0"/>
              <w:rPr>
                <w:sz w:val="20"/>
                <w:szCs w:val="20"/>
                <w:color w:val="auto"/>
              </w:rPr>
            </w:pPr>
            <w:r>
              <w:rPr>
                <w:rFonts w:ascii="Arial" w:cs="Arial" w:eastAsia="Arial" w:hAnsi="Arial"/>
                <w:sz w:val="18"/>
                <w:szCs w:val="18"/>
                <w:color w:val="auto"/>
              </w:rPr>
              <w:t>Minority interest in income</w:t>
            </w:r>
          </w:p>
        </w:tc>
        <w:tc>
          <w:tcPr>
            <w:tcW w:w="1160" w:type="dxa"/>
            <w:vAlign w:val="bottom"/>
          </w:tcPr>
          <w:p>
            <w:pPr>
              <w:spacing w:after="0"/>
              <w:rPr>
                <w:sz w:val="24"/>
                <w:szCs w:val="24"/>
                <w:color w:val="auto"/>
              </w:rPr>
            </w:pPr>
          </w:p>
        </w:tc>
        <w:tc>
          <w:tcPr>
            <w:tcW w:w="560" w:type="dxa"/>
            <w:vAlign w:val="bottom"/>
            <w:vMerge w:val="restart"/>
          </w:tcPr>
          <w:p>
            <w:pPr>
              <w:jc w:val="right"/>
              <w:ind w:right="7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60" w:type="dxa"/>
            <w:vAlign w:val="bottom"/>
            <w:vMerge w:val="restart"/>
          </w:tcPr>
          <w:p>
            <w:pPr>
              <w:jc w:val="right"/>
              <w:ind w:right="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60" w:type="dxa"/>
            <w:vAlign w:val="bottom"/>
            <w:vMerge w:val="restart"/>
          </w:tcPr>
          <w:p>
            <w:pPr>
              <w:jc w:val="right"/>
              <w:ind w:right="7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3"/>
        </w:trPr>
        <w:tc>
          <w:tcPr>
            <w:tcW w:w="2500" w:type="dxa"/>
            <w:vAlign w:val="bottom"/>
          </w:tcPr>
          <w:p>
            <w:pPr>
              <w:spacing w:after="0" w:line="203" w:lineRule="exact"/>
              <w:rPr>
                <w:sz w:val="20"/>
                <w:szCs w:val="20"/>
                <w:color w:val="auto"/>
              </w:rPr>
            </w:pPr>
            <w:r>
              <w:rPr>
                <w:rFonts w:ascii="Arial" w:cs="Arial" w:eastAsia="Arial" w:hAnsi="Arial"/>
                <w:sz w:val="18"/>
                <w:szCs w:val="18"/>
                <w:color w:val="auto"/>
              </w:rPr>
              <w:t>of consolidated subsidiaries</w:t>
            </w:r>
          </w:p>
        </w:tc>
        <w:tc>
          <w:tcPr>
            <w:tcW w:w="1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2500" w:type="dxa"/>
            <w:vAlign w:val="bottom"/>
          </w:tcPr>
          <w:p>
            <w:pPr>
              <w:spacing w:after="0"/>
              <w:rPr>
                <w:sz w:val="20"/>
                <w:szCs w:val="20"/>
                <w:color w:val="auto"/>
              </w:rPr>
            </w:pPr>
            <w:r>
              <w:rPr>
                <w:rFonts w:ascii="Arial" w:cs="Arial" w:eastAsia="Arial" w:hAnsi="Arial"/>
                <w:sz w:val="18"/>
                <w:szCs w:val="18"/>
                <w:color w:val="auto"/>
              </w:rPr>
              <w:t>Total earnings for purpose of</w:t>
            </w:r>
          </w:p>
        </w:tc>
        <w:tc>
          <w:tcPr>
            <w:tcW w:w="1160" w:type="dxa"/>
            <w:vAlign w:val="bottom"/>
            <w:vMerge w:val="restart"/>
          </w:tcPr>
          <w:p>
            <w:pPr>
              <w:jc w:val="right"/>
              <w:ind w:right="870"/>
              <w:spacing w:after="0"/>
              <w:rPr>
                <w:sz w:val="20"/>
                <w:szCs w:val="20"/>
                <w:color w:val="auto"/>
              </w:rPr>
            </w:pPr>
            <w:r>
              <w:rPr>
                <w:rFonts w:ascii="Arial" w:cs="Arial" w:eastAsia="Arial" w:hAnsi="Arial"/>
                <w:sz w:val="18"/>
                <w:szCs w:val="18"/>
                <w:color w:val="auto"/>
              </w:rPr>
              <w:t>$</w:t>
            </w: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1,215</w:t>
            </w:r>
          </w:p>
        </w:tc>
        <w:tc>
          <w:tcPr>
            <w:tcW w:w="1240" w:type="dxa"/>
            <w:vAlign w:val="bottom"/>
            <w:gridSpan w:val="2"/>
            <w:vMerge w:val="restart"/>
          </w:tcPr>
          <w:p>
            <w:pPr>
              <w:jc w:val="right"/>
              <w:ind w:right="940"/>
              <w:spacing w:after="0"/>
              <w:rPr>
                <w:sz w:val="20"/>
                <w:szCs w:val="20"/>
                <w:color w:val="auto"/>
              </w:rPr>
            </w:pPr>
            <w:r>
              <w:rPr>
                <w:rFonts w:ascii="Arial" w:cs="Arial" w:eastAsia="Arial" w:hAnsi="Arial"/>
                <w:sz w:val="18"/>
                <w:szCs w:val="18"/>
                <w:color w:val="auto"/>
              </w:rPr>
              <w:t>$</w:t>
            </w: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1,468</w:t>
            </w:r>
          </w:p>
        </w:tc>
        <w:tc>
          <w:tcPr>
            <w:tcW w:w="1260" w:type="dxa"/>
            <w:vAlign w:val="bottom"/>
            <w:gridSpan w:val="2"/>
            <w:vMerge w:val="restart"/>
          </w:tcPr>
          <w:p>
            <w:pPr>
              <w:jc w:val="right"/>
              <w:ind w:right="960"/>
              <w:spacing w:after="0"/>
              <w:rPr>
                <w:sz w:val="20"/>
                <w:szCs w:val="20"/>
                <w:color w:val="auto"/>
              </w:rPr>
            </w:pPr>
            <w:r>
              <w:rPr>
                <w:rFonts w:ascii="Arial" w:cs="Arial" w:eastAsia="Arial" w:hAnsi="Arial"/>
                <w:sz w:val="18"/>
                <w:szCs w:val="18"/>
                <w:color w:val="auto"/>
              </w:rPr>
              <w:t>$</w:t>
            </w: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1,283</w:t>
            </w:r>
          </w:p>
        </w:tc>
        <w:tc>
          <w:tcPr>
            <w:tcW w:w="1240" w:type="dxa"/>
            <w:vAlign w:val="bottom"/>
            <w:gridSpan w:val="2"/>
            <w:vMerge w:val="restart"/>
          </w:tcPr>
          <w:p>
            <w:pPr>
              <w:jc w:val="right"/>
              <w:ind w:right="940"/>
              <w:spacing w:after="0"/>
              <w:rPr>
                <w:sz w:val="20"/>
                <w:szCs w:val="20"/>
                <w:color w:val="auto"/>
              </w:rPr>
            </w:pPr>
            <w:r>
              <w:rPr>
                <w:rFonts w:ascii="Arial" w:cs="Arial" w:eastAsia="Arial" w:hAnsi="Arial"/>
                <w:sz w:val="18"/>
                <w:szCs w:val="18"/>
                <w:color w:val="auto"/>
              </w:rPr>
              <w:t>$</w:t>
            </w: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2,376</w:t>
            </w:r>
          </w:p>
        </w:tc>
        <w:tc>
          <w:tcPr>
            <w:tcW w:w="54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1,846</w:t>
            </w:r>
          </w:p>
        </w:tc>
        <w:tc>
          <w:tcPr>
            <w:tcW w:w="0" w:type="dxa"/>
            <w:vAlign w:val="bottom"/>
          </w:tcPr>
          <w:p>
            <w:pPr>
              <w:spacing w:after="0"/>
              <w:rPr>
                <w:sz w:val="1"/>
                <w:szCs w:val="1"/>
                <w:color w:val="auto"/>
              </w:rPr>
            </w:pPr>
          </w:p>
        </w:tc>
      </w:tr>
      <w:tr>
        <w:trPr>
          <w:trHeight w:val="163"/>
        </w:trPr>
        <w:tc>
          <w:tcPr>
            <w:tcW w:w="2500" w:type="dxa"/>
            <w:vAlign w:val="bottom"/>
          </w:tcPr>
          <w:p>
            <w:pPr>
              <w:spacing w:after="0" w:line="143" w:lineRule="exact"/>
              <w:rPr>
                <w:sz w:val="20"/>
                <w:szCs w:val="20"/>
                <w:color w:val="auto"/>
              </w:rPr>
            </w:pPr>
            <w:r>
              <w:rPr>
                <w:rFonts w:ascii="Arial" w:cs="Arial" w:eastAsia="Arial" w:hAnsi="Arial"/>
                <w:sz w:val="16"/>
                <w:szCs w:val="16"/>
                <w:color w:val="auto"/>
              </w:rPr>
              <w:t>ratio</w:t>
            </w:r>
          </w:p>
        </w:tc>
        <w:tc>
          <w:tcPr>
            <w:tcW w:w="116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500" w:type="dxa"/>
            <w:vAlign w:val="bottom"/>
            <w:vMerge w:val="restart"/>
          </w:tcPr>
          <w:p>
            <w:pPr>
              <w:spacing w:after="0"/>
              <w:rPr>
                <w:sz w:val="20"/>
                <w:szCs w:val="20"/>
                <w:color w:val="auto"/>
              </w:rPr>
            </w:pPr>
            <w:r>
              <w:rPr>
                <w:rFonts w:ascii="Arial" w:cs="Arial" w:eastAsia="Arial" w:hAnsi="Arial"/>
                <w:sz w:val="18"/>
                <w:szCs w:val="18"/>
                <w:color w:val="auto"/>
              </w:rPr>
              <w:t>Ratio of earnings to</w:t>
            </w: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6"/>
        </w:trPr>
        <w:tc>
          <w:tcPr>
            <w:tcW w:w="250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500" w:type="dxa"/>
            <w:vAlign w:val="bottom"/>
          </w:tcPr>
          <w:p>
            <w:pPr>
              <w:spacing w:after="0" w:line="202" w:lineRule="exact"/>
              <w:rPr>
                <w:sz w:val="20"/>
                <w:szCs w:val="20"/>
                <w:color w:val="auto"/>
              </w:rPr>
            </w:pPr>
            <w:r>
              <w:rPr>
                <w:rFonts w:ascii="Arial" w:cs="Arial" w:eastAsia="Arial" w:hAnsi="Arial"/>
                <w:sz w:val="18"/>
                <w:szCs w:val="18"/>
                <w:color w:val="auto"/>
              </w:rPr>
              <w:t>combined fixed charges and</w:t>
            </w:r>
          </w:p>
        </w:tc>
        <w:tc>
          <w:tcPr>
            <w:tcW w:w="1160" w:type="dxa"/>
            <w:vAlign w:val="bottom"/>
          </w:tcPr>
          <w:p>
            <w:pPr>
              <w:spacing w:after="0"/>
              <w:rPr>
                <w:sz w:val="17"/>
                <w:szCs w:val="17"/>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3.38</w:t>
            </w: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4.22</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3.59</w:t>
            </w: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5.47</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163"/>
        </w:trPr>
        <w:tc>
          <w:tcPr>
            <w:tcW w:w="2500" w:type="dxa"/>
            <w:vAlign w:val="bottom"/>
          </w:tcPr>
          <w:p>
            <w:pPr>
              <w:spacing w:after="0" w:line="143" w:lineRule="exact"/>
              <w:rPr>
                <w:sz w:val="20"/>
                <w:szCs w:val="20"/>
                <w:color w:val="auto"/>
              </w:rPr>
            </w:pPr>
            <w:r>
              <w:rPr>
                <w:rFonts w:ascii="Arial" w:cs="Arial" w:eastAsia="Arial" w:hAnsi="Arial"/>
                <w:sz w:val="16"/>
                <w:szCs w:val="16"/>
                <w:color w:val="auto"/>
              </w:rPr>
              <w:t>preferred stock dividends</w:t>
            </w:r>
          </w:p>
        </w:tc>
        <w:tc>
          <w:tcPr>
            <w:tcW w:w="1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500" w:type="dxa"/>
            <w:vAlign w:val="bottom"/>
            <w:vMerge w:val="restart"/>
          </w:tcPr>
          <w:p>
            <w:pPr>
              <w:spacing w:after="0"/>
              <w:rPr>
                <w:sz w:val="20"/>
                <w:szCs w:val="20"/>
                <w:color w:val="auto"/>
              </w:rPr>
            </w:pPr>
            <w:r>
              <w:rPr>
                <w:rFonts w:ascii="Arial" w:cs="Arial" w:eastAsia="Arial" w:hAnsi="Arial"/>
                <w:sz w:val="18"/>
                <w:szCs w:val="18"/>
                <w:color w:val="auto"/>
              </w:rPr>
              <w:t>Ratio of earnings to fixed</w:t>
            </w:r>
          </w:p>
        </w:tc>
        <w:tc>
          <w:tcPr>
            <w:tcW w:w="1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6"/>
        </w:trPr>
        <w:tc>
          <w:tcPr>
            <w:tcW w:w="250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3.38</w:t>
            </w: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4.22</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3.59</w:t>
            </w: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5.47</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163"/>
        </w:trPr>
        <w:tc>
          <w:tcPr>
            <w:tcW w:w="2500" w:type="dxa"/>
            <w:vAlign w:val="bottom"/>
          </w:tcPr>
          <w:p>
            <w:pPr>
              <w:spacing w:after="0" w:line="143" w:lineRule="exact"/>
              <w:rPr>
                <w:sz w:val="20"/>
                <w:szCs w:val="20"/>
                <w:color w:val="auto"/>
              </w:rPr>
            </w:pPr>
            <w:r>
              <w:rPr>
                <w:rFonts w:ascii="Arial" w:cs="Arial" w:eastAsia="Arial" w:hAnsi="Arial"/>
                <w:sz w:val="16"/>
                <w:szCs w:val="16"/>
                <w:color w:val="auto"/>
              </w:rPr>
              <w:t>charges</w:t>
            </w:r>
          </w:p>
        </w:tc>
        <w:tc>
          <w:tcPr>
            <w:tcW w:w="1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5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right="840" w:firstLine="2"/>
        <w:spacing w:after="0" w:line="246" w:lineRule="auto"/>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computing this ratio, “Preferred dividends of subsidiaries” represents the before-tax earnings necessary to pay such dividends, computed at the effective tax rates for the applicable periods.</w:t>
      </w:r>
    </w:p>
    <w:p>
      <w:pPr>
        <w:sectPr>
          <w:pgSz w:w="11900" w:h="16838" w:orient="portrait"/>
          <w:cols w:equalWidth="0" w:num="1">
            <w:col w:w="11400"/>
          </w:cols>
          <w:pgMar w:left="260" w:top="886" w:right="239" w:bottom="1440" w:gutter="0" w:footer="0" w:header="0"/>
        </w:sectPr>
      </w:pPr>
    </w:p>
    <w:bookmarkStart w:id="68" w:name="page69"/>
    <w:bookmarkEnd w:id="68"/>
    <w:p>
      <w:pPr>
        <w:spacing w:after="0"/>
        <w:rPr>
          <w:sz w:val="20"/>
          <w:szCs w:val="20"/>
          <w:color w:val="auto"/>
        </w:rPr>
      </w:pPr>
      <w:r>
        <w:rPr>
          <w:rFonts w:ascii="Arial" w:cs="Arial" w:eastAsia="Arial" w:hAnsi="Arial"/>
          <w:sz w:val="22"/>
          <w:szCs w:val="22"/>
          <w:b w:val="1"/>
          <w:bCs w:val="1"/>
          <w:color w:val="auto"/>
        </w:rPr>
        <w:t>Exhibit 13</w:t>
      </w:r>
    </w:p>
    <w:p>
      <w:pPr>
        <w:spacing w:after="0" w:line="278"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SEMPRA ENERGY</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FINANCIAL REPORT</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TABLE OF CONTENTS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0" w:type="dxa"/>
            <w:vAlign w:val="bottom"/>
          </w:tcPr>
          <w:p>
            <w:pPr>
              <w:ind w:left="20"/>
              <w:spacing w:after="0"/>
              <w:rPr>
                <w:sz w:val="20"/>
                <w:szCs w:val="20"/>
                <w:color w:val="auto"/>
              </w:rPr>
            </w:pPr>
            <w:r>
              <w:rPr>
                <w:rFonts w:ascii="Arial" w:cs="Arial" w:eastAsia="Arial" w:hAnsi="Arial"/>
                <w:sz w:val="20"/>
                <w:szCs w:val="20"/>
                <w:color w:val="auto"/>
                <w:w w:val="97"/>
              </w:rPr>
              <w:t>Management’s Discussion and Analysis of Financial Condition</w:t>
            </w:r>
          </w:p>
        </w:tc>
        <w:tc>
          <w:tcPr>
            <w:tcW w:w="600" w:type="dxa"/>
            <w:vAlign w:val="bottom"/>
          </w:tcPr>
          <w:p>
            <w:pPr>
              <w:spacing w:after="0"/>
              <w:rPr>
                <w:sz w:val="19"/>
                <w:szCs w:val="19"/>
                <w:color w:val="auto"/>
              </w:rPr>
            </w:pPr>
          </w:p>
        </w:tc>
      </w:tr>
      <w:tr>
        <w:trPr>
          <w:trHeight w:val="250"/>
        </w:trPr>
        <w:tc>
          <w:tcPr>
            <w:tcW w:w="5400" w:type="dxa"/>
            <w:vAlign w:val="bottom"/>
          </w:tcPr>
          <w:p>
            <w:pPr>
              <w:ind w:left="20"/>
              <w:spacing w:after="0"/>
              <w:rPr>
                <w:sz w:val="20"/>
                <w:szCs w:val="20"/>
                <w:color w:val="auto"/>
              </w:rPr>
            </w:pPr>
            <w:r>
              <w:rPr>
                <w:rFonts w:ascii="Arial" w:cs="Arial" w:eastAsia="Arial" w:hAnsi="Arial"/>
                <w:sz w:val="20"/>
                <w:szCs w:val="20"/>
                <w:color w:val="auto"/>
              </w:rPr>
              <w:t>and Results of Operations</w:t>
            </w:r>
          </w:p>
        </w:tc>
        <w:tc>
          <w:tcPr>
            <w:tcW w:w="600" w:type="dxa"/>
            <w:vAlign w:val="bottom"/>
          </w:tcPr>
          <w:p>
            <w:pPr>
              <w:jc w:val="right"/>
              <w:spacing w:after="0"/>
              <w:rPr>
                <w:sz w:val="20"/>
                <w:szCs w:val="20"/>
                <w:color w:val="auto"/>
              </w:rPr>
            </w:pPr>
            <w:r>
              <w:rPr>
                <w:rFonts w:ascii="Arial" w:cs="Arial" w:eastAsia="Arial" w:hAnsi="Arial"/>
                <w:sz w:val="20"/>
                <w:szCs w:val="20"/>
                <w:color w:val="auto"/>
              </w:rPr>
              <w:t>2</w:t>
            </w:r>
          </w:p>
        </w:tc>
      </w:tr>
      <w:tr>
        <w:trPr>
          <w:trHeight w:val="513"/>
        </w:trPr>
        <w:tc>
          <w:tcPr>
            <w:tcW w:w="5400" w:type="dxa"/>
            <w:vAlign w:val="bottom"/>
          </w:tcPr>
          <w:p>
            <w:pPr>
              <w:ind w:left="20"/>
              <w:spacing w:after="0"/>
              <w:rPr>
                <w:sz w:val="20"/>
                <w:szCs w:val="20"/>
                <w:color w:val="auto"/>
              </w:rPr>
            </w:pPr>
            <w:r>
              <w:rPr>
                <w:rFonts w:ascii="Arial" w:cs="Arial" w:eastAsia="Arial" w:hAnsi="Arial"/>
                <w:sz w:val="20"/>
                <w:szCs w:val="20"/>
                <w:color w:val="auto"/>
              </w:rPr>
              <w:t>Information Regarding Forward-Looking Statements</w:t>
            </w:r>
          </w:p>
        </w:tc>
        <w:tc>
          <w:tcPr>
            <w:tcW w:w="600" w:type="dxa"/>
            <w:vAlign w:val="bottom"/>
          </w:tcPr>
          <w:p>
            <w:pPr>
              <w:jc w:val="right"/>
              <w:spacing w:after="0"/>
              <w:rPr>
                <w:sz w:val="20"/>
                <w:szCs w:val="20"/>
                <w:color w:val="auto"/>
              </w:rPr>
            </w:pPr>
            <w:r>
              <w:rPr>
                <w:rFonts w:ascii="Arial" w:cs="Arial" w:eastAsia="Arial" w:hAnsi="Arial"/>
                <w:sz w:val="20"/>
                <w:szCs w:val="20"/>
                <w:color w:val="auto"/>
              </w:rPr>
              <w:t>40</w:t>
            </w:r>
          </w:p>
        </w:tc>
      </w:tr>
      <w:tr>
        <w:trPr>
          <w:trHeight w:val="513"/>
        </w:trPr>
        <w:tc>
          <w:tcPr>
            <w:tcW w:w="5400" w:type="dxa"/>
            <w:vAlign w:val="bottom"/>
          </w:tcPr>
          <w:p>
            <w:pPr>
              <w:ind w:left="20"/>
              <w:spacing w:after="0"/>
              <w:rPr>
                <w:sz w:val="20"/>
                <w:szCs w:val="20"/>
                <w:color w:val="auto"/>
              </w:rPr>
            </w:pPr>
            <w:r>
              <w:rPr>
                <w:rFonts w:ascii="Arial" w:cs="Arial" w:eastAsia="Arial" w:hAnsi="Arial"/>
                <w:sz w:val="20"/>
                <w:szCs w:val="20"/>
                <w:color w:val="auto"/>
              </w:rPr>
              <w:t>Quarterly Common Stock Data</w:t>
            </w:r>
          </w:p>
        </w:tc>
        <w:tc>
          <w:tcPr>
            <w:tcW w:w="600" w:type="dxa"/>
            <w:vAlign w:val="bottom"/>
          </w:tcPr>
          <w:p>
            <w:pPr>
              <w:jc w:val="right"/>
              <w:spacing w:after="0"/>
              <w:rPr>
                <w:sz w:val="20"/>
                <w:szCs w:val="20"/>
                <w:color w:val="auto"/>
              </w:rPr>
            </w:pPr>
            <w:r>
              <w:rPr>
                <w:rFonts w:ascii="Arial" w:cs="Arial" w:eastAsia="Arial" w:hAnsi="Arial"/>
                <w:sz w:val="20"/>
                <w:szCs w:val="20"/>
                <w:color w:val="auto"/>
              </w:rPr>
              <w:t>41</w:t>
            </w:r>
          </w:p>
        </w:tc>
      </w:tr>
      <w:tr>
        <w:trPr>
          <w:trHeight w:val="513"/>
        </w:trPr>
        <w:tc>
          <w:tcPr>
            <w:tcW w:w="5400" w:type="dxa"/>
            <w:vAlign w:val="bottom"/>
          </w:tcPr>
          <w:p>
            <w:pPr>
              <w:ind w:left="20"/>
              <w:spacing w:after="0"/>
              <w:rPr>
                <w:sz w:val="20"/>
                <w:szCs w:val="20"/>
                <w:color w:val="auto"/>
              </w:rPr>
            </w:pPr>
            <w:r>
              <w:rPr>
                <w:rFonts w:ascii="Arial" w:cs="Arial" w:eastAsia="Arial" w:hAnsi="Arial"/>
                <w:sz w:val="20"/>
                <w:szCs w:val="20"/>
                <w:color w:val="auto"/>
                <w:w w:val="97"/>
              </w:rPr>
              <w:t>Performance Graph – Comparative Total Shareholder Returns</w:t>
            </w:r>
          </w:p>
        </w:tc>
        <w:tc>
          <w:tcPr>
            <w:tcW w:w="600" w:type="dxa"/>
            <w:vAlign w:val="bottom"/>
          </w:tcPr>
          <w:p>
            <w:pPr>
              <w:jc w:val="right"/>
              <w:spacing w:after="0"/>
              <w:rPr>
                <w:sz w:val="20"/>
                <w:szCs w:val="20"/>
                <w:color w:val="auto"/>
              </w:rPr>
            </w:pPr>
            <w:r>
              <w:rPr>
                <w:rFonts w:ascii="Arial" w:cs="Arial" w:eastAsia="Arial" w:hAnsi="Arial"/>
                <w:sz w:val="20"/>
                <w:szCs w:val="20"/>
                <w:color w:val="auto"/>
              </w:rPr>
              <w:t>42</w:t>
            </w:r>
          </w:p>
        </w:tc>
      </w:tr>
      <w:tr>
        <w:trPr>
          <w:trHeight w:val="513"/>
        </w:trPr>
        <w:tc>
          <w:tcPr>
            <w:tcW w:w="5400" w:type="dxa"/>
            <w:vAlign w:val="bottom"/>
          </w:tcPr>
          <w:p>
            <w:pPr>
              <w:ind w:left="20"/>
              <w:spacing w:after="0"/>
              <w:rPr>
                <w:sz w:val="20"/>
                <w:szCs w:val="20"/>
                <w:color w:val="auto"/>
              </w:rPr>
            </w:pPr>
            <w:r>
              <w:rPr>
                <w:rFonts w:ascii="Arial" w:cs="Arial" w:eastAsia="Arial" w:hAnsi="Arial"/>
                <w:sz w:val="20"/>
                <w:szCs w:val="20"/>
                <w:color w:val="auto"/>
              </w:rPr>
              <w:t>Five-Year Summary</w:t>
            </w:r>
          </w:p>
        </w:tc>
        <w:tc>
          <w:tcPr>
            <w:tcW w:w="600" w:type="dxa"/>
            <w:vAlign w:val="bottom"/>
          </w:tcPr>
          <w:p>
            <w:pPr>
              <w:jc w:val="right"/>
              <w:spacing w:after="0"/>
              <w:rPr>
                <w:sz w:val="20"/>
                <w:szCs w:val="20"/>
                <w:color w:val="auto"/>
              </w:rPr>
            </w:pPr>
            <w:r>
              <w:rPr>
                <w:rFonts w:ascii="Arial" w:cs="Arial" w:eastAsia="Arial" w:hAnsi="Arial"/>
                <w:sz w:val="20"/>
                <w:szCs w:val="20"/>
                <w:color w:val="auto"/>
              </w:rPr>
              <w:t>43</w:t>
            </w:r>
          </w:p>
        </w:tc>
      </w:tr>
      <w:tr>
        <w:trPr>
          <w:trHeight w:val="513"/>
        </w:trPr>
        <w:tc>
          <w:tcPr>
            <w:tcW w:w="5400" w:type="dxa"/>
            <w:vAlign w:val="bottom"/>
          </w:tcPr>
          <w:p>
            <w:pPr>
              <w:ind w:left="20"/>
              <w:spacing w:after="0"/>
              <w:rPr>
                <w:sz w:val="20"/>
                <w:szCs w:val="20"/>
                <w:color w:val="auto"/>
              </w:rPr>
            </w:pPr>
            <w:r>
              <w:rPr>
                <w:rFonts w:ascii="Arial" w:cs="Arial" w:eastAsia="Arial" w:hAnsi="Arial"/>
                <w:sz w:val="20"/>
                <w:szCs w:val="20"/>
                <w:color w:val="auto"/>
              </w:rPr>
              <w:t>Management’s Responsibility for Financial Statements</w:t>
            </w:r>
          </w:p>
        </w:tc>
        <w:tc>
          <w:tcPr>
            <w:tcW w:w="600" w:type="dxa"/>
            <w:vAlign w:val="bottom"/>
          </w:tcPr>
          <w:p>
            <w:pPr>
              <w:jc w:val="right"/>
              <w:spacing w:after="0"/>
              <w:rPr>
                <w:sz w:val="20"/>
                <w:szCs w:val="20"/>
                <w:color w:val="auto"/>
              </w:rPr>
            </w:pPr>
            <w:r>
              <w:rPr>
                <w:rFonts w:ascii="Arial" w:cs="Arial" w:eastAsia="Arial" w:hAnsi="Arial"/>
                <w:sz w:val="20"/>
                <w:szCs w:val="20"/>
                <w:color w:val="auto"/>
              </w:rPr>
              <w:t>44</w:t>
            </w:r>
          </w:p>
        </w:tc>
      </w:tr>
      <w:tr>
        <w:trPr>
          <w:trHeight w:val="492"/>
        </w:trPr>
        <w:tc>
          <w:tcPr>
            <w:tcW w:w="5400" w:type="dxa"/>
            <w:vAlign w:val="bottom"/>
          </w:tcPr>
          <w:p>
            <w:pPr>
              <w:ind w:left="20"/>
              <w:spacing w:after="0"/>
              <w:rPr>
                <w:sz w:val="20"/>
                <w:szCs w:val="20"/>
                <w:color w:val="auto"/>
              </w:rPr>
            </w:pPr>
            <w:r>
              <w:rPr>
                <w:rFonts w:ascii="Arial" w:cs="Arial" w:eastAsia="Arial" w:hAnsi="Arial"/>
                <w:sz w:val="20"/>
                <w:szCs w:val="20"/>
                <w:color w:val="auto"/>
              </w:rPr>
              <w:t>Management’s Report on Internal Control over Financial</w:t>
            </w:r>
          </w:p>
        </w:tc>
        <w:tc>
          <w:tcPr>
            <w:tcW w:w="600" w:type="dxa"/>
            <w:vAlign w:val="bottom"/>
          </w:tcPr>
          <w:p>
            <w:pPr>
              <w:spacing w:after="0"/>
              <w:rPr>
                <w:sz w:val="24"/>
                <w:szCs w:val="24"/>
                <w:color w:val="auto"/>
              </w:rPr>
            </w:pPr>
          </w:p>
        </w:tc>
      </w:tr>
      <w:tr>
        <w:trPr>
          <w:trHeight w:val="250"/>
        </w:trPr>
        <w:tc>
          <w:tcPr>
            <w:tcW w:w="5400" w:type="dxa"/>
            <w:vAlign w:val="bottom"/>
          </w:tcPr>
          <w:p>
            <w:pPr>
              <w:ind w:left="20"/>
              <w:spacing w:after="0"/>
              <w:rPr>
                <w:sz w:val="20"/>
                <w:szCs w:val="20"/>
                <w:color w:val="auto"/>
              </w:rPr>
            </w:pPr>
            <w:r>
              <w:rPr>
                <w:rFonts w:ascii="Arial" w:cs="Arial" w:eastAsia="Arial" w:hAnsi="Arial"/>
                <w:sz w:val="20"/>
                <w:szCs w:val="20"/>
                <w:color w:val="auto"/>
              </w:rPr>
              <w:t>Reporting</w:t>
            </w:r>
          </w:p>
        </w:tc>
        <w:tc>
          <w:tcPr>
            <w:tcW w:w="600" w:type="dxa"/>
            <w:vAlign w:val="bottom"/>
          </w:tcPr>
          <w:p>
            <w:pPr>
              <w:jc w:val="right"/>
              <w:spacing w:after="0"/>
              <w:rPr>
                <w:sz w:val="20"/>
                <w:szCs w:val="20"/>
                <w:color w:val="auto"/>
              </w:rPr>
            </w:pPr>
            <w:r>
              <w:rPr>
                <w:rFonts w:ascii="Arial" w:cs="Arial" w:eastAsia="Arial" w:hAnsi="Arial"/>
                <w:sz w:val="20"/>
                <w:szCs w:val="20"/>
                <w:color w:val="auto"/>
              </w:rPr>
              <w:t>44</w:t>
            </w:r>
          </w:p>
        </w:tc>
      </w:tr>
      <w:tr>
        <w:trPr>
          <w:trHeight w:val="513"/>
        </w:trPr>
        <w:tc>
          <w:tcPr>
            <w:tcW w:w="5400" w:type="dxa"/>
            <w:vAlign w:val="bottom"/>
          </w:tcPr>
          <w:p>
            <w:pPr>
              <w:ind w:left="20"/>
              <w:spacing w:after="0"/>
              <w:rPr>
                <w:sz w:val="20"/>
                <w:szCs w:val="20"/>
                <w:color w:val="auto"/>
              </w:rPr>
            </w:pPr>
            <w:r>
              <w:rPr>
                <w:rFonts w:ascii="Arial" w:cs="Arial" w:eastAsia="Arial" w:hAnsi="Arial"/>
                <w:sz w:val="20"/>
                <w:szCs w:val="20"/>
                <w:color w:val="auto"/>
              </w:rPr>
              <w:t>Reports of Independent Registered Public Accounting Firm</w:t>
            </w:r>
          </w:p>
        </w:tc>
        <w:tc>
          <w:tcPr>
            <w:tcW w:w="600" w:type="dxa"/>
            <w:vAlign w:val="bottom"/>
          </w:tcPr>
          <w:p>
            <w:pPr>
              <w:jc w:val="right"/>
              <w:spacing w:after="0"/>
              <w:rPr>
                <w:sz w:val="20"/>
                <w:szCs w:val="20"/>
                <w:color w:val="auto"/>
              </w:rPr>
            </w:pPr>
            <w:r>
              <w:rPr>
                <w:rFonts w:ascii="Arial" w:cs="Arial" w:eastAsia="Arial" w:hAnsi="Arial"/>
                <w:sz w:val="20"/>
                <w:szCs w:val="20"/>
                <w:color w:val="auto"/>
              </w:rPr>
              <w:t>45</w:t>
            </w:r>
          </w:p>
        </w:tc>
      </w:tr>
      <w:tr>
        <w:trPr>
          <w:trHeight w:val="513"/>
        </w:trPr>
        <w:tc>
          <w:tcPr>
            <w:tcW w:w="5400" w:type="dxa"/>
            <w:vAlign w:val="bottom"/>
          </w:tcPr>
          <w:p>
            <w:pPr>
              <w:ind w:left="20"/>
              <w:spacing w:after="0"/>
              <w:rPr>
                <w:sz w:val="20"/>
                <w:szCs w:val="20"/>
                <w:color w:val="auto"/>
              </w:rPr>
            </w:pPr>
            <w:r>
              <w:rPr>
                <w:rFonts w:ascii="Arial" w:cs="Arial" w:eastAsia="Arial" w:hAnsi="Arial"/>
                <w:sz w:val="20"/>
                <w:szCs w:val="20"/>
                <w:color w:val="auto"/>
              </w:rPr>
              <w:t>Sempra Energy Consolidated Financial Statements</w:t>
            </w:r>
          </w:p>
        </w:tc>
        <w:tc>
          <w:tcPr>
            <w:tcW w:w="600" w:type="dxa"/>
            <w:vAlign w:val="bottom"/>
          </w:tcPr>
          <w:p>
            <w:pPr>
              <w:jc w:val="right"/>
              <w:spacing w:after="0"/>
              <w:rPr>
                <w:sz w:val="20"/>
                <w:szCs w:val="20"/>
                <w:color w:val="auto"/>
              </w:rPr>
            </w:pPr>
            <w:r>
              <w:rPr>
                <w:rFonts w:ascii="Arial" w:cs="Arial" w:eastAsia="Arial" w:hAnsi="Arial"/>
                <w:sz w:val="20"/>
                <w:szCs w:val="20"/>
                <w:color w:val="auto"/>
              </w:rPr>
              <w:t>48</w:t>
            </w:r>
          </w:p>
        </w:tc>
      </w:tr>
      <w:tr>
        <w:trPr>
          <w:trHeight w:val="513"/>
        </w:trPr>
        <w:tc>
          <w:tcPr>
            <w:tcW w:w="5400" w:type="dxa"/>
            <w:vAlign w:val="bottom"/>
          </w:tcPr>
          <w:p>
            <w:pPr>
              <w:ind w:left="20"/>
              <w:spacing w:after="0"/>
              <w:rPr>
                <w:sz w:val="20"/>
                <w:szCs w:val="20"/>
                <w:color w:val="auto"/>
              </w:rPr>
            </w:pPr>
            <w:r>
              <w:rPr>
                <w:rFonts w:ascii="Arial" w:cs="Arial" w:eastAsia="Arial" w:hAnsi="Arial"/>
                <w:sz w:val="20"/>
                <w:szCs w:val="20"/>
                <w:color w:val="auto"/>
              </w:rPr>
              <w:t>Notes to Consolidated Financial Statements</w:t>
            </w:r>
          </w:p>
        </w:tc>
        <w:tc>
          <w:tcPr>
            <w:tcW w:w="600" w:type="dxa"/>
            <w:vAlign w:val="bottom"/>
          </w:tcPr>
          <w:p>
            <w:pPr>
              <w:jc w:val="right"/>
              <w:spacing w:after="0"/>
              <w:rPr>
                <w:sz w:val="20"/>
                <w:szCs w:val="20"/>
                <w:color w:val="auto"/>
              </w:rPr>
            </w:pPr>
            <w:r>
              <w:rPr>
                <w:rFonts w:ascii="Arial" w:cs="Arial" w:eastAsia="Arial" w:hAnsi="Arial"/>
                <w:sz w:val="20"/>
                <w:szCs w:val="20"/>
                <w:color w:val="auto"/>
              </w:rPr>
              <w:t>54</w:t>
            </w:r>
          </w:p>
        </w:tc>
      </w:tr>
      <w:tr>
        <w:trPr>
          <w:trHeight w:val="273"/>
        </w:trPr>
        <w:tc>
          <w:tcPr>
            <w:tcW w:w="540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0219"/>
          </w:cols>
          <w:pgMar w:left="240" w:top="355" w:right="1440" w:bottom="1440" w:gutter="0" w:footer="0" w:header="0"/>
        </w:sectPr>
      </w:pPr>
    </w:p>
    <w:bookmarkStart w:id="69" w:name="page70"/>
    <w:bookmarkEnd w:id="69"/>
    <w:p>
      <w:pPr>
        <w:jc w:val="center"/>
        <w:ind w:right="380"/>
        <w:spacing w:after="0"/>
        <w:rPr>
          <w:sz w:val="20"/>
          <w:szCs w:val="20"/>
          <w:color w:val="auto"/>
        </w:rPr>
      </w:pPr>
      <w:r>
        <w:rPr>
          <w:rFonts w:ascii="Arial" w:cs="Arial" w:eastAsia="Arial" w:hAnsi="Arial"/>
          <w:sz w:val="20"/>
          <w:szCs w:val="20"/>
          <w:b w:val="1"/>
          <w:bCs w:val="1"/>
          <w:color w:val="auto"/>
        </w:rPr>
        <w:t>MANAGEMENT'S DISCUSSION AND ANALYSIS OF</w:t>
      </w:r>
    </w:p>
    <w:p>
      <w:pPr>
        <w:spacing w:after="0" w:line="22" w:lineRule="exact"/>
        <w:rPr>
          <w:sz w:val="20"/>
          <w:szCs w:val="20"/>
          <w:color w:val="auto"/>
        </w:rPr>
      </w:pPr>
    </w:p>
    <w:p>
      <w:pPr>
        <w:jc w:val="center"/>
        <w:ind w:right="380"/>
        <w:spacing w:after="0"/>
        <w:rPr>
          <w:sz w:val="20"/>
          <w:szCs w:val="20"/>
          <w:color w:val="auto"/>
        </w:rPr>
      </w:pPr>
      <w:r>
        <w:rPr>
          <w:rFonts w:ascii="Arial" w:cs="Arial" w:eastAsia="Arial" w:hAnsi="Arial"/>
          <w:sz w:val="20"/>
          <w:szCs w:val="20"/>
          <w:b w:val="1"/>
          <w:bCs w:val="1"/>
          <w:color w:val="auto"/>
        </w:rPr>
        <w:t>FINANCIAL CONDITION AND RESULTS OF OPERATIONS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INTRODUCTION</w:t>
      </w:r>
    </w:p>
    <w:p>
      <w:pPr>
        <w:spacing w:after="0" w:line="249" w:lineRule="exact"/>
        <w:rPr>
          <w:sz w:val="20"/>
          <w:szCs w:val="20"/>
          <w:color w:val="auto"/>
        </w:rPr>
      </w:pPr>
    </w:p>
    <w:p>
      <w:pPr>
        <w:ind w:right="220"/>
        <w:spacing w:after="0" w:line="244" w:lineRule="auto"/>
        <w:rPr>
          <w:sz w:val="20"/>
          <w:szCs w:val="20"/>
          <w:color w:val="auto"/>
        </w:rPr>
      </w:pPr>
      <w:r>
        <w:rPr>
          <w:rFonts w:ascii="Arial" w:cs="Arial" w:eastAsia="Arial" w:hAnsi="Arial"/>
          <w:sz w:val="20"/>
          <w:szCs w:val="20"/>
          <w:color w:val="auto"/>
        </w:rPr>
        <w:t>This section of the 2007 Annual Report includes management's discussion and analysis of operating results from 2005 through 2007, and provides information about the capital resources, liquidity and financial performance of Sempra Energy and its subsidiaries (collectively referred to as "the company"). This section also focuses on the major factors expected to influence future operating results and discusses investment and financing activities and plans. It should be read in conjunction with the Consolidated Financial Statements included in this Annual Report.</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Sempra Energy</w:t>
      </w:r>
    </w:p>
    <w:p>
      <w:pPr>
        <w:spacing w:after="0" w:line="235" w:lineRule="exact"/>
        <w:rPr>
          <w:sz w:val="20"/>
          <w:szCs w:val="20"/>
          <w:color w:val="auto"/>
        </w:rPr>
      </w:pPr>
    </w:p>
    <w:p>
      <w:pPr>
        <w:ind w:right="840"/>
        <w:spacing w:after="0" w:line="386" w:lineRule="auto"/>
        <w:rPr>
          <w:sz w:val="20"/>
          <w:szCs w:val="20"/>
          <w:color w:val="auto"/>
        </w:rPr>
      </w:pPr>
      <w:r>
        <w:rPr>
          <w:rFonts w:ascii="Arial" w:cs="Arial" w:eastAsia="Arial" w:hAnsi="Arial"/>
          <w:sz w:val="16"/>
          <w:szCs w:val="16"/>
          <w:color w:val="auto"/>
        </w:rPr>
        <w:t>Sempra Energy is a Fortune 500 energy services holding company. Its business units provide electric, natural gas and other energy products and services to its customers. Operations are divided into the Sempra Utilities and Sempra Global, as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80645</wp:posOffset>
            </wp:positionV>
            <wp:extent cx="4742180" cy="35502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742180" cy="3550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Summary descriptions of the operating business units are provided below and further detail is provided throughout this section of the Annual Report.</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160"/>
          </w:cols>
          <w:pgMar w:left="240" w:top="360" w:right="499" w:bottom="1440" w:gutter="0" w:footer="0" w:header="0"/>
        </w:sectPr>
      </w:pPr>
    </w:p>
    <w:bookmarkStart w:id="70" w:name="page71"/>
    <w:bookmarkEnd w:id="70"/>
    <w:p>
      <w:pPr>
        <w:spacing w:after="0"/>
        <w:rPr>
          <w:sz w:val="20"/>
          <w:szCs w:val="20"/>
          <w:color w:val="auto"/>
        </w:rPr>
      </w:pPr>
      <w:r>
        <w:rPr>
          <w:rFonts w:ascii="Arial" w:cs="Arial" w:eastAsia="Arial" w:hAnsi="Arial"/>
          <w:sz w:val="18"/>
          <w:szCs w:val="18"/>
          <w:color w:val="auto"/>
        </w:rPr>
        <w:t>Major 2007 issues, some of which may also affect future years (and the page number where each is discussed), included the following:</w:t>
      </w:r>
    </w:p>
    <w:p>
      <w:pPr>
        <w:spacing w:after="0" w:line="267" w:lineRule="exact"/>
        <w:rPr>
          <w:sz w:val="20"/>
          <w:szCs w:val="20"/>
          <w:color w:val="auto"/>
        </w:rPr>
      </w:pPr>
    </w:p>
    <w:p>
      <w:pPr>
        <w:ind w:left="660" w:right="340" w:hanging="328"/>
        <w:spacing w:after="0" w:line="269" w:lineRule="auto"/>
        <w:tabs>
          <w:tab w:leader="none" w:pos="660" w:val="left"/>
        </w:tabs>
        <w:numPr>
          <w:ilvl w:val="0"/>
          <w:numId w:val="22"/>
        </w:numPr>
        <w:rPr>
          <w:rFonts w:ascii="Arial" w:cs="Arial" w:eastAsia="Arial" w:hAnsi="Arial"/>
          <w:sz w:val="19"/>
          <w:szCs w:val="19"/>
          <w:color w:val="auto"/>
        </w:rPr>
      </w:pPr>
      <w:r>
        <w:rPr>
          <w:rFonts w:ascii="Arial" w:cs="Arial" w:eastAsia="Arial" w:hAnsi="Arial"/>
          <w:sz w:val="19"/>
          <w:szCs w:val="19"/>
          <w:color w:val="auto"/>
        </w:rPr>
        <w:t>Joint venture agreement in 2007 with The Royal Bank of Scotland plc (RBS) to form RBS Sempra Commodities LLP, a partnership of RBS and Sempra Energy, which is expected to purchase and operate Sempra Energy's commodity-marketing businesses (generally comprising the Sempra Commodities segment) (25);</w:t>
      </w:r>
    </w:p>
    <w:p>
      <w:pPr>
        <w:spacing w:after="0" w:line="183" w:lineRule="exact"/>
        <w:rPr>
          <w:rFonts w:ascii="Arial" w:cs="Arial" w:eastAsia="Arial" w:hAnsi="Arial"/>
          <w:sz w:val="19"/>
          <w:szCs w:val="19"/>
          <w:color w:val="auto"/>
        </w:rPr>
      </w:pPr>
    </w:p>
    <w:p>
      <w:pPr>
        <w:ind w:left="660" w:right="20" w:hanging="328"/>
        <w:spacing w:after="0" w:line="260" w:lineRule="auto"/>
        <w:tabs>
          <w:tab w:leader="none" w:pos="660" w:val="left"/>
        </w:tabs>
        <w:numPr>
          <w:ilvl w:val="0"/>
          <w:numId w:val="22"/>
        </w:numPr>
        <w:rPr>
          <w:rFonts w:ascii="Arial" w:cs="Arial" w:eastAsia="Arial" w:hAnsi="Arial"/>
          <w:sz w:val="20"/>
          <w:szCs w:val="20"/>
          <w:color w:val="auto"/>
        </w:rPr>
      </w:pPr>
      <w:r>
        <w:rPr>
          <w:rFonts w:ascii="Arial" w:cs="Arial" w:eastAsia="Arial" w:hAnsi="Arial"/>
          <w:sz w:val="20"/>
          <w:szCs w:val="20"/>
          <w:color w:val="auto"/>
        </w:rPr>
        <w:t>Final regulatory decision increasing San Diego Gas &amp; Electric Company's (SDG&amp;E's) return on equity beginning in 2008 from 10.7 percent to 11.1 percent (110);</w:t>
      </w:r>
    </w:p>
    <w:p>
      <w:pPr>
        <w:spacing w:after="0" w:line="203" w:lineRule="exact"/>
        <w:rPr>
          <w:rFonts w:ascii="Arial" w:cs="Arial" w:eastAsia="Arial" w:hAnsi="Arial"/>
          <w:sz w:val="20"/>
          <w:szCs w:val="20"/>
          <w:color w:val="auto"/>
        </w:rPr>
      </w:pPr>
    </w:p>
    <w:p>
      <w:pPr>
        <w:ind w:left="660" w:hanging="328"/>
        <w:spacing w:after="0"/>
        <w:tabs>
          <w:tab w:leader="none" w:pos="660" w:val="left"/>
        </w:tabs>
        <w:numPr>
          <w:ilvl w:val="0"/>
          <w:numId w:val="22"/>
        </w:numPr>
        <w:rPr>
          <w:rFonts w:ascii="Arial" w:cs="Arial" w:eastAsia="Arial" w:hAnsi="Arial"/>
          <w:sz w:val="20"/>
          <w:szCs w:val="20"/>
          <w:color w:val="auto"/>
        </w:rPr>
      </w:pPr>
      <w:r>
        <w:rPr>
          <w:rFonts w:ascii="Arial" w:cs="Arial" w:eastAsia="Arial" w:hAnsi="Arial"/>
          <w:sz w:val="20"/>
          <w:szCs w:val="20"/>
          <w:color w:val="auto"/>
        </w:rPr>
        <w:t>California Public Utility Commission (CPUC) approval of SDG&amp;E's advanced metering infrastructure project (108);</w:t>
      </w:r>
    </w:p>
    <w:p>
      <w:pPr>
        <w:spacing w:after="0" w:line="242" w:lineRule="exact"/>
        <w:rPr>
          <w:rFonts w:ascii="Arial" w:cs="Arial" w:eastAsia="Arial" w:hAnsi="Arial"/>
          <w:sz w:val="20"/>
          <w:szCs w:val="20"/>
          <w:color w:val="auto"/>
        </w:rPr>
      </w:pPr>
    </w:p>
    <w:p>
      <w:pPr>
        <w:ind w:left="660" w:right="620" w:hanging="328"/>
        <w:spacing w:after="0" w:line="260" w:lineRule="auto"/>
        <w:tabs>
          <w:tab w:leader="none" w:pos="660" w:val="left"/>
        </w:tabs>
        <w:numPr>
          <w:ilvl w:val="0"/>
          <w:numId w:val="22"/>
        </w:numPr>
        <w:rPr>
          <w:rFonts w:ascii="Arial" w:cs="Arial" w:eastAsia="Arial" w:hAnsi="Arial"/>
          <w:sz w:val="20"/>
          <w:szCs w:val="20"/>
          <w:color w:val="auto"/>
        </w:rPr>
      </w:pPr>
      <w:r>
        <w:rPr>
          <w:rFonts w:ascii="Arial" w:cs="Arial" w:eastAsia="Arial" w:hAnsi="Arial"/>
          <w:sz w:val="20"/>
          <w:szCs w:val="20"/>
          <w:color w:val="auto"/>
        </w:rPr>
        <w:t>Expected resolution of the regulatory review process setting rates for 2008 and future years for Southern California Gas Company (SoCalGas) and SDG&amp;E (109);</w:t>
      </w:r>
    </w:p>
    <w:p>
      <w:pPr>
        <w:spacing w:after="0" w:line="190" w:lineRule="exact"/>
        <w:rPr>
          <w:rFonts w:ascii="Arial" w:cs="Arial" w:eastAsia="Arial" w:hAnsi="Arial"/>
          <w:sz w:val="20"/>
          <w:szCs w:val="20"/>
          <w:color w:val="auto"/>
        </w:rPr>
      </w:pPr>
    </w:p>
    <w:p>
      <w:pPr>
        <w:ind w:left="660" w:hanging="328"/>
        <w:spacing w:after="0"/>
        <w:tabs>
          <w:tab w:leader="none" w:pos="660" w:val="left"/>
        </w:tabs>
        <w:numPr>
          <w:ilvl w:val="0"/>
          <w:numId w:val="22"/>
        </w:numPr>
        <w:rPr>
          <w:rFonts w:ascii="Arial" w:cs="Arial" w:eastAsia="Arial" w:hAnsi="Arial"/>
          <w:sz w:val="20"/>
          <w:szCs w:val="20"/>
          <w:color w:val="auto"/>
        </w:rPr>
      </w:pPr>
      <w:r>
        <w:rPr>
          <w:rFonts w:ascii="Arial" w:cs="Arial" w:eastAsia="Arial" w:hAnsi="Arial"/>
          <w:sz w:val="20"/>
          <w:szCs w:val="20"/>
          <w:color w:val="auto"/>
        </w:rPr>
        <w:t>Southern California wildfires (112 and 117);</w:t>
      </w:r>
    </w:p>
    <w:p>
      <w:pPr>
        <w:spacing w:after="0" w:line="242" w:lineRule="exact"/>
        <w:rPr>
          <w:rFonts w:ascii="Arial" w:cs="Arial" w:eastAsia="Arial" w:hAnsi="Arial"/>
          <w:sz w:val="20"/>
          <w:szCs w:val="20"/>
          <w:color w:val="auto"/>
        </w:rPr>
      </w:pPr>
    </w:p>
    <w:p>
      <w:pPr>
        <w:ind w:left="660" w:hanging="328"/>
        <w:spacing w:after="0"/>
        <w:tabs>
          <w:tab w:leader="none" w:pos="660" w:val="left"/>
        </w:tabs>
        <w:numPr>
          <w:ilvl w:val="0"/>
          <w:numId w:val="22"/>
        </w:numPr>
        <w:rPr>
          <w:rFonts w:ascii="Arial" w:cs="Arial" w:eastAsia="Arial" w:hAnsi="Arial"/>
          <w:sz w:val="20"/>
          <w:szCs w:val="20"/>
          <w:color w:val="auto"/>
        </w:rPr>
      </w:pPr>
      <w:r>
        <w:rPr>
          <w:rFonts w:ascii="Arial" w:cs="Arial" w:eastAsia="Arial" w:hAnsi="Arial"/>
          <w:sz w:val="20"/>
          <w:szCs w:val="20"/>
          <w:color w:val="auto"/>
        </w:rPr>
        <w:t>Delay in regulatory review process of SDG&amp;E's proposed Sunrise Powerlink project (106);</w:t>
      </w:r>
    </w:p>
    <w:p>
      <w:pPr>
        <w:spacing w:after="0" w:line="242" w:lineRule="exact"/>
        <w:rPr>
          <w:rFonts w:ascii="Arial" w:cs="Arial" w:eastAsia="Arial" w:hAnsi="Arial"/>
          <w:sz w:val="20"/>
          <w:szCs w:val="20"/>
          <w:color w:val="auto"/>
        </w:rPr>
      </w:pPr>
    </w:p>
    <w:p>
      <w:pPr>
        <w:ind w:left="660" w:hanging="328"/>
        <w:spacing w:after="0"/>
        <w:tabs>
          <w:tab w:leader="none" w:pos="660" w:val="left"/>
        </w:tabs>
        <w:numPr>
          <w:ilvl w:val="0"/>
          <w:numId w:val="22"/>
        </w:numPr>
        <w:rPr>
          <w:rFonts w:ascii="Arial" w:cs="Arial" w:eastAsia="Arial" w:hAnsi="Arial"/>
          <w:sz w:val="20"/>
          <w:szCs w:val="20"/>
          <w:color w:val="auto"/>
        </w:rPr>
      </w:pPr>
      <w:r>
        <w:rPr>
          <w:rFonts w:ascii="Arial" w:cs="Arial" w:eastAsia="Arial" w:hAnsi="Arial"/>
          <w:sz w:val="20"/>
          <w:szCs w:val="20"/>
          <w:color w:val="auto"/>
        </w:rPr>
        <w:t>Near-completion of Sempra LNG's Energía Costa Azul liquefied natural gas (LNG) receipt terminal (27); and</w:t>
      </w:r>
    </w:p>
    <w:p>
      <w:pPr>
        <w:spacing w:after="0" w:line="229" w:lineRule="exact"/>
        <w:rPr>
          <w:rFonts w:ascii="Arial" w:cs="Arial" w:eastAsia="Arial" w:hAnsi="Arial"/>
          <w:sz w:val="20"/>
          <w:szCs w:val="20"/>
          <w:color w:val="auto"/>
        </w:rPr>
      </w:pPr>
    </w:p>
    <w:p>
      <w:pPr>
        <w:ind w:left="660" w:hanging="328"/>
        <w:spacing w:after="0"/>
        <w:tabs>
          <w:tab w:leader="none" w:pos="660" w:val="left"/>
        </w:tabs>
        <w:numPr>
          <w:ilvl w:val="0"/>
          <w:numId w:val="22"/>
        </w:numPr>
        <w:rPr>
          <w:rFonts w:ascii="Arial" w:cs="Arial" w:eastAsia="Arial" w:hAnsi="Arial"/>
          <w:sz w:val="20"/>
          <w:szCs w:val="20"/>
          <w:color w:val="auto"/>
        </w:rPr>
      </w:pPr>
      <w:r>
        <w:rPr>
          <w:rFonts w:ascii="Arial" w:cs="Arial" w:eastAsia="Arial" w:hAnsi="Arial"/>
          <w:sz w:val="20"/>
          <w:szCs w:val="20"/>
          <w:color w:val="auto"/>
        </w:rPr>
        <w:t>Continued development of the Rockies Express Pipeline (REX) (26).</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 Sempra Utilities</w:t>
      </w:r>
    </w:p>
    <w:p>
      <w:pPr>
        <w:spacing w:after="0" w:line="249" w:lineRule="exact"/>
        <w:rPr>
          <w:sz w:val="20"/>
          <w:szCs w:val="20"/>
          <w:color w:val="auto"/>
        </w:rPr>
      </w:pPr>
    </w:p>
    <w:p>
      <w:pPr>
        <w:ind w:right="80"/>
        <w:spacing w:after="0" w:line="246" w:lineRule="auto"/>
        <w:rPr>
          <w:sz w:val="20"/>
          <w:szCs w:val="20"/>
          <w:color w:val="auto"/>
        </w:rPr>
      </w:pPr>
      <w:r>
        <w:rPr>
          <w:rFonts w:ascii="Arial" w:cs="Arial" w:eastAsia="Arial" w:hAnsi="Arial"/>
          <w:sz w:val="20"/>
          <w:szCs w:val="20"/>
          <w:color w:val="auto"/>
        </w:rPr>
        <w:t>SoCalGas and SDG&amp;E (collectively, the Sempra Utilities) serve 23 million consumers from California's Central Valley to the Mexican border. Natural gas service is provided throughout Southern California and portions of central California through 6.5 million meters. Electric service is provided throughout San Diego County and portions of Orange County, both in Southern California, through 1.4 million meters.</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Sempra Global</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Sempra Global is a holding company for most of the subsidiaries of Sempra Energy that are not subject to California utility regulation.</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Sempra Global's principal subsidiaries provide the following energy-related products and services:</w:t>
      </w:r>
    </w:p>
    <w:p>
      <w:pPr>
        <w:spacing w:after="0" w:line="227" w:lineRule="exact"/>
        <w:rPr>
          <w:sz w:val="20"/>
          <w:szCs w:val="20"/>
          <w:color w:val="auto"/>
        </w:rPr>
      </w:pPr>
    </w:p>
    <w:p>
      <w:pPr>
        <w:ind w:left="660" w:hanging="328"/>
        <w:spacing w:after="0" w:line="244" w:lineRule="auto"/>
        <w:tabs>
          <w:tab w:leader="none" w:pos="660" w:val="left"/>
        </w:tabs>
        <w:numPr>
          <w:ilvl w:val="0"/>
          <w:numId w:val="23"/>
        </w:numPr>
        <w:rPr>
          <w:rFonts w:ascii="Arial" w:cs="Arial" w:eastAsia="Arial" w:hAnsi="Arial"/>
          <w:sz w:val="20"/>
          <w:szCs w:val="20"/>
          <w:color w:val="auto"/>
        </w:rPr>
      </w:pPr>
      <w:r>
        <w:rPr>
          <w:rFonts w:ascii="Arial" w:cs="Arial" w:eastAsia="Arial" w:hAnsi="Arial"/>
          <w:sz w:val="20"/>
          <w:szCs w:val="20"/>
          <w:color w:val="auto"/>
        </w:rPr>
        <w:t>Sempra Commodities is primarily a wholesale and retail trader of physical and financial products, including natural gas, power, petroleum and petroleum products, and other commodities; and it is also a trader and wholesaler of base metals. On July 9, 2007, the company entered into an agreement with RBS to form a partnership to purchase and operate the company's commodity-marketing businesses, which generally comprise the Sempra Commodities segment. This agreement is discussed in "Factors Influencing Future Performance."</w:t>
      </w:r>
    </w:p>
    <w:p>
      <w:pPr>
        <w:spacing w:after="0" w:line="221" w:lineRule="exact"/>
        <w:rPr>
          <w:rFonts w:ascii="Arial" w:cs="Arial" w:eastAsia="Arial" w:hAnsi="Arial"/>
          <w:sz w:val="20"/>
          <w:szCs w:val="20"/>
          <w:color w:val="auto"/>
        </w:rPr>
      </w:pPr>
    </w:p>
    <w:p>
      <w:pPr>
        <w:ind w:left="660" w:hanging="328"/>
        <w:spacing w:after="0"/>
        <w:tabs>
          <w:tab w:leader="none" w:pos="660" w:val="left"/>
        </w:tabs>
        <w:numPr>
          <w:ilvl w:val="0"/>
          <w:numId w:val="23"/>
        </w:numPr>
        <w:rPr>
          <w:rFonts w:ascii="Arial" w:cs="Arial" w:eastAsia="Arial" w:hAnsi="Arial"/>
          <w:sz w:val="20"/>
          <w:szCs w:val="20"/>
          <w:color w:val="auto"/>
        </w:rPr>
      </w:pPr>
      <w:r>
        <w:rPr>
          <w:rFonts w:ascii="Arial" w:cs="Arial" w:eastAsia="Arial" w:hAnsi="Arial"/>
          <w:sz w:val="20"/>
          <w:szCs w:val="20"/>
          <w:color w:val="auto"/>
        </w:rPr>
        <w:t>Sempra Generation develops, owns and operates electric generation facilities.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0760"/>
          </w:cols>
          <w:pgMar w:left="240" w:top="122" w:right="899" w:bottom="1440" w:gutter="0" w:footer="0" w:header="0"/>
        </w:sectPr>
      </w:pPr>
    </w:p>
    <w:bookmarkStart w:id="71" w:name="page72"/>
    <w:bookmarkEnd w:id="71"/>
    <w:p>
      <w:pPr>
        <w:ind w:left="660" w:right="1320" w:hanging="328"/>
        <w:spacing w:after="0" w:line="260" w:lineRule="auto"/>
        <w:tabs>
          <w:tab w:leader="none" w:pos="660" w:val="left"/>
        </w:tabs>
        <w:numPr>
          <w:ilvl w:val="0"/>
          <w:numId w:val="24"/>
        </w:numPr>
        <w:rPr>
          <w:rFonts w:ascii="Arial" w:cs="Arial" w:eastAsia="Arial" w:hAnsi="Arial"/>
          <w:sz w:val="20"/>
          <w:szCs w:val="20"/>
          <w:color w:val="auto"/>
        </w:rPr>
      </w:pPr>
      <w:r>
        <w:rPr>
          <w:rFonts w:ascii="Arial" w:cs="Arial" w:eastAsia="Arial" w:hAnsi="Arial"/>
          <w:sz w:val="20"/>
          <w:szCs w:val="20"/>
          <w:color w:val="auto"/>
        </w:rPr>
        <w:t>Sempra LNG is developing receipt terminals for the importation of LNG and has an agreement to supply natural gas to Mexico's government-owned electric utility.</w:t>
      </w:r>
    </w:p>
    <w:p>
      <w:pPr>
        <w:spacing w:after="0" w:line="190" w:lineRule="exact"/>
        <w:rPr>
          <w:rFonts w:ascii="Arial" w:cs="Arial" w:eastAsia="Arial" w:hAnsi="Arial"/>
          <w:sz w:val="20"/>
          <w:szCs w:val="20"/>
          <w:color w:val="auto"/>
        </w:rPr>
      </w:pPr>
    </w:p>
    <w:p>
      <w:pPr>
        <w:ind w:left="660" w:right="940" w:hanging="328"/>
        <w:spacing w:after="0" w:line="246" w:lineRule="auto"/>
        <w:tabs>
          <w:tab w:leader="none" w:pos="660" w:val="left"/>
        </w:tabs>
        <w:numPr>
          <w:ilvl w:val="0"/>
          <w:numId w:val="24"/>
        </w:numPr>
        <w:rPr>
          <w:rFonts w:ascii="Arial" w:cs="Arial" w:eastAsia="Arial" w:hAnsi="Arial"/>
          <w:sz w:val="20"/>
          <w:szCs w:val="20"/>
          <w:color w:val="auto"/>
        </w:rPr>
      </w:pPr>
      <w:r>
        <w:rPr>
          <w:rFonts w:ascii="Arial" w:cs="Arial" w:eastAsia="Arial" w:hAnsi="Arial"/>
          <w:sz w:val="20"/>
          <w:szCs w:val="20"/>
          <w:color w:val="auto"/>
        </w:rPr>
        <w:t>Sempra Pipelines &amp; Storage develops and owns natural gas pipelines and storage facilities in the United States and Mexico, and holds interests in companies that provide natural gas or electricity services in Argentina, Chile, Mexico and Peru. The company is currently pursuing the sale of its interests in the Argentine utilities, as discussed in Note 4 of the Notes to Consolidated Financial Statements.</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RESULTS OF OPERATIONS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Overall Operations</w:t>
      </w:r>
    </w:p>
    <w:p>
      <w:pPr>
        <w:spacing w:after="0" w:line="249" w:lineRule="exact"/>
        <w:rPr>
          <w:sz w:val="20"/>
          <w:szCs w:val="20"/>
          <w:color w:val="auto"/>
        </w:rPr>
      </w:pPr>
    </w:p>
    <w:p>
      <w:pPr>
        <w:ind w:right="620"/>
        <w:spacing w:after="0" w:line="269" w:lineRule="auto"/>
        <w:rPr>
          <w:sz w:val="20"/>
          <w:szCs w:val="20"/>
          <w:color w:val="auto"/>
        </w:rPr>
      </w:pPr>
      <w:r>
        <w:rPr>
          <w:rFonts w:ascii="Arial" w:cs="Arial" w:eastAsia="Arial" w:hAnsi="Arial"/>
          <w:sz w:val="19"/>
          <w:szCs w:val="19"/>
          <w:color w:val="auto"/>
        </w:rPr>
        <w:t>Income from continuing operations for 2007 increased by $34 million (3%) over 2006 to $1.125 billion primarily due to higher earnings from SDG&amp;E. In 2006, a $221 million after-tax impairment of Sempra Pipelines &amp; Storage's Argentine investments was offset by a $204 million after-tax gain from Sempra Generation's sale of its investment in Topaz Power Partners (Topaz).</w:t>
      </w:r>
    </w:p>
    <w:p>
      <w:pPr>
        <w:spacing w:after="0" w:line="197"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Net income was $1.1 billion in 2007, 22 percent lower than 2006 results. Results for 2006 included $315 million in after-tax income from discontinued operations primarily due to asset sales. Diluted earnings per share was $4.16, a decrease of 23 percent. The decrease in net income primarily resulted from higher income from discontinued operations in 2006 due to asset sales. The asset sales are discussed further in Note 5 of the Notes to Consolidated Financial Statements.</w:t>
      </w:r>
    </w:p>
    <w:p>
      <w:pPr>
        <w:spacing w:after="0" w:line="219" w:lineRule="exact"/>
        <w:rPr>
          <w:sz w:val="20"/>
          <w:szCs w:val="20"/>
          <w:color w:val="auto"/>
        </w:rPr>
      </w:pPr>
    </w:p>
    <w:p>
      <w:pPr>
        <w:ind w:right="40"/>
        <w:spacing w:after="0" w:line="246" w:lineRule="auto"/>
        <w:rPr>
          <w:sz w:val="20"/>
          <w:szCs w:val="20"/>
          <w:color w:val="auto"/>
        </w:rPr>
      </w:pPr>
      <w:r>
        <w:rPr>
          <w:rFonts w:ascii="Arial" w:cs="Arial" w:eastAsia="Arial" w:hAnsi="Arial"/>
          <w:sz w:val="20"/>
          <w:szCs w:val="20"/>
          <w:color w:val="auto"/>
        </w:rPr>
        <w:t>Net income increased $486 million (53%) in 2006 compared to 2005, primarily due to 2006 asset sales, partially offset by the 2006 impairment of Argentine investments. The results for 2005 included litigation expense of $311 million related to a settlement of matters arising from the 2000 - 2001 California energy crisis, partially offset by $156 million related to the favorable resolution of prior years' income tax issues. Additional information is provided in "Business Unit Results" below.</w:t>
      </w:r>
    </w:p>
    <w:p>
      <w:pPr>
        <w:spacing w:after="0" w:line="219"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shows income from continuing operations, net income and diluted earnings per share for each of the last five years.</w:t>
      </w:r>
    </w:p>
    <w:p>
      <w:pPr>
        <w:spacing w:after="0" w:line="297" w:lineRule="exact"/>
        <w:rPr>
          <w:sz w:val="20"/>
          <w:szCs w:val="20"/>
          <w:color w:val="auto"/>
        </w:rPr>
      </w:pPr>
    </w:p>
    <w:tbl>
      <w:tblPr>
        <w:tblLayout w:type="fixed"/>
        <w:tblInd w:w="1380" w:type="dxa"/>
        <w:tblCellMar>
          <w:top w:w="0" w:type="dxa"/>
          <w:left w:w="0" w:type="dxa"/>
          <w:bottom w:w="0" w:type="dxa"/>
          <w:right w:w="0" w:type="dxa"/>
        </w:tblCellMar>
      </w:tblPr>
      <w:tr>
        <w:trPr>
          <w:trHeight w:val="216"/>
        </w:trPr>
        <w:tc>
          <w:tcPr>
            <w:tcW w:w="2340" w:type="dxa"/>
            <w:vAlign w:val="bottom"/>
          </w:tcPr>
          <w:p>
            <w:pPr>
              <w:ind w:left="20"/>
              <w:spacing w:after="0"/>
              <w:rPr>
                <w:sz w:val="20"/>
                <w:szCs w:val="20"/>
                <w:color w:val="auto"/>
              </w:rPr>
            </w:pPr>
            <w:r>
              <w:rPr>
                <w:rFonts w:ascii="Arial" w:cs="Arial" w:eastAsia="Arial" w:hAnsi="Arial"/>
                <w:sz w:val="18"/>
                <w:szCs w:val="18"/>
                <w:color w:val="auto"/>
              </w:rPr>
              <w:t>(Dollars in millions,</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Income from Continuing</w:t>
            </w:r>
          </w:p>
        </w:tc>
        <w:tc>
          <w:tcPr>
            <w:tcW w:w="7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Diluted</w:t>
            </w:r>
          </w:p>
        </w:tc>
      </w:tr>
      <w:tr>
        <w:trPr>
          <w:trHeight w:val="237"/>
        </w:trPr>
        <w:tc>
          <w:tcPr>
            <w:tcW w:w="2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except per share amounts)</w:t>
            </w:r>
          </w:p>
        </w:tc>
        <w:tc>
          <w:tcPr>
            <w:tcW w:w="22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Operations</w:t>
            </w:r>
          </w:p>
        </w:tc>
        <w:tc>
          <w:tcPr>
            <w:tcW w:w="7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8"/>
                <w:szCs w:val="18"/>
                <w:color w:val="auto"/>
              </w:rPr>
              <w:t>Net Income</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Earnings Per Share</w:t>
            </w:r>
          </w:p>
        </w:tc>
      </w:tr>
      <w:tr>
        <w:trPr>
          <w:trHeight w:val="230"/>
        </w:trPr>
        <w:tc>
          <w:tcPr>
            <w:tcW w:w="2340" w:type="dxa"/>
            <w:vAlign w:val="bottom"/>
          </w:tcPr>
          <w:p>
            <w:pPr>
              <w:ind w:left="20"/>
              <w:spacing w:after="0"/>
              <w:rPr>
                <w:sz w:val="20"/>
                <w:szCs w:val="20"/>
                <w:color w:val="auto"/>
              </w:rPr>
            </w:pPr>
            <w:r>
              <w:rPr>
                <w:rFonts w:ascii="Arial" w:cs="Arial" w:eastAsia="Arial" w:hAnsi="Arial"/>
                <w:sz w:val="18"/>
                <w:szCs w:val="18"/>
                <w:color w:val="auto"/>
              </w:rPr>
              <w:t>2007</w:t>
            </w:r>
          </w:p>
        </w:tc>
        <w:tc>
          <w:tcPr>
            <w:tcW w:w="17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3"/>
              </w:rPr>
              <w:t>1,125</w:t>
            </w:r>
          </w:p>
        </w:tc>
        <w:tc>
          <w:tcPr>
            <w:tcW w:w="7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50"/>
              <w:spacing w:after="0"/>
              <w:rPr>
                <w:sz w:val="20"/>
                <w:szCs w:val="20"/>
                <w:color w:val="auto"/>
              </w:rPr>
            </w:pPr>
            <w:r>
              <w:rPr>
                <w:rFonts w:ascii="Arial" w:cs="Arial" w:eastAsia="Arial" w:hAnsi="Arial"/>
                <w:sz w:val="18"/>
                <w:szCs w:val="18"/>
                <w:color w:val="auto"/>
                <w:w w:val="88"/>
              </w:rPr>
              <w:t>1,099</w:t>
            </w:r>
          </w:p>
        </w:tc>
        <w:tc>
          <w:tcPr>
            <w:tcW w:w="1620" w:type="dxa"/>
            <w:vAlign w:val="bottom"/>
          </w:tcPr>
          <w:p>
            <w:pPr>
              <w:jc w:val="right"/>
              <w:spacing w:after="0"/>
              <w:rPr>
                <w:sz w:val="20"/>
                <w:szCs w:val="20"/>
                <w:color w:val="auto"/>
              </w:rPr>
            </w:pPr>
            <w:r>
              <w:rPr>
                <w:rFonts w:ascii="Arial" w:cs="Arial" w:eastAsia="Arial" w:hAnsi="Arial"/>
                <w:sz w:val="18"/>
                <w:szCs w:val="18"/>
                <w:color w:val="auto"/>
              </w:rPr>
              <w:t>$ 4.16</w:t>
            </w:r>
          </w:p>
        </w:tc>
      </w:tr>
      <w:tr>
        <w:trPr>
          <w:trHeight w:val="242"/>
        </w:trPr>
        <w:tc>
          <w:tcPr>
            <w:tcW w:w="2340" w:type="dxa"/>
            <w:vAlign w:val="bottom"/>
          </w:tcPr>
          <w:p>
            <w:pPr>
              <w:ind w:left="20"/>
              <w:spacing w:after="0"/>
              <w:rPr>
                <w:sz w:val="20"/>
                <w:szCs w:val="20"/>
                <w:color w:val="auto"/>
              </w:rPr>
            </w:pPr>
            <w:r>
              <w:rPr>
                <w:rFonts w:ascii="Arial" w:cs="Arial" w:eastAsia="Arial" w:hAnsi="Arial"/>
                <w:sz w:val="18"/>
                <w:szCs w:val="18"/>
                <w:color w:val="auto"/>
              </w:rPr>
              <w:t>2006</w:t>
            </w:r>
          </w:p>
        </w:tc>
        <w:tc>
          <w:tcPr>
            <w:tcW w:w="17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3"/>
              </w:rPr>
              <w:t>1,091</w:t>
            </w:r>
          </w:p>
        </w:tc>
        <w:tc>
          <w:tcPr>
            <w:tcW w:w="7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50"/>
              <w:spacing w:after="0"/>
              <w:rPr>
                <w:sz w:val="20"/>
                <w:szCs w:val="20"/>
                <w:color w:val="auto"/>
              </w:rPr>
            </w:pPr>
            <w:r>
              <w:rPr>
                <w:rFonts w:ascii="Arial" w:cs="Arial" w:eastAsia="Arial" w:hAnsi="Arial"/>
                <w:sz w:val="18"/>
                <w:szCs w:val="18"/>
                <w:color w:val="auto"/>
                <w:w w:val="88"/>
              </w:rPr>
              <w:t>1,406</w:t>
            </w:r>
          </w:p>
        </w:tc>
        <w:tc>
          <w:tcPr>
            <w:tcW w:w="1620" w:type="dxa"/>
            <w:vAlign w:val="bottom"/>
          </w:tcPr>
          <w:p>
            <w:pPr>
              <w:jc w:val="right"/>
              <w:spacing w:after="0"/>
              <w:rPr>
                <w:sz w:val="20"/>
                <w:szCs w:val="20"/>
                <w:color w:val="auto"/>
              </w:rPr>
            </w:pPr>
            <w:r>
              <w:rPr>
                <w:rFonts w:ascii="Arial" w:cs="Arial" w:eastAsia="Arial" w:hAnsi="Arial"/>
                <w:sz w:val="18"/>
                <w:szCs w:val="18"/>
                <w:color w:val="auto"/>
              </w:rPr>
              <w:t>$ 5.38</w:t>
            </w:r>
          </w:p>
        </w:tc>
      </w:tr>
      <w:tr>
        <w:trPr>
          <w:trHeight w:val="243"/>
        </w:trPr>
        <w:tc>
          <w:tcPr>
            <w:tcW w:w="2340" w:type="dxa"/>
            <w:vAlign w:val="bottom"/>
          </w:tcPr>
          <w:p>
            <w:pPr>
              <w:ind w:left="20"/>
              <w:spacing w:after="0"/>
              <w:rPr>
                <w:sz w:val="20"/>
                <w:szCs w:val="20"/>
                <w:color w:val="auto"/>
              </w:rPr>
            </w:pPr>
            <w:r>
              <w:rPr>
                <w:rFonts w:ascii="Arial" w:cs="Arial" w:eastAsia="Arial" w:hAnsi="Arial"/>
                <w:sz w:val="18"/>
                <w:szCs w:val="18"/>
                <w:color w:val="auto"/>
              </w:rPr>
              <w:t>2005</w:t>
            </w:r>
          </w:p>
        </w:tc>
        <w:tc>
          <w:tcPr>
            <w:tcW w:w="17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913</w:t>
            </w:r>
          </w:p>
        </w:tc>
        <w:tc>
          <w:tcPr>
            <w:tcW w:w="7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50"/>
              <w:spacing w:after="0"/>
              <w:rPr>
                <w:sz w:val="20"/>
                <w:szCs w:val="20"/>
                <w:color w:val="auto"/>
              </w:rPr>
            </w:pPr>
            <w:r>
              <w:rPr>
                <w:rFonts w:ascii="Arial" w:cs="Arial" w:eastAsia="Arial" w:hAnsi="Arial"/>
                <w:sz w:val="18"/>
                <w:szCs w:val="18"/>
                <w:color w:val="auto"/>
              </w:rPr>
              <w:t>920</w:t>
            </w:r>
          </w:p>
        </w:tc>
        <w:tc>
          <w:tcPr>
            <w:tcW w:w="1620" w:type="dxa"/>
            <w:vAlign w:val="bottom"/>
          </w:tcPr>
          <w:p>
            <w:pPr>
              <w:jc w:val="right"/>
              <w:spacing w:after="0"/>
              <w:rPr>
                <w:sz w:val="20"/>
                <w:szCs w:val="20"/>
                <w:color w:val="auto"/>
              </w:rPr>
            </w:pPr>
            <w:r>
              <w:rPr>
                <w:rFonts w:ascii="Arial" w:cs="Arial" w:eastAsia="Arial" w:hAnsi="Arial"/>
                <w:sz w:val="18"/>
                <w:szCs w:val="18"/>
                <w:color w:val="auto"/>
              </w:rPr>
              <w:t>$ 3.65</w:t>
            </w:r>
          </w:p>
        </w:tc>
      </w:tr>
      <w:tr>
        <w:trPr>
          <w:trHeight w:val="243"/>
        </w:trPr>
        <w:tc>
          <w:tcPr>
            <w:tcW w:w="2340" w:type="dxa"/>
            <w:vAlign w:val="bottom"/>
          </w:tcPr>
          <w:p>
            <w:pPr>
              <w:ind w:left="20"/>
              <w:spacing w:after="0"/>
              <w:rPr>
                <w:sz w:val="20"/>
                <w:szCs w:val="20"/>
                <w:color w:val="auto"/>
              </w:rPr>
            </w:pPr>
            <w:r>
              <w:rPr>
                <w:rFonts w:ascii="Arial" w:cs="Arial" w:eastAsia="Arial" w:hAnsi="Arial"/>
                <w:sz w:val="18"/>
                <w:szCs w:val="18"/>
                <w:color w:val="auto"/>
              </w:rPr>
              <w:t>2004</w:t>
            </w:r>
          </w:p>
        </w:tc>
        <w:tc>
          <w:tcPr>
            <w:tcW w:w="17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915</w:t>
            </w:r>
          </w:p>
        </w:tc>
        <w:tc>
          <w:tcPr>
            <w:tcW w:w="7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50"/>
              <w:spacing w:after="0"/>
              <w:rPr>
                <w:sz w:val="20"/>
                <w:szCs w:val="20"/>
                <w:color w:val="auto"/>
              </w:rPr>
            </w:pPr>
            <w:r>
              <w:rPr>
                <w:rFonts w:ascii="Arial" w:cs="Arial" w:eastAsia="Arial" w:hAnsi="Arial"/>
                <w:sz w:val="18"/>
                <w:szCs w:val="18"/>
                <w:color w:val="auto"/>
              </w:rPr>
              <w:t>895</w:t>
            </w:r>
          </w:p>
        </w:tc>
        <w:tc>
          <w:tcPr>
            <w:tcW w:w="1620" w:type="dxa"/>
            <w:vAlign w:val="bottom"/>
          </w:tcPr>
          <w:p>
            <w:pPr>
              <w:jc w:val="right"/>
              <w:spacing w:after="0"/>
              <w:rPr>
                <w:sz w:val="20"/>
                <w:szCs w:val="20"/>
                <w:color w:val="auto"/>
              </w:rPr>
            </w:pPr>
            <w:r>
              <w:rPr>
                <w:rFonts w:ascii="Arial" w:cs="Arial" w:eastAsia="Arial" w:hAnsi="Arial"/>
                <w:sz w:val="18"/>
                <w:szCs w:val="18"/>
                <w:color w:val="auto"/>
              </w:rPr>
              <w:t>$ 3.83</w:t>
            </w:r>
          </w:p>
        </w:tc>
      </w:tr>
      <w:tr>
        <w:trPr>
          <w:trHeight w:val="243"/>
        </w:trPr>
        <w:tc>
          <w:tcPr>
            <w:tcW w:w="2340" w:type="dxa"/>
            <w:vAlign w:val="bottom"/>
          </w:tcPr>
          <w:p>
            <w:pPr>
              <w:ind w:left="20"/>
              <w:spacing w:after="0"/>
              <w:rPr>
                <w:sz w:val="20"/>
                <w:szCs w:val="20"/>
                <w:color w:val="auto"/>
              </w:rPr>
            </w:pPr>
            <w:r>
              <w:rPr>
                <w:rFonts w:ascii="Arial" w:cs="Arial" w:eastAsia="Arial" w:hAnsi="Arial"/>
                <w:sz w:val="18"/>
                <w:szCs w:val="18"/>
                <w:color w:val="auto"/>
              </w:rPr>
              <w:t>2003</w:t>
            </w:r>
          </w:p>
        </w:tc>
        <w:tc>
          <w:tcPr>
            <w:tcW w:w="17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745</w:t>
            </w:r>
          </w:p>
        </w:tc>
        <w:tc>
          <w:tcPr>
            <w:tcW w:w="74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50"/>
              <w:spacing w:after="0"/>
              <w:rPr>
                <w:sz w:val="20"/>
                <w:szCs w:val="20"/>
                <w:color w:val="auto"/>
              </w:rPr>
            </w:pPr>
            <w:r>
              <w:rPr>
                <w:rFonts w:ascii="Arial" w:cs="Arial" w:eastAsia="Arial" w:hAnsi="Arial"/>
                <w:sz w:val="18"/>
                <w:szCs w:val="18"/>
                <w:color w:val="auto"/>
              </w:rPr>
              <w:t>649</w:t>
            </w:r>
          </w:p>
        </w:tc>
        <w:tc>
          <w:tcPr>
            <w:tcW w:w="1620" w:type="dxa"/>
            <w:vAlign w:val="bottom"/>
          </w:tcPr>
          <w:p>
            <w:pPr>
              <w:jc w:val="right"/>
              <w:spacing w:after="0"/>
              <w:rPr>
                <w:sz w:val="20"/>
                <w:szCs w:val="20"/>
                <w:color w:val="auto"/>
              </w:rPr>
            </w:pPr>
            <w:r>
              <w:rPr>
                <w:rFonts w:ascii="Arial" w:cs="Arial" w:eastAsia="Arial" w:hAnsi="Arial"/>
                <w:sz w:val="18"/>
                <w:szCs w:val="18"/>
                <w:color w:val="auto"/>
              </w:rPr>
              <w:t>$ 3.03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8890</wp:posOffset>
            </wp:positionV>
            <wp:extent cx="5497195"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497195" cy="26035"/>
                    </a:xfrm>
                    <a:prstGeom prst="rect">
                      <a:avLst/>
                    </a:prstGeom>
                    <a:noFill/>
                  </pic:spPr>
                </pic:pic>
              </a:graphicData>
            </a:graphic>
          </wp:anchor>
        </w:drawing>
      </w:r>
    </w:p>
    <w:p>
      <w:pPr>
        <w:spacing w:after="0" w:line="33"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 Before cumulative effect of changes in accounting principles.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400"/>
          </w:cols>
          <w:pgMar w:left="240" w:top="366" w:right="259" w:bottom="1440" w:gutter="0" w:footer="0" w:header="0"/>
        </w:sectPr>
      </w:pPr>
    </w:p>
    <w:bookmarkStart w:id="72" w:name="page73"/>
    <w:bookmarkEnd w:id="72"/>
    <w:p>
      <w:pPr>
        <w:spacing w:after="0"/>
        <w:rPr>
          <w:sz w:val="20"/>
          <w:szCs w:val="20"/>
          <w:color w:val="auto"/>
        </w:rPr>
      </w:pPr>
      <w:r>
        <w:rPr>
          <w:rFonts w:ascii="Arial" w:cs="Arial" w:eastAsia="Arial" w:hAnsi="Arial"/>
          <w:sz w:val="20"/>
          <w:szCs w:val="20"/>
          <w:b w:val="1"/>
          <w:bCs w:val="1"/>
          <w:color w:val="auto"/>
        </w:rPr>
        <w:t>Net Income (Loss) by Business Unit</w:t>
      </w:r>
    </w:p>
    <w:p>
      <w:pPr>
        <w:spacing w:after="0" w:line="293" w:lineRule="exact"/>
        <w:rPr>
          <w:sz w:val="20"/>
          <w:szCs w:val="20"/>
          <w:color w:val="auto"/>
        </w:rPr>
      </w:pPr>
    </w:p>
    <w:tbl>
      <w:tblPr>
        <w:tblLayout w:type="fixed"/>
        <w:tblInd w:w="1220" w:type="dxa"/>
        <w:tblCellMar>
          <w:top w:w="0" w:type="dxa"/>
          <w:left w:w="0" w:type="dxa"/>
          <w:bottom w:w="0" w:type="dxa"/>
          <w:right w:w="0" w:type="dxa"/>
        </w:tblCellMar>
      </w:tblPr>
      <w:tr>
        <w:trPr>
          <w:trHeight w:val="237"/>
        </w:trPr>
        <w:tc>
          <w:tcPr>
            <w:tcW w:w="33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color w:val="auto"/>
                <w:w w:val="89"/>
              </w:rPr>
              <w:t>Years ended December 31,</w:t>
            </w:r>
          </w:p>
        </w:tc>
        <w:tc>
          <w:tcPr>
            <w:tcW w:w="3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r>
      <w:tr>
        <w:trPr>
          <w:trHeight w:val="237"/>
        </w:trPr>
        <w:tc>
          <w:tcPr>
            <w:tcW w:w="3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(Dollars in millions)</w:t>
            </w:r>
          </w:p>
        </w:tc>
        <w:tc>
          <w:tcPr>
            <w:tcW w:w="3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2007</w:t>
            </w:r>
          </w:p>
        </w:tc>
        <w:tc>
          <w:tcPr>
            <w:tcW w:w="6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2006</w:t>
            </w:r>
          </w:p>
        </w:tc>
        <w:tc>
          <w:tcPr>
            <w:tcW w:w="8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2005</w:t>
            </w:r>
          </w:p>
        </w:tc>
        <w:tc>
          <w:tcPr>
            <w:tcW w:w="600" w:type="dxa"/>
            <w:vAlign w:val="bottom"/>
            <w:tcBorders>
              <w:bottom w:val="single" w:sz="8" w:color="auto"/>
            </w:tcBorders>
          </w:tcPr>
          <w:p>
            <w:pPr>
              <w:spacing w:after="0"/>
              <w:rPr>
                <w:sz w:val="20"/>
                <w:szCs w:val="20"/>
                <w:color w:val="auto"/>
              </w:rPr>
            </w:pPr>
          </w:p>
        </w:tc>
      </w:tr>
      <w:tr>
        <w:trPr>
          <w:trHeight w:val="230"/>
        </w:trPr>
        <w:tc>
          <w:tcPr>
            <w:tcW w:w="3320" w:type="dxa"/>
            <w:vAlign w:val="bottom"/>
          </w:tcPr>
          <w:p>
            <w:pPr>
              <w:spacing w:after="0"/>
              <w:rPr>
                <w:sz w:val="20"/>
                <w:szCs w:val="20"/>
                <w:color w:val="auto"/>
              </w:rPr>
            </w:pPr>
            <w:r>
              <w:rPr>
                <w:rFonts w:ascii="Arial" w:cs="Arial" w:eastAsia="Arial" w:hAnsi="Arial"/>
                <w:sz w:val="18"/>
                <w:szCs w:val="18"/>
                <w:color w:val="auto"/>
              </w:rPr>
              <w:t>Sempra Utilities</w:t>
            </w: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242"/>
        </w:trPr>
        <w:tc>
          <w:tcPr>
            <w:tcW w:w="3320" w:type="dxa"/>
            <w:vAlign w:val="bottom"/>
          </w:tcPr>
          <w:p>
            <w:pPr>
              <w:ind w:left="100"/>
              <w:spacing w:after="0"/>
              <w:rPr>
                <w:sz w:val="20"/>
                <w:szCs w:val="20"/>
                <w:color w:val="auto"/>
              </w:rPr>
            </w:pPr>
            <w:r>
              <w:rPr>
                <w:rFonts w:ascii="Arial" w:cs="Arial" w:eastAsia="Arial" w:hAnsi="Arial"/>
                <w:sz w:val="18"/>
                <w:szCs w:val="18"/>
                <w:color w:val="auto"/>
              </w:rPr>
              <w:t>Southern California Gas Company*</w:t>
            </w: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230</w:t>
            </w:r>
          </w:p>
        </w:tc>
        <w:tc>
          <w:tcPr>
            <w:tcW w:w="600" w:type="dxa"/>
            <w:vAlign w:val="bottom"/>
          </w:tcPr>
          <w:p>
            <w:pPr>
              <w:jc w:val="right"/>
              <w:spacing w:after="0"/>
              <w:rPr>
                <w:sz w:val="20"/>
                <w:szCs w:val="20"/>
                <w:color w:val="auto"/>
              </w:rPr>
            </w:pPr>
            <w:r>
              <w:rPr>
                <w:rFonts w:ascii="Arial" w:cs="Arial" w:eastAsia="Arial" w:hAnsi="Arial"/>
                <w:sz w:val="18"/>
                <w:szCs w:val="18"/>
                <w:color w:val="auto"/>
              </w:rPr>
              <w:t>21 %</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223</w:t>
            </w: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16 %</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290"/>
              <w:spacing w:after="0"/>
              <w:rPr>
                <w:sz w:val="20"/>
                <w:szCs w:val="20"/>
                <w:color w:val="auto"/>
              </w:rPr>
            </w:pPr>
            <w:r>
              <w:rPr>
                <w:rFonts w:ascii="Arial" w:cs="Arial" w:eastAsia="Arial" w:hAnsi="Arial"/>
                <w:sz w:val="18"/>
                <w:szCs w:val="18"/>
                <w:color w:val="auto"/>
              </w:rPr>
              <w:t>211</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23 %</w:t>
            </w:r>
          </w:p>
        </w:tc>
      </w:tr>
      <w:tr>
        <w:trPr>
          <w:trHeight w:val="257"/>
        </w:trPr>
        <w:tc>
          <w:tcPr>
            <w:tcW w:w="3320" w:type="dxa"/>
            <w:vAlign w:val="bottom"/>
          </w:tcPr>
          <w:p>
            <w:pPr>
              <w:ind w:left="100"/>
              <w:spacing w:after="0"/>
              <w:rPr>
                <w:sz w:val="20"/>
                <w:szCs w:val="20"/>
                <w:color w:val="auto"/>
              </w:rPr>
            </w:pPr>
            <w:r>
              <w:rPr>
                <w:rFonts w:ascii="Arial" w:cs="Arial" w:eastAsia="Arial" w:hAnsi="Arial"/>
                <w:sz w:val="18"/>
                <w:szCs w:val="18"/>
                <w:color w:val="auto"/>
              </w:rPr>
              <w:t>San Diego Gas &amp; Electric Company*</w:t>
            </w:r>
          </w:p>
        </w:tc>
        <w:tc>
          <w:tcPr>
            <w:tcW w:w="3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283</w:t>
            </w:r>
          </w:p>
        </w:tc>
        <w:tc>
          <w:tcPr>
            <w:tcW w:w="6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25</w:t>
            </w:r>
          </w:p>
        </w:tc>
        <w:tc>
          <w:tcPr>
            <w:tcW w:w="5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237</w:t>
            </w:r>
          </w:p>
        </w:tc>
        <w:tc>
          <w:tcPr>
            <w:tcW w:w="8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17</w:t>
            </w:r>
          </w:p>
        </w:tc>
        <w:tc>
          <w:tcPr>
            <w:tcW w:w="3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262</w:t>
            </w:r>
          </w:p>
        </w:tc>
        <w:tc>
          <w:tcPr>
            <w:tcW w:w="6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28</w:t>
            </w:r>
          </w:p>
        </w:tc>
      </w:tr>
      <w:tr>
        <w:trPr>
          <w:trHeight w:val="237"/>
        </w:trPr>
        <w:tc>
          <w:tcPr>
            <w:tcW w:w="3320" w:type="dxa"/>
            <w:vAlign w:val="bottom"/>
          </w:tcPr>
          <w:p>
            <w:pPr>
              <w:ind w:left="100"/>
              <w:spacing w:after="0"/>
              <w:rPr>
                <w:sz w:val="20"/>
                <w:szCs w:val="20"/>
                <w:color w:val="auto"/>
              </w:rPr>
            </w:pPr>
            <w:r>
              <w:rPr>
                <w:rFonts w:ascii="Arial" w:cs="Arial" w:eastAsia="Arial" w:hAnsi="Arial"/>
                <w:sz w:val="18"/>
                <w:szCs w:val="18"/>
                <w:color w:val="auto"/>
              </w:rPr>
              <w:t>Total Sempra Utilities</w:t>
            </w:r>
          </w:p>
        </w:tc>
        <w:tc>
          <w:tcPr>
            <w:tcW w:w="3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513</w:t>
            </w:r>
          </w:p>
        </w:tc>
        <w:tc>
          <w:tcPr>
            <w:tcW w:w="6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46</w:t>
            </w:r>
          </w:p>
        </w:tc>
        <w:tc>
          <w:tcPr>
            <w:tcW w:w="5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460</w:t>
            </w:r>
          </w:p>
        </w:tc>
        <w:tc>
          <w:tcPr>
            <w:tcW w:w="8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33</w:t>
            </w:r>
          </w:p>
        </w:tc>
        <w:tc>
          <w:tcPr>
            <w:tcW w:w="3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473</w:t>
            </w:r>
          </w:p>
        </w:tc>
        <w:tc>
          <w:tcPr>
            <w:tcW w:w="6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51</w:t>
            </w:r>
          </w:p>
        </w:tc>
      </w:tr>
      <w:tr>
        <w:trPr>
          <w:trHeight w:val="466"/>
        </w:trPr>
        <w:tc>
          <w:tcPr>
            <w:tcW w:w="3320" w:type="dxa"/>
            <w:vAlign w:val="bottom"/>
          </w:tcPr>
          <w:p>
            <w:pPr>
              <w:spacing w:after="0"/>
              <w:rPr>
                <w:sz w:val="20"/>
                <w:szCs w:val="20"/>
                <w:color w:val="auto"/>
              </w:rPr>
            </w:pPr>
            <w:r>
              <w:rPr>
                <w:rFonts w:ascii="Arial" w:cs="Arial" w:eastAsia="Arial" w:hAnsi="Arial"/>
                <w:sz w:val="18"/>
                <w:szCs w:val="18"/>
                <w:color w:val="auto"/>
              </w:rPr>
              <w:t>Sempra Global</w:t>
            </w: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43"/>
        </w:trPr>
        <w:tc>
          <w:tcPr>
            <w:tcW w:w="3320" w:type="dxa"/>
            <w:vAlign w:val="bottom"/>
          </w:tcPr>
          <w:p>
            <w:pPr>
              <w:ind w:left="100"/>
              <w:spacing w:after="0"/>
              <w:rPr>
                <w:sz w:val="20"/>
                <w:szCs w:val="20"/>
                <w:color w:val="auto"/>
              </w:rPr>
            </w:pPr>
            <w:r>
              <w:rPr>
                <w:rFonts w:ascii="Arial" w:cs="Arial" w:eastAsia="Arial" w:hAnsi="Arial"/>
                <w:sz w:val="18"/>
                <w:szCs w:val="18"/>
                <w:color w:val="auto"/>
              </w:rPr>
              <w:t>Sempra Commodities</w:t>
            </w:r>
          </w:p>
        </w:tc>
        <w:tc>
          <w:tcPr>
            <w:tcW w:w="380" w:type="dxa"/>
            <w:vAlign w:val="bottom"/>
          </w:tcPr>
          <w:p>
            <w:pPr>
              <w:spacing w:after="0"/>
              <w:rPr>
                <w:sz w:val="21"/>
                <w:szCs w:val="21"/>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499</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45</w:t>
            </w:r>
          </w:p>
        </w:tc>
        <w:tc>
          <w:tcPr>
            <w:tcW w:w="560" w:type="dxa"/>
            <w:vAlign w:val="bottom"/>
          </w:tcPr>
          <w:p>
            <w:pPr>
              <w:spacing w:after="0"/>
              <w:rPr>
                <w:sz w:val="21"/>
                <w:szCs w:val="21"/>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504</w:t>
            </w:r>
          </w:p>
        </w:tc>
        <w:tc>
          <w:tcPr>
            <w:tcW w:w="800" w:type="dxa"/>
            <w:vAlign w:val="bottom"/>
          </w:tcPr>
          <w:p>
            <w:pPr>
              <w:jc w:val="right"/>
              <w:ind w:right="390"/>
              <w:spacing w:after="0"/>
              <w:rPr>
                <w:sz w:val="20"/>
                <w:szCs w:val="20"/>
                <w:color w:val="auto"/>
              </w:rPr>
            </w:pPr>
            <w:r>
              <w:rPr>
                <w:rFonts w:ascii="Arial" w:cs="Arial" w:eastAsia="Arial" w:hAnsi="Arial"/>
                <w:sz w:val="18"/>
                <w:szCs w:val="18"/>
                <w:color w:val="auto"/>
              </w:rPr>
              <w:t>36</w:t>
            </w:r>
          </w:p>
        </w:tc>
        <w:tc>
          <w:tcPr>
            <w:tcW w:w="340" w:type="dxa"/>
            <w:vAlign w:val="bottom"/>
          </w:tcPr>
          <w:p>
            <w:pPr>
              <w:spacing w:after="0"/>
              <w:rPr>
                <w:sz w:val="21"/>
                <w:szCs w:val="21"/>
                <w:color w:val="auto"/>
              </w:rPr>
            </w:pPr>
          </w:p>
        </w:tc>
        <w:tc>
          <w:tcPr>
            <w:tcW w:w="760" w:type="dxa"/>
            <w:vAlign w:val="bottom"/>
          </w:tcPr>
          <w:p>
            <w:pPr>
              <w:jc w:val="right"/>
              <w:ind w:right="290"/>
              <w:spacing w:after="0"/>
              <w:rPr>
                <w:sz w:val="20"/>
                <w:szCs w:val="20"/>
                <w:color w:val="auto"/>
              </w:rPr>
            </w:pPr>
            <w:r>
              <w:rPr>
                <w:rFonts w:ascii="Arial" w:cs="Arial" w:eastAsia="Arial" w:hAnsi="Arial"/>
                <w:sz w:val="18"/>
                <w:szCs w:val="18"/>
                <w:color w:val="auto"/>
              </w:rPr>
              <w:t>460</w:t>
            </w:r>
          </w:p>
        </w:tc>
        <w:tc>
          <w:tcPr>
            <w:tcW w:w="600" w:type="dxa"/>
            <w:vAlign w:val="bottom"/>
          </w:tcPr>
          <w:p>
            <w:pPr>
              <w:jc w:val="right"/>
              <w:ind w:right="190"/>
              <w:spacing w:after="0"/>
              <w:rPr>
                <w:sz w:val="20"/>
                <w:szCs w:val="20"/>
                <w:color w:val="auto"/>
              </w:rPr>
            </w:pPr>
            <w:r>
              <w:rPr>
                <w:rFonts w:ascii="Arial" w:cs="Arial" w:eastAsia="Arial" w:hAnsi="Arial"/>
                <w:sz w:val="18"/>
                <w:szCs w:val="18"/>
                <w:color w:val="auto"/>
              </w:rPr>
              <w:t>50</w:t>
            </w:r>
          </w:p>
        </w:tc>
      </w:tr>
      <w:tr>
        <w:trPr>
          <w:trHeight w:val="243"/>
        </w:trPr>
        <w:tc>
          <w:tcPr>
            <w:tcW w:w="3320" w:type="dxa"/>
            <w:vAlign w:val="bottom"/>
          </w:tcPr>
          <w:p>
            <w:pPr>
              <w:ind w:left="100"/>
              <w:spacing w:after="0"/>
              <w:rPr>
                <w:sz w:val="20"/>
                <w:szCs w:val="20"/>
                <w:color w:val="auto"/>
              </w:rPr>
            </w:pPr>
            <w:r>
              <w:rPr>
                <w:rFonts w:ascii="Arial" w:cs="Arial" w:eastAsia="Arial" w:hAnsi="Arial"/>
                <w:sz w:val="18"/>
                <w:szCs w:val="18"/>
                <w:color w:val="auto"/>
              </w:rPr>
              <w:t>Sempra Generation**</w:t>
            </w:r>
          </w:p>
        </w:tc>
        <w:tc>
          <w:tcPr>
            <w:tcW w:w="380" w:type="dxa"/>
            <w:vAlign w:val="bottom"/>
          </w:tcPr>
          <w:p>
            <w:pPr>
              <w:spacing w:after="0"/>
              <w:rPr>
                <w:sz w:val="21"/>
                <w:szCs w:val="21"/>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162</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15</w:t>
            </w:r>
          </w:p>
        </w:tc>
        <w:tc>
          <w:tcPr>
            <w:tcW w:w="560" w:type="dxa"/>
            <w:vAlign w:val="bottom"/>
          </w:tcPr>
          <w:p>
            <w:pPr>
              <w:spacing w:after="0"/>
              <w:rPr>
                <w:sz w:val="21"/>
                <w:szCs w:val="21"/>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375</w:t>
            </w:r>
          </w:p>
        </w:tc>
        <w:tc>
          <w:tcPr>
            <w:tcW w:w="800" w:type="dxa"/>
            <w:vAlign w:val="bottom"/>
          </w:tcPr>
          <w:p>
            <w:pPr>
              <w:jc w:val="right"/>
              <w:ind w:right="390"/>
              <w:spacing w:after="0"/>
              <w:rPr>
                <w:sz w:val="20"/>
                <w:szCs w:val="20"/>
                <w:color w:val="auto"/>
              </w:rPr>
            </w:pPr>
            <w:r>
              <w:rPr>
                <w:rFonts w:ascii="Arial" w:cs="Arial" w:eastAsia="Arial" w:hAnsi="Arial"/>
                <w:sz w:val="18"/>
                <w:szCs w:val="18"/>
                <w:color w:val="auto"/>
              </w:rPr>
              <w:t>27</w:t>
            </w:r>
          </w:p>
        </w:tc>
        <w:tc>
          <w:tcPr>
            <w:tcW w:w="340" w:type="dxa"/>
            <w:vAlign w:val="bottom"/>
          </w:tcPr>
          <w:p>
            <w:pPr>
              <w:spacing w:after="0"/>
              <w:rPr>
                <w:sz w:val="21"/>
                <w:szCs w:val="21"/>
                <w:color w:val="auto"/>
              </w:rPr>
            </w:pPr>
          </w:p>
        </w:tc>
        <w:tc>
          <w:tcPr>
            <w:tcW w:w="760" w:type="dxa"/>
            <w:vAlign w:val="bottom"/>
          </w:tcPr>
          <w:p>
            <w:pPr>
              <w:jc w:val="right"/>
              <w:ind w:right="290"/>
              <w:spacing w:after="0"/>
              <w:rPr>
                <w:sz w:val="20"/>
                <w:szCs w:val="20"/>
                <w:color w:val="auto"/>
              </w:rPr>
            </w:pPr>
            <w:r>
              <w:rPr>
                <w:rFonts w:ascii="Arial" w:cs="Arial" w:eastAsia="Arial" w:hAnsi="Arial"/>
                <w:sz w:val="18"/>
                <w:szCs w:val="18"/>
                <w:color w:val="auto"/>
              </w:rPr>
              <w:t>149</w:t>
            </w:r>
          </w:p>
        </w:tc>
        <w:tc>
          <w:tcPr>
            <w:tcW w:w="600" w:type="dxa"/>
            <w:vAlign w:val="bottom"/>
          </w:tcPr>
          <w:p>
            <w:pPr>
              <w:jc w:val="right"/>
              <w:ind w:right="190"/>
              <w:spacing w:after="0"/>
              <w:rPr>
                <w:sz w:val="20"/>
                <w:szCs w:val="20"/>
                <w:color w:val="auto"/>
              </w:rPr>
            </w:pPr>
            <w:r>
              <w:rPr>
                <w:rFonts w:ascii="Arial" w:cs="Arial" w:eastAsia="Arial" w:hAnsi="Arial"/>
                <w:sz w:val="18"/>
                <w:szCs w:val="18"/>
                <w:color w:val="auto"/>
              </w:rPr>
              <w:t>16</w:t>
            </w:r>
          </w:p>
        </w:tc>
      </w:tr>
      <w:tr>
        <w:trPr>
          <w:trHeight w:val="243"/>
        </w:trPr>
        <w:tc>
          <w:tcPr>
            <w:tcW w:w="3320" w:type="dxa"/>
            <w:vAlign w:val="bottom"/>
          </w:tcPr>
          <w:p>
            <w:pPr>
              <w:ind w:left="100"/>
              <w:spacing w:after="0"/>
              <w:rPr>
                <w:sz w:val="20"/>
                <w:szCs w:val="20"/>
                <w:color w:val="auto"/>
              </w:rPr>
            </w:pPr>
            <w:r>
              <w:rPr>
                <w:rFonts w:ascii="Arial" w:cs="Arial" w:eastAsia="Arial" w:hAnsi="Arial"/>
                <w:sz w:val="18"/>
                <w:szCs w:val="18"/>
                <w:color w:val="auto"/>
              </w:rPr>
              <w:t>Sempra Pipelines &amp; Storage**</w:t>
            </w:r>
          </w:p>
        </w:tc>
        <w:tc>
          <w:tcPr>
            <w:tcW w:w="380" w:type="dxa"/>
            <w:vAlign w:val="bottom"/>
          </w:tcPr>
          <w:p>
            <w:pPr>
              <w:spacing w:after="0"/>
              <w:rPr>
                <w:sz w:val="21"/>
                <w:szCs w:val="21"/>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64</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6</w:t>
            </w:r>
          </w:p>
        </w:tc>
        <w:tc>
          <w:tcPr>
            <w:tcW w:w="560" w:type="dxa"/>
            <w:vAlign w:val="bottom"/>
          </w:tcPr>
          <w:p>
            <w:pPr>
              <w:spacing w:after="0"/>
              <w:rPr>
                <w:sz w:val="21"/>
                <w:szCs w:val="21"/>
                <w:color w:val="auto"/>
              </w:rPr>
            </w:pPr>
          </w:p>
        </w:tc>
        <w:tc>
          <w:tcPr>
            <w:tcW w:w="800" w:type="dxa"/>
            <w:vAlign w:val="bottom"/>
          </w:tcPr>
          <w:p>
            <w:pPr>
              <w:jc w:val="right"/>
              <w:ind w:right="150"/>
              <w:spacing w:after="0"/>
              <w:rPr>
                <w:sz w:val="20"/>
                <w:szCs w:val="20"/>
                <w:color w:val="auto"/>
              </w:rPr>
            </w:pPr>
            <w:r>
              <w:rPr>
                <w:rFonts w:ascii="Arial" w:cs="Arial" w:eastAsia="Arial" w:hAnsi="Arial"/>
                <w:sz w:val="18"/>
                <w:szCs w:val="18"/>
                <w:color w:val="auto"/>
              </w:rPr>
              <w:t>(165 )</w:t>
            </w:r>
          </w:p>
        </w:tc>
        <w:tc>
          <w:tcPr>
            <w:tcW w:w="800" w:type="dxa"/>
            <w:vAlign w:val="bottom"/>
          </w:tcPr>
          <w:p>
            <w:pPr>
              <w:jc w:val="right"/>
              <w:ind w:right="310"/>
              <w:spacing w:after="0"/>
              <w:rPr>
                <w:sz w:val="20"/>
                <w:szCs w:val="20"/>
                <w:color w:val="auto"/>
              </w:rPr>
            </w:pPr>
            <w:r>
              <w:rPr>
                <w:rFonts w:ascii="Arial" w:cs="Arial" w:eastAsia="Arial" w:hAnsi="Arial"/>
                <w:sz w:val="18"/>
                <w:szCs w:val="18"/>
                <w:color w:val="auto"/>
              </w:rPr>
              <w:t>(12 )</w:t>
            </w:r>
          </w:p>
        </w:tc>
        <w:tc>
          <w:tcPr>
            <w:tcW w:w="340" w:type="dxa"/>
            <w:vAlign w:val="bottom"/>
          </w:tcPr>
          <w:p>
            <w:pPr>
              <w:spacing w:after="0"/>
              <w:rPr>
                <w:sz w:val="21"/>
                <w:szCs w:val="21"/>
                <w:color w:val="auto"/>
              </w:rPr>
            </w:pPr>
          </w:p>
        </w:tc>
        <w:tc>
          <w:tcPr>
            <w:tcW w:w="760" w:type="dxa"/>
            <w:vAlign w:val="bottom"/>
          </w:tcPr>
          <w:p>
            <w:pPr>
              <w:jc w:val="right"/>
              <w:ind w:right="290"/>
              <w:spacing w:after="0"/>
              <w:rPr>
                <w:sz w:val="20"/>
                <w:szCs w:val="20"/>
                <w:color w:val="auto"/>
              </w:rPr>
            </w:pPr>
            <w:r>
              <w:rPr>
                <w:rFonts w:ascii="Arial" w:cs="Arial" w:eastAsia="Arial" w:hAnsi="Arial"/>
                <w:sz w:val="18"/>
                <w:szCs w:val="18"/>
                <w:color w:val="auto"/>
              </w:rPr>
              <w:t>64</w:t>
            </w:r>
          </w:p>
        </w:tc>
        <w:tc>
          <w:tcPr>
            <w:tcW w:w="600" w:type="dxa"/>
            <w:vAlign w:val="bottom"/>
          </w:tcPr>
          <w:p>
            <w:pPr>
              <w:jc w:val="right"/>
              <w:ind w:right="190"/>
              <w:spacing w:after="0"/>
              <w:rPr>
                <w:sz w:val="20"/>
                <w:szCs w:val="20"/>
                <w:color w:val="auto"/>
              </w:rPr>
            </w:pPr>
            <w:r>
              <w:rPr>
                <w:rFonts w:ascii="Arial" w:cs="Arial" w:eastAsia="Arial" w:hAnsi="Arial"/>
                <w:sz w:val="18"/>
                <w:szCs w:val="18"/>
                <w:color w:val="auto"/>
              </w:rPr>
              <w:t>7</w:t>
            </w:r>
          </w:p>
        </w:tc>
      </w:tr>
      <w:tr>
        <w:trPr>
          <w:trHeight w:val="257"/>
        </w:trPr>
        <w:tc>
          <w:tcPr>
            <w:tcW w:w="3320" w:type="dxa"/>
            <w:vAlign w:val="bottom"/>
          </w:tcPr>
          <w:p>
            <w:pPr>
              <w:ind w:left="100"/>
              <w:spacing w:after="0"/>
              <w:rPr>
                <w:sz w:val="20"/>
                <w:szCs w:val="20"/>
                <w:color w:val="auto"/>
              </w:rPr>
            </w:pPr>
            <w:r>
              <w:rPr>
                <w:rFonts w:ascii="Arial" w:cs="Arial" w:eastAsia="Arial" w:hAnsi="Arial"/>
                <w:sz w:val="18"/>
                <w:szCs w:val="18"/>
                <w:color w:val="auto"/>
              </w:rPr>
              <w:t>Sempra LNG</w:t>
            </w:r>
          </w:p>
        </w:tc>
        <w:tc>
          <w:tcPr>
            <w:tcW w:w="3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(46 )</w:t>
            </w:r>
          </w:p>
        </w:tc>
        <w:tc>
          <w:tcPr>
            <w:tcW w:w="6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(4 )</w:t>
            </w:r>
          </w:p>
        </w:tc>
        <w:tc>
          <w:tcPr>
            <w:tcW w:w="5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(42 )</w:t>
            </w: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(3 )</w:t>
            </w:r>
          </w:p>
        </w:tc>
        <w:tc>
          <w:tcPr>
            <w:tcW w:w="3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(25 )</w:t>
            </w:r>
          </w:p>
        </w:tc>
        <w:tc>
          <w:tcPr>
            <w:tcW w:w="6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(3 )</w:t>
            </w:r>
          </w:p>
        </w:tc>
      </w:tr>
      <w:tr>
        <w:trPr>
          <w:trHeight w:val="237"/>
        </w:trPr>
        <w:tc>
          <w:tcPr>
            <w:tcW w:w="3320" w:type="dxa"/>
            <w:vAlign w:val="bottom"/>
          </w:tcPr>
          <w:p>
            <w:pPr>
              <w:ind w:left="100"/>
              <w:spacing w:after="0"/>
              <w:rPr>
                <w:sz w:val="20"/>
                <w:szCs w:val="20"/>
                <w:color w:val="auto"/>
              </w:rPr>
            </w:pPr>
            <w:r>
              <w:rPr>
                <w:rFonts w:ascii="Arial" w:cs="Arial" w:eastAsia="Arial" w:hAnsi="Arial"/>
                <w:sz w:val="18"/>
                <w:szCs w:val="18"/>
                <w:color w:val="auto"/>
              </w:rPr>
              <w:t>Total Sempra Global</w:t>
            </w:r>
          </w:p>
        </w:tc>
        <w:tc>
          <w:tcPr>
            <w:tcW w:w="3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679</w:t>
            </w:r>
          </w:p>
        </w:tc>
        <w:tc>
          <w:tcPr>
            <w:tcW w:w="6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62</w:t>
            </w:r>
          </w:p>
        </w:tc>
        <w:tc>
          <w:tcPr>
            <w:tcW w:w="5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672</w:t>
            </w:r>
          </w:p>
        </w:tc>
        <w:tc>
          <w:tcPr>
            <w:tcW w:w="8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48</w:t>
            </w:r>
          </w:p>
        </w:tc>
        <w:tc>
          <w:tcPr>
            <w:tcW w:w="3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648</w:t>
            </w:r>
          </w:p>
        </w:tc>
        <w:tc>
          <w:tcPr>
            <w:tcW w:w="6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70</w:t>
            </w:r>
          </w:p>
        </w:tc>
      </w:tr>
      <w:tr>
        <w:trPr>
          <w:trHeight w:val="480"/>
        </w:trPr>
        <w:tc>
          <w:tcPr>
            <w:tcW w:w="3320" w:type="dxa"/>
            <w:vAlign w:val="bottom"/>
          </w:tcPr>
          <w:p>
            <w:pPr>
              <w:spacing w:after="0"/>
              <w:rPr>
                <w:sz w:val="20"/>
                <w:szCs w:val="20"/>
                <w:color w:val="auto"/>
              </w:rPr>
            </w:pPr>
            <w:r>
              <w:rPr>
                <w:rFonts w:ascii="Arial" w:cs="Arial" w:eastAsia="Arial" w:hAnsi="Arial"/>
                <w:sz w:val="18"/>
                <w:szCs w:val="18"/>
                <w:color w:val="auto"/>
              </w:rPr>
              <w:t>Parent and other***</w:t>
            </w:r>
          </w:p>
        </w:tc>
        <w:tc>
          <w:tcPr>
            <w:tcW w:w="3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(67 )</w:t>
            </w:r>
          </w:p>
        </w:tc>
        <w:tc>
          <w:tcPr>
            <w:tcW w:w="6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(6 )</w:t>
            </w:r>
          </w:p>
        </w:tc>
        <w:tc>
          <w:tcPr>
            <w:tcW w:w="5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(41 )</w:t>
            </w: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(3 )</w:t>
            </w:r>
          </w:p>
        </w:tc>
        <w:tc>
          <w:tcPr>
            <w:tcW w:w="3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7"/>
              </w:rPr>
              <w:t>(208 )</w:t>
            </w:r>
          </w:p>
        </w:tc>
        <w:tc>
          <w:tcPr>
            <w:tcW w:w="6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(22 )</w:t>
            </w:r>
          </w:p>
        </w:tc>
      </w:tr>
      <w:tr>
        <w:trPr>
          <w:trHeight w:val="224"/>
        </w:trPr>
        <w:tc>
          <w:tcPr>
            <w:tcW w:w="3320" w:type="dxa"/>
            <w:vAlign w:val="bottom"/>
          </w:tcPr>
          <w:p>
            <w:pPr>
              <w:spacing w:after="0"/>
              <w:rPr>
                <w:sz w:val="20"/>
                <w:szCs w:val="20"/>
                <w:color w:val="auto"/>
              </w:rPr>
            </w:pPr>
            <w:r>
              <w:rPr>
                <w:rFonts w:ascii="Arial" w:cs="Arial" w:eastAsia="Arial" w:hAnsi="Arial"/>
                <w:sz w:val="18"/>
                <w:szCs w:val="18"/>
                <w:color w:val="auto"/>
              </w:rPr>
              <w:t>Income from continuing operations</w:t>
            </w:r>
          </w:p>
        </w:tc>
        <w:tc>
          <w:tcPr>
            <w:tcW w:w="380" w:type="dxa"/>
            <w:vAlign w:val="bottom"/>
          </w:tcPr>
          <w:p>
            <w:pPr>
              <w:spacing w:after="0"/>
              <w:rPr>
                <w:sz w:val="19"/>
                <w:szCs w:val="19"/>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1,125</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102</w:t>
            </w:r>
          </w:p>
        </w:tc>
        <w:tc>
          <w:tcPr>
            <w:tcW w:w="560" w:type="dxa"/>
            <w:vAlign w:val="bottom"/>
          </w:tcPr>
          <w:p>
            <w:pPr>
              <w:spacing w:after="0"/>
              <w:rPr>
                <w:sz w:val="19"/>
                <w:szCs w:val="19"/>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1,091</w:t>
            </w:r>
          </w:p>
        </w:tc>
        <w:tc>
          <w:tcPr>
            <w:tcW w:w="800" w:type="dxa"/>
            <w:vAlign w:val="bottom"/>
          </w:tcPr>
          <w:p>
            <w:pPr>
              <w:jc w:val="right"/>
              <w:ind w:right="390"/>
              <w:spacing w:after="0"/>
              <w:rPr>
                <w:sz w:val="20"/>
                <w:szCs w:val="20"/>
                <w:color w:val="auto"/>
              </w:rPr>
            </w:pPr>
            <w:r>
              <w:rPr>
                <w:rFonts w:ascii="Arial" w:cs="Arial" w:eastAsia="Arial" w:hAnsi="Arial"/>
                <w:sz w:val="18"/>
                <w:szCs w:val="18"/>
                <w:color w:val="auto"/>
              </w:rPr>
              <w:t>78</w:t>
            </w:r>
          </w:p>
        </w:tc>
        <w:tc>
          <w:tcPr>
            <w:tcW w:w="340" w:type="dxa"/>
            <w:vAlign w:val="bottom"/>
          </w:tcPr>
          <w:p>
            <w:pPr>
              <w:spacing w:after="0"/>
              <w:rPr>
                <w:sz w:val="19"/>
                <w:szCs w:val="19"/>
                <w:color w:val="auto"/>
              </w:rPr>
            </w:pPr>
          </w:p>
        </w:tc>
        <w:tc>
          <w:tcPr>
            <w:tcW w:w="760" w:type="dxa"/>
            <w:vAlign w:val="bottom"/>
          </w:tcPr>
          <w:p>
            <w:pPr>
              <w:jc w:val="right"/>
              <w:ind w:right="290"/>
              <w:spacing w:after="0"/>
              <w:rPr>
                <w:sz w:val="20"/>
                <w:szCs w:val="20"/>
                <w:color w:val="auto"/>
              </w:rPr>
            </w:pPr>
            <w:r>
              <w:rPr>
                <w:rFonts w:ascii="Arial" w:cs="Arial" w:eastAsia="Arial" w:hAnsi="Arial"/>
                <w:sz w:val="18"/>
                <w:szCs w:val="18"/>
                <w:color w:val="auto"/>
              </w:rPr>
              <w:t>913</w:t>
            </w:r>
          </w:p>
        </w:tc>
        <w:tc>
          <w:tcPr>
            <w:tcW w:w="600" w:type="dxa"/>
            <w:vAlign w:val="bottom"/>
          </w:tcPr>
          <w:p>
            <w:pPr>
              <w:jc w:val="right"/>
              <w:ind w:right="190"/>
              <w:spacing w:after="0"/>
              <w:rPr>
                <w:sz w:val="20"/>
                <w:szCs w:val="20"/>
                <w:color w:val="auto"/>
              </w:rPr>
            </w:pPr>
            <w:r>
              <w:rPr>
                <w:rFonts w:ascii="Arial" w:cs="Arial" w:eastAsia="Arial" w:hAnsi="Arial"/>
                <w:sz w:val="18"/>
                <w:szCs w:val="18"/>
                <w:color w:val="auto"/>
              </w:rPr>
              <w:t>99</w:t>
            </w:r>
          </w:p>
        </w:tc>
      </w:tr>
      <w:tr>
        <w:trPr>
          <w:trHeight w:val="256"/>
        </w:trPr>
        <w:tc>
          <w:tcPr>
            <w:tcW w:w="3320" w:type="dxa"/>
            <w:vAlign w:val="bottom"/>
          </w:tcPr>
          <w:p>
            <w:pPr>
              <w:spacing w:after="0"/>
              <w:rPr>
                <w:sz w:val="20"/>
                <w:szCs w:val="20"/>
                <w:color w:val="auto"/>
              </w:rPr>
            </w:pPr>
            <w:r>
              <w:rPr>
                <w:rFonts w:ascii="Arial" w:cs="Arial" w:eastAsia="Arial" w:hAnsi="Arial"/>
                <w:sz w:val="18"/>
                <w:szCs w:val="18"/>
                <w:color w:val="auto"/>
                <w:w w:val="96"/>
              </w:rPr>
              <w:t>Discontinued operations, net of income tax</w:t>
            </w:r>
          </w:p>
        </w:tc>
        <w:tc>
          <w:tcPr>
            <w:tcW w:w="3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(26 )</w:t>
            </w:r>
          </w:p>
        </w:tc>
        <w:tc>
          <w:tcPr>
            <w:tcW w:w="6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(2 )</w:t>
            </w:r>
          </w:p>
        </w:tc>
        <w:tc>
          <w:tcPr>
            <w:tcW w:w="5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315</w:t>
            </w:r>
          </w:p>
        </w:tc>
        <w:tc>
          <w:tcPr>
            <w:tcW w:w="8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22</w:t>
            </w:r>
          </w:p>
        </w:tc>
        <w:tc>
          <w:tcPr>
            <w:tcW w:w="3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7</w:t>
            </w:r>
          </w:p>
        </w:tc>
        <w:tc>
          <w:tcPr>
            <w:tcW w:w="6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w:t>
            </w:r>
          </w:p>
        </w:tc>
      </w:tr>
      <w:tr>
        <w:trPr>
          <w:trHeight w:val="224"/>
        </w:trPr>
        <w:tc>
          <w:tcPr>
            <w:tcW w:w="3320" w:type="dxa"/>
            <w:vAlign w:val="bottom"/>
          </w:tcPr>
          <w:p>
            <w:pPr>
              <w:spacing w:after="0"/>
              <w:rPr>
                <w:sz w:val="20"/>
                <w:szCs w:val="20"/>
                <w:color w:val="auto"/>
              </w:rPr>
            </w:pPr>
            <w:r>
              <w:rPr>
                <w:rFonts w:ascii="Arial" w:cs="Arial" w:eastAsia="Arial" w:hAnsi="Arial"/>
                <w:sz w:val="18"/>
                <w:szCs w:val="18"/>
                <w:color w:val="auto"/>
              </w:rPr>
              <w:t>Consolidated net income</w:t>
            </w: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1,099</w:t>
            </w:r>
          </w:p>
        </w:tc>
        <w:tc>
          <w:tcPr>
            <w:tcW w:w="600" w:type="dxa"/>
            <w:vAlign w:val="bottom"/>
          </w:tcPr>
          <w:p>
            <w:pPr>
              <w:jc w:val="right"/>
              <w:spacing w:after="0"/>
              <w:rPr>
                <w:sz w:val="20"/>
                <w:szCs w:val="20"/>
                <w:color w:val="auto"/>
              </w:rPr>
            </w:pPr>
            <w:r>
              <w:rPr>
                <w:rFonts w:ascii="Arial" w:cs="Arial" w:eastAsia="Arial" w:hAnsi="Arial"/>
                <w:sz w:val="18"/>
                <w:szCs w:val="18"/>
                <w:color w:val="auto"/>
                <w:w w:val="97"/>
              </w:rPr>
              <w:t>100 %</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1,406</w:t>
            </w:r>
          </w:p>
        </w:tc>
        <w:tc>
          <w:tcPr>
            <w:tcW w:w="800" w:type="dxa"/>
            <w:vAlign w:val="bottom"/>
          </w:tcPr>
          <w:p>
            <w:pPr>
              <w:jc w:val="right"/>
              <w:ind w:right="230"/>
              <w:spacing w:after="0"/>
              <w:rPr>
                <w:sz w:val="20"/>
                <w:szCs w:val="20"/>
                <w:color w:val="auto"/>
              </w:rPr>
            </w:pPr>
            <w:r>
              <w:rPr>
                <w:rFonts w:ascii="Arial" w:cs="Arial" w:eastAsia="Arial" w:hAnsi="Arial"/>
                <w:sz w:val="18"/>
                <w:szCs w:val="18"/>
                <w:color w:val="auto"/>
                <w:w w:val="90"/>
              </w:rPr>
              <w:t>100 %</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290"/>
              <w:spacing w:after="0"/>
              <w:rPr>
                <w:sz w:val="20"/>
                <w:szCs w:val="20"/>
                <w:color w:val="auto"/>
              </w:rPr>
            </w:pPr>
            <w:r>
              <w:rPr>
                <w:rFonts w:ascii="Arial" w:cs="Arial" w:eastAsia="Arial" w:hAnsi="Arial"/>
                <w:sz w:val="18"/>
                <w:szCs w:val="18"/>
                <w:color w:val="auto"/>
              </w:rPr>
              <w:t>920</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w w:val="93"/>
              </w:rPr>
              <w:t>100 %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768350</wp:posOffset>
            </wp:positionH>
            <wp:positionV relativeFrom="paragraph">
              <wp:posOffset>8255</wp:posOffset>
            </wp:positionV>
            <wp:extent cx="572008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20080" cy="26035"/>
                    </a:xfrm>
                    <a:prstGeom prst="rect">
                      <a:avLst/>
                    </a:prstGeom>
                    <a:noFill/>
                  </pic:spPr>
                </pic:pic>
              </a:graphicData>
            </a:graphic>
          </wp:anchor>
        </w:drawing>
      </w:r>
    </w:p>
    <w:p>
      <w:pPr>
        <w:spacing w:after="0" w:line="32"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 After preferred dividends.</w:t>
      </w:r>
    </w:p>
    <w:p>
      <w:pPr>
        <w:spacing w:after="0" w:line="36" w:lineRule="exact"/>
        <w:rPr>
          <w:sz w:val="20"/>
          <w:szCs w:val="20"/>
          <w:color w:val="auto"/>
        </w:rPr>
      </w:pPr>
    </w:p>
    <w:p>
      <w:pPr>
        <w:ind w:left="1700" w:hanging="197"/>
        <w:spacing w:after="0"/>
        <w:tabs>
          <w:tab w:leader="none" w:pos="1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Excludes amounts now classified as discontinued operations.</w:t>
      </w:r>
    </w:p>
    <w:p>
      <w:pPr>
        <w:spacing w:after="0" w:line="36" w:lineRule="exact"/>
        <w:rPr>
          <w:rFonts w:ascii="Arial" w:cs="Arial" w:eastAsia="Arial" w:hAnsi="Arial"/>
          <w:sz w:val="18"/>
          <w:szCs w:val="18"/>
          <w:color w:val="auto"/>
        </w:rPr>
      </w:pPr>
    </w:p>
    <w:p>
      <w:pPr>
        <w:ind w:left="1700" w:right="1160" w:hanging="287"/>
        <w:spacing w:after="0" w:line="286" w:lineRule="auto"/>
        <w:tabs>
          <w:tab w:leader="none" w:pos="17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Includes after-tax interest expense ($82 million, $101 million and $104 million in 2007, 2006 and 2005, respectively), after-tax litigation expense ($1 million and $193 million in 2006 and 2005, respectively), intercompany eliminations recorded in consolidation and certain corporate costs incurred at Sempra Global.</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Regulation</w:t>
      </w:r>
    </w:p>
    <w:p>
      <w:pPr>
        <w:spacing w:after="0" w:line="249" w:lineRule="exact"/>
        <w:rPr>
          <w:sz w:val="20"/>
          <w:szCs w:val="20"/>
          <w:color w:val="auto"/>
        </w:rPr>
      </w:pPr>
    </w:p>
    <w:p>
      <w:pPr>
        <w:ind w:right="100"/>
        <w:spacing w:after="0" w:line="276" w:lineRule="auto"/>
        <w:rPr>
          <w:sz w:val="20"/>
          <w:szCs w:val="20"/>
          <w:color w:val="auto"/>
        </w:rPr>
      </w:pPr>
      <w:r>
        <w:rPr>
          <w:rFonts w:ascii="Arial" w:cs="Arial" w:eastAsia="Arial" w:hAnsi="Arial"/>
          <w:sz w:val="18"/>
          <w:szCs w:val="18"/>
          <w:color w:val="auto"/>
        </w:rPr>
        <w:t>The Sempra Utilities are subject to regulation by federal, state and local governmental agencies. The primary regulatory agency is the CPUC, which regulates utility rates and operations in California, except for SDG&amp;E's electric transmission operations, which are regulated by the Federal Energy Regulatory Commission (FERC). The FERC also regulates interstate transportation of natural gas and various related matters. The Nuclear Regulatory Commission regulates nuclear generating plants. Municipalities and other local authorities regulate the location of utility assets, including natural gas pipelines and electric lines. Other business units are also subject to regulation by the FERC, various state commissions, local governmental entities, and various similar authorities in countries other than the United States.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Sempra Utility Operations</w:t>
      </w:r>
    </w:p>
    <w:p>
      <w:pPr>
        <w:spacing w:after="0" w:line="249" w:lineRule="exact"/>
        <w:rPr>
          <w:sz w:val="20"/>
          <w:szCs w:val="20"/>
          <w:color w:val="auto"/>
        </w:rPr>
      </w:pPr>
    </w:p>
    <w:p>
      <w:pPr>
        <w:ind w:right="40"/>
        <w:spacing w:after="0" w:line="244" w:lineRule="auto"/>
        <w:rPr>
          <w:sz w:val="20"/>
          <w:szCs w:val="20"/>
          <w:color w:val="auto"/>
        </w:rPr>
      </w:pPr>
      <w:r>
        <w:rPr>
          <w:rFonts w:ascii="Arial" w:cs="Arial" w:eastAsia="Arial" w:hAnsi="Arial"/>
          <w:sz w:val="20"/>
          <w:szCs w:val="20"/>
          <w:b w:val="1"/>
          <w:bCs w:val="1"/>
          <w:i w:val="1"/>
          <w:iCs w:val="1"/>
          <w:color w:val="auto"/>
        </w:rPr>
        <w:t xml:space="preserve">Natural Gas Revenues and Cost of Natural Gas. </w:t>
      </w:r>
      <w:r>
        <w:rPr>
          <w:rFonts w:ascii="Arial" w:cs="Arial" w:eastAsia="Arial" w:hAnsi="Arial"/>
          <w:sz w:val="20"/>
          <w:szCs w:val="20"/>
          <w:color w:val="auto"/>
        </w:rPr>
        <w:t>Natural gas revenues increased by $106 million (2%) to $4.9 billion, and the cost of natural</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gas remained constant at $2.8 billion in 2007. The increase in revenues in 2007 was primarily due to a $71 million increase in authorized base margin and $34 million of higher revenues for recoverable expenses, which are fully offset in other operating expenses. The company's weighted average cost (including transportation charges) per million British thermal units (MMBtu) of natural gas was $6.49 in 2007, $6.54 in 2006 and $7.83 in 2005.</w:t>
      </w:r>
    </w:p>
    <w:p>
      <w:pPr>
        <w:spacing w:after="0" w:line="222"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Natural gas revenues decreased by $490 million (9%) to $4.8 billion, and the cost of natural gas decreased by $476 million (15%) to $2.8 billion in 2006 compared to 2005. The decreases in 2006 were due to lower average costs of natural gas, which are passed on to customers, offset by higher volumes. In addition, natural gas revenues decreased at SoCalGas due to the CPUC's decision in 2005 eliminating 2004 revenue sharing (for which $18 million was included in revenue in 2005), $14 million in demand-side management (DSM) awards in 2005 and $50 million of lower revenues for decreased recoverable</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340"/>
          </w:cols>
          <w:pgMar w:left="240" w:top="116" w:right="319" w:bottom="1440" w:gutter="0" w:footer="0" w:header="0"/>
        </w:sectPr>
      </w:pPr>
    </w:p>
    <w:bookmarkStart w:id="73" w:name="page74"/>
    <w:bookmarkEnd w:id="73"/>
    <w:p>
      <w:pPr>
        <w:ind w:right="660"/>
        <w:spacing w:after="0" w:line="262" w:lineRule="auto"/>
        <w:rPr>
          <w:sz w:val="20"/>
          <w:szCs w:val="20"/>
          <w:color w:val="auto"/>
        </w:rPr>
      </w:pPr>
      <w:r>
        <w:rPr>
          <w:rFonts w:ascii="Arial" w:cs="Arial" w:eastAsia="Arial" w:hAnsi="Arial"/>
          <w:sz w:val="20"/>
          <w:szCs w:val="20"/>
          <w:color w:val="auto"/>
        </w:rPr>
        <w:t>expenses. The decreases at SoCalGas were offset by a $52 million increase in authorized base margin and $10 million from the positive resolution in 2006 of a natural gas royalty matter.</w:t>
      </w:r>
    </w:p>
    <w:p>
      <w:pPr>
        <w:spacing w:after="0" w:line="201" w:lineRule="exact"/>
        <w:rPr>
          <w:sz w:val="20"/>
          <w:szCs w:val="20"/>
          <w:color w:val="auto"/>
        </w:rPr>
      </w:pPr>
    </w:p>
    <w:p>
      <w:pPr>
        <w:ind w:right="20"/>
        <w:spacing w:after="0" w:line="259" w:lineRule="auto"/>
        <w:rPr>
          <w:sz w:val="20"/>
          <w:szCs w:val="20"/>
          <w:color w:val="auto"/>
        </w:rPr>
      </w:pPr>
      <w:r>
        <w:rPr>
          <w:rFonts w:ascii="Arial" w:cs="Arial" w:eastAsia="Arial" w:hAnsi="Arial"/>
          <w:sz w:val="19"/>
          <w:szCs w:val="19"/>
          <w:color w:val="auto"/>
        </w:rPr>
        <w:t>Although the current regulatory framework provides that the cost of natural gas purchased for customers and the variations in that cost are passed through to the customers on a substantially concurrent basis, SoCalGas' Gas Cost Incentive Mechanism (GCIM) and SDG&amp;E's natural gas procurement Performance-Based Regulation (PBR) mechanism allow them to share in the savings or costs from buying natural gas for their customers below or above market-based monthly benchmarks. The mechanisms permit full recovery of all costs within a tolerance band around the benchmark price. The costs or savings outside the tolerance band are shared between customers and shareholders. Further discussion is provided in Notes 1 and 15 of the Notes to Consolidated Financial Statements.</w:t>
      </w:r>
    </w:p>
    <w:p>
      <w:pPr>
        <w:spacing w:after="0" w:line="206" w:lineRule="exact"/>
        <w:rPr>
          <w:sz w:val="20"/>
          <w:szCs w:val="20"/>
          <w:color w:val="auto"/>
        </w:rPr>
      </w:pPr>
    </w:p>
    <w:p>
      <w:pPr>
        <w:spacing w:after="0" w:line="276" w:lineRule="auto"/>
        <w:rPr>
          <w:sz w:val="20"/>
          <w:szCs w:val="20"/>
          <w:color w:val="auto"/>
        </w:rPr>
      </w:pPr>
      <w:r>
        <w:rPr>
          <w:rFonts w:ascii="Arial" w:cs="Arial" w:eastAsia="Arial" w:hAnsi="Arial"/>
          <w:sz w:val="18"/>
          <w:szCs w:val="18"/>
          <w:b w:val="1"/>
          <w:bCs w:val="1"/>
          <w:i w:val="1"/>
          <w:iCs w:val="1"/>
          <w:color w:val="auto"/>
        </w:rPr>
        <w:t xml:space="preserve">Electric Revenues and Cost of Electric Fuel and Purchased Power. </w:t>
      </w:r>
      <w:r>
        <w:rPr>
          <w:rFonts w:ascii="Arial" w:cs="Arial" w:eastAsia="Arial" w:hAnsi="Arial"/>
          <w:sz w:val="18"/>
          <w:szCs w:val="18"/>
          <w:color w:val="auto"/>
        </w:rPr>
        <w:t>Electric revenues increased by $48 million (2%) to $2.2 billion, and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cost of electric fuel and purchased power decreased by $22 million (3%) to $699 million in 2007. The increased revenue in 2007 was primarily due to $33 million from higher authorized transmission and electric generation margins, $22 million from the resolution of a regulatory matter, a $24 million increase in authorized base margin on electric distribution and $12 million of higher revenues for recoverable expenses, which are fully offset in other operating expenses. The increases were offset by $20 million from the favorable resolution of a prior year cost recovery issue in 2006 and $22 million lower recovery of electric fuel and purchased power costs in 2007.</w:t>
      </w:r>
    </w:p>
    <w:p>
      <w:pPr>
        <w:spacing w:after="0" w:line="192" w:lineRule="exact"/>
        <w:rPr>
          <w:sz w:val="20"/>
          <w:szCs w:val="20"/>
          <w:color w:val="auto"/>
        </w:rPr>
      </w:pPr>
    </w:p>
    <w:p>
      <w:pPr>
        <w:ind w:right="20"/>
        <w:spacing w:after="0" w:line="258" w:lineRule="auto"/>
        <w:rPr>
          <w:sz w:val="20"/>
          <w:szCs w:val="20"/>
          <w:color w:val="auto"/>
        </w:rPr>
      </w:pPr>
      <w:r>
        <w:rPr>
          <w:rFonts w:ascii="Arial" w:cs="Arial" w:eastAsia="Arial" w:hAnsi="Arial"/>
          <w:sz w:val="19"/>
          <w:szCs w:val="19"/>
          <w:color w:val="auto"/>
        </w:rPr>
        <w:t>Electric revenues increased by $347 million (19%) to $2.1 billion, and the cost of electric fuel and purchased power increased by $97 million (16%) to $721 million in 2006 compared to 2005. The increase in revenue was due to $206 million of increased authorized distribution, generation and transmission base margins, $60 million of higher revenues for recoverable expenses, and the $20 million favorable resolution of a prior year cost recovery issue. The increases were offset by a $28 million DSM awards settlement in 2005 and $23 million from the 2005 Internal Revenue Service (IRS) decision relating to the sale of SDG&amp;E's former South Bay power plant. In addition, electric revenues and costs increased due to the commencement of commercial operations of the Palomar generating facility in 2006, which contributed $112 million to both 2006 revenues and costs, offset by lower purchased power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420"/>
          </w:cols>
          <w:pgMar w:left="240" w:top="122" w:right="239" w:bottom="1440" w:gutter="0" w:footer="0" w:header="0"/>
        </w:sectPr>
      </w:pPr>
    </w:p>
    <w:bookmarkStart w:id="74" w:name="page75"/>
    <w:bookmarkEnd w:id="74"/>
    <w:p>
      <w:pPr>
        <w:ind w:right="260"/>
        <w:spacing w:after="0" w:line="262" w:lineRule="auto"/>
        <w:rPr>
          <w:sz w:val="20"/>
          <w:szCs w:val="20"/>
          <w:color w:val="auto"/>
        </w:rPr>
      </w:pPr>
      <w:r>
        <w:rPr>
          <w:rFonts w:ascii="Arial" w:cs="Arial" w:eastAsia="Arial" w:hAnsi="Arial"/>
          <w:sz w:val="20"/>
          <w:szCs w:val="20"/>
          <w:color w:val="auto"/>
        </w:rPr>
        <w:t>The tables below summarize the Sempra Utilities' natural gas and electric volumes and revenues by customer class for the years ended December 31, 2007, 2006 and 2005.</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color w:val="auto"/>
        </w:rPr>
        <w:t>Natural Gas Sales, Transportation and Exchange</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(Volumes in billion cubic feet, dollars in millions)</w:t>
      </w:r>
    </w:p>
    <w:p>
      <w:pPr>
        <w:spacing w:after="0" w:line="270" w:lineRule="exact"/>
        <w:rPr>
          <w:sz w:val="20"/>
          <w:szCs w:val="20"/>
          <w:color w:val="auto"/>
        </w:rPr>
      </w:pPr>
    </w:p>
    <w:tbl>
      <w:tblPr>
        <w:tblLayout w:type="fixed"/>
        <w:tblInd w:w="800" w:type="dxa"/>
        <w:tblCellMar>
          <w:top w:w="0" w:type="dxa"/>
          <w:left w:w="0" w:type="dxa"/>
          <w:bottom w:w="0" w:type="dxa"/>
          <w:right w:w="0" w:type="dxa"/>
        </w:tblCellMar>
      </w:tblPr>
      <w:tr>
        <w:trPr>
          <w:trHeight w:val="230"/>
        </w:trPr>
        <w:tc>
          <w:tcPr>
            <w:tcW w:w="24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Transportation</w:t>
            </w:r>
          </w:p>
        </w:tc>
        <w:tc>
          <w:tcPr>
            <w:tcW w:w="9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50"/>
        </w:trPr>
        <w:tc>
          <w:tcPr>
            <w:tcW w:w="2480" w:type="dxa"/>
            <w:vAlign w:val="bottom"/>
          </w:tcPr>
          <w:p>
            <w:pPr>
              <w:spacing w:after="0"/>
              <w:rPr>
                <w:sz w:val="21"/>
                <w:szCs w:val="21"/>
                <w:color w:val="auto"/>
              </w:rPr>
            </w:pPr>
          </w:p>
        </w:tc>
        <w:tc>
          <w:tcPr>
            <w:tcW w:w="1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Natural Gas Sales</w:t>
            </w:r>
          </w:p>
        </w:tc>
        <w:tc>
          <w:tcPr>
            <w:tcW w:w="66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and Exchange</w:t>
            </w:r>
          </w:p>
        </w:tc>
        <w:tc>
          <w:tcPr>
            <w:tcW w:w="9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r>
      <w:tr>
        <w:trPr>
          <w:trHeight w:val="237"/>
        </w:trPr>
        <w:tc>
          <w:tcPr>
            <w:tcW w:w="24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Volumes</w:t>
            </w:r>
          </w:p>
        </w:tc>
        <w:tc>
          <w:tcPr>
            <w:tcW w:w="118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8"/>
                <w:szCs w:val="18"/>
                <w:color w:val="auto"/>
              </w:rPr>
              <w:t>Revenue</w:t>
            </w:r>
          </w:p>
        </w:tc>
        <w:tc>
          <w:tcPr>
            <w:tcW w:w="12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Volumes</w:t>
            </w:r>
          </w:p>
        </w:tc>
        <w:tc>
          <w:tcPr>
            <w:tcW w:w="3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85"/>
              </w:rPr>
              <w:t>Revenue</w:t>
            </w:r>
          </w:p>
        </w:tc>
        <w:tc>
          <w:tcPr>
            <w:tcW w:w="14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Volumes</w:t>
            </w: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Revenue</w:t>
            </w:r>
          </w:p>
        </w:tc>
      </w:tr>
      <w:tr>
        <w:trPr>
          <w:trHeight w:val="230"/>
        </w:trPr>
        <w:tc>
          <w:tcPr>
            <w:tcW w:w="2480" w:type="dxa"/>
            <w:vAlign w:val="bottom"/>
          </w:tcPr>
          <w:p>
            <w:pPr>
              <w:ind w:left="20"/>
              <w:spacing w:after="0"/>
              <w:rPr>
                <w:sz w:val="20"/>
                <w:szCs w:val="20"/>
                <w:color w:val="auto"/>
              </w:rPr>
            </w:pPr>
            <w:r>
              <w:rPr>
                <w:rFonts w:ascii="Arial" w:cs="Arial" w:eastAsia="Arial" w:hAnsi="Arial"/>
                <w:sz w:val="18"/>
                <w:szCs w:val="18"/>
                <w:color w:val="auto"/>
              </w:rPr>
              <w:t>2007:</w:t>
            </w:r>
          </w:p>
        </w:tc>
        <w:tc>
          <w:tcPr>
            <w:tcW w:w="1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42"/>
        </w:trPr>
        <w:tc>
          <w:tcPr>
            <w:tcW w:w="2480" w:type="dxa"/>
            <w:vAlign w:val="bottom"/>
          </w:tcPr>
          <w:p>
            <w:pPr>
              <w:ind w:left="180"/>
              <w:spacing w:after="0"/>
              <w:rPr>
                <w:sz w:val="20"/>
                <w:szCs w:val="20"/>
                <w:color w:val="auto"/>
              </w:rPr>
            </w:pPr>
            <w:r>
              <w:rPr>
                <w:rFonts w:ascii="Arial" w:cs="Arial" w:eastAsia="Arial" w:hAnsi="Arial"/>
                <w:sz w:val="18"/>
                <w:szCs w:val="18"/>
                <w:color w:val="auto"/>
              </w:rPr>
              <w:t>Residential</w:t>
            </w:r>
          </w:p>
        </w:tc>
        <w:tc>
          <w:tcPr>
            <w:tcW w:w="1300" w:type="dxa"/>
            <w:vAlign w:val="bottom"/>
          </w:tcPr>
          <w:p>
            <w:pPr>
              <w:jc w:val="right"/>
              <w:ind w:right="170"/>
              <w:spacing w:after="0"/>
              <w:rPr>
                <w:sz w:val="20"/>
                <w:szCs w:val="20"/>
                <w:color w:val="auto"/>
              </w:rPr>
            </w:pPr>
            <w:r>
              <w:rPr>
                <w:rFonts w:ascii="Arial" w:cs="Arial" w:eastAsia="Arial" w:hAnsi="Arial"/>
                <w:sz w:val="18"/>
                <w:szCs w:val="18"/>
                <w:color w:val="auto"/>
              </w:rPr>
              <w:t>277</w:t>
            </w:r>
          </w:p>
        </w:tc>
        <w:tc>
          <w:tcPr>
            <w:tcW w:w="5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50"/>
              <w:spacing w:after="0"/>
              <w:rPr>
                <w:sz w:val="20"/>
                <w:szCs w:val="20"/>
                <w:color w:val="auto"/>
              </w:rPr>
            </w:pPr>
            <w:r>
              <w:rPr>
                <w:rFonts w:ascii="Arial" w:cs="Arial" w:eastAsia="Arial" w:hAnsi="Arial"/>
                <w:sz w:val="18"/>
                <w:szCs w:val="18"/>
                <w:color w:val="auto"/>
                <w:w w:val="88"/>
              </w:rPr>
              <w:t>3,065</w:t>
            </w:r>
          </w:p>
        </w:tc>
        <w:tc>
          <w:tcPr>
            <w:tcW w:w="1280" w:type="dxa"/>
            <w:vAlign w:val="bottom"/>
          </w:tcPr>
          <w:p>
            <w:pPr>
              <w:jc w:val="right"/>
              <w:ind w:right="170"/>
              <w:spacing w:after="0"/>
              <w:rPr>
                <w:sz w:val="20"/>
                <w:szCs w:val="20"/>
                <w:color w:val="auto"/>
              </w:rPr>
            </w:pPr>
            <w:r>
              <w:rPr>
                <w:rFonts w:ascii="Arial" w:cs="Arial" w:eastAsia="Arial" w:hAnsi="Arial"/>
                <w:sz w:val="18"/>
                <w:szCs w:val="18"/>
                <w:color w:val="auto"/>
              </w:rPr>
              <w:t>1</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30"/>
              <w:spacing w:after="0"/>
              <w:rPr>
                <w:sz w:val="20"/>
                <w:szCs w:val="20"/>
                <w:color w:val="auto"/>
              </w:rPr>
            </w:pPr>
            <w:r>
              <w:rPr>
                <w:rFonts w:ascii="Arial" w:cs="Arial" w:eastAsia="Arial" w:hAnsi="Arial"/>
                <w:sz w:val="18"/>
                <w:szCs w:val="18"/>
                <w:color w:val="auto"/>
              </w:rPr>
              <w:t>5</w:t>
            </w:r>
          </w:p>
        </w:tc>
        <w:tc>
          <w:tcPr>
            <w:tcW w:w="1460" w:type="dxa"/>
            <w:vAlign w:val="bottom"/>
          </w:tcPr>
          <w:p>
            <w:pPr>
              <w:jc w:val="right"/>
              <w:ind w:right="590"/>
              <w:spacing w:after="0"/>
              <w:rPr>
                <w:sz w:val="20"/>
                <w:szCs w:val="20"/>
                <w:color w:val="auto"/>
              </w:rPr>
            </w:pPr>
            <w:r>
              <w:rPr>
                <w:rFonts w:ascii="Arial" w:cs="Arial" w:eastAsia="Arial" w:hAnsi="Arial"/>
                <w:sz w:val="18"/>
                <w:szCs w:val="18"/>
                <w:color w:val="auto"/>
              </w:rPr>
              <w:t>278</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3,070</w:t>
            </w:r>
          </w:p>
        </w:tc>
      </w:tr>
      <w:tr>
        <w:trPr>
          <w:trHeight w:val="243"/>
        </w:trPr>
        <w:tc>
          <w:tcPr>
            <w:tcW w:w="2480" w:type="dxa"/>
            <w:vAlign w:val="bottom"/>
          </w:tcPr>
          <w:p>
            <w:pPr>
              <w:ind w:left="180"/>
              <w:spacing w:after="0"/>
              <w:rPr>
                <w:sz w:val="20"/>
                <w:szCs w:val="20"/>
                <w:color w:val="auto"/>
              </w:rPr>
            </w:pPr>
            <w:r>
              <w:rPr>
                <w:rFonts w:ascii="Arial" w:cs="Arial" w:eastAsia="Arial" w:hAnsi="Arial"/>
                <w:sz w:val="18"/>
                <w:szCs w:val="18"/>
                <w:color w:val="auto"/>
              </w:rPr>
              <w:t>Commercial and industrial</w:t>
            </w:r>
          </w:p>
        </w:tc>
        <w:tc>
          <w:tcPr>
            <w:tcW w:w="1300" w:type="dxa"/>
            <w:vAlign w:val="bottom"/>
          </w:tcPr>
          <w:p>
            <w:pPr>
              <w:jc w:val="right"/>
              <w:ind w:right="170"/>
              <w:spacing w:after="0"/>
              <w:rPr>
                <w:sz w:val="20"/>
                <w:szCs w:val="20"/>
                <w:color w:val="auto"/>
              </w:rPr>
            </w:pPr>
            <w:r>
              <w:rPr>
                <w:rFonts w:ascii="Arial" w:cs="Arial" w:eastAsia="Arial" w:hAnsi="Arial"/>
                <w:sz w:val="18"/>
                <w:szCs w:val="18"/>
                <w:color w:val="auto"/>
              </w:rPr>
              <w:t>127</w:t>
            </w:r>
          </w:p>
        </w:tc>
        <w:tc>
          <w:tcPr>
            <w:tcW w:w="520" w:type="dxa"/>
            <w:vAlign w:val="bottom"/>
          </w:tcPr>
          <w:p>
            <w:pPr>
              <w:spacing w:after="0"/>
              <w:rPr>
                <w:sz w:val="21"/>
                <w:szCs w:val="21"/>
                <w:color w:val="auto"/>
              </w:rPr>
            </w:pPr>
          </w:p>
        </w:tc>
        <w:tc>
          <w:tcPr>
            <w:tcW w:w="660" w:type="dxa"/>
            <w:vAlign w:val="bottom"/>
          </w:tcPr>
          <w:p>
            <w:pPr>
              <w:jc w:val="right"/>
              <w:ind w:right="150"/>
              <w:spacing w:after="0"/>
              <w:rPr>
                <w:sz w:val="20"/>
                <w:szCs w:val="20"/>
                <w:color w:val="auto"/>
              </w:rPr>
            </w:pPr>
            <w:r>
              <w:rPr>
                <w:rFonts w:ascii="Arial" w:cs="Arial" w:eastAsia="Arial" w:hAnsi="Arial"/>
                <w:sz w:val="18"/>
                <w:szCs w:val="18"/>
                <w:color w:val="auto"/>
                <w:w w:val="88"/>
              </w:rPr>
              <w:t>1,159</w:t>
            </w:r>
          </w:p>
        </w:tc>
        <w:tc>
          <w:tcPr>
            <w:tcW w:w="1280" w:type="dxa"/>
            <w:vAlign w:val="bottom"/>
          </w:tcPr>
          <w:p>
            <w:pPr>
              <w:jc w:val="right"/>
              <w:ind w:right="170"/>
              <w:spacing w:after="0"/>
              <w:rPr>
                <w:sz w:val="20"/>
                <w:szCs w:val="20"/>
                <w:color w:val="auto"/>
              </w:rPr>
            </w:pPr>
            <w:r>
              <w:rPr>
                <w:rFonts w:ascii="Arial" w:cs="Arial" w:eastAsia="Arial" w:hAnsi="Arial"/>
                <w:sz w:val="18"/>
                <w:szCs w:val="18"/>
                <w:color w:val="auto"/>
              </w:rPr>
              <w:t>282</w:t>
            </w:r>
          </w:p>
        </w:tc>
        <w:tc>
          <w:tcPr>
            <w:tcW w:w="360" w:type="dxa"/>
            <w:vAlign w:val="bottom"/>
          </w:tcPr>
          <w:p>
            <w:pPr>
              <w:spacing w:after="0"/>
              <w:rPr>
                <w:sz w:val="21"/>
                <w:szCs w:val="21"/>
                <w:color w:val="auto"/>
              </w:rPr>
            </w:pPr>
          </w:p>
        </w:tc>
        <w:tc>
          <w:tcPr>
            <w:tcW w:w="960" w:type="dxa"/>
            <w:vAlign w:val="bottom"/>
          </w:tcPr>
          <w:p>
            <w:pPr>
              <w:jc w:val="right"/>
              <w:ind w:right="230"/>
              <w:spacing w:after="0"/>
              <w:rPr>
                <w:sz w:val="20"/>
                <w:szCs w:val="20"/>
                <w:color w:val="auto"/>
              </w:rPr>
            </w:pPr>
            <w:r>
              <w:rPr>
                <w:rFonts w:ascii="Arial" w:cs="Arial" w:eastAsia="Arial" w:hAnsi="Arial"/>
                <w:sz w:val="18"/>
                <w:szCs w:val="18"/>
                <w:color w:val="auto"/>
              </w:rPr>
              <w:t>215</w:t>
            </w:r>
          </w:p>
        </w:tc>
        <w:tc>
          <w:tcPr>
            <w:tcW w:w="1460" w:type="dxa"/>
            <w:vAlign w:val="bottom"/>
          </w:tcPr>
          <w:p>
            <w:pPr>
              <w:jc w:val="right"/>
              <w:ind w:right="590"/>
              <w:spacing w:after="0"/>
              <w:rPr>
                <w:sz w:val="20"/>
                <w:szCs w:val="20"/>
                <w:color w:val="auto"/>
              </w:rPr>
            </w:pPr>
            <w:r>
              <w:rPr>
                <w:rFonts w:ascii="Arial" w:cs="Arial" w:eastAsia="Arial" w:hAnsi="Arial"/>
                <w:sz w:val="18"/>
                <w:szCs w:val="18"/>
                <w:color w:val="auto"/>
              </w:rPr>
              <w:t>409</w:t>
            </w: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1,374</w:t>
            </w:r>
          </w:p>
        </w:tc>
      </w:tr>
      <w:tr>
        <w:trPr>
          <w:trHeight w:val="243"/>
        </w:trPr>
        <w:tc>
          <w:tcPr>
            <w:tcW w:w="2480" w:type="dxa"/>
            <w:vAlign w:val="bottom"/>
          </w:tcPr>
          <w:p>
            <w:pPr>
              <w:ind w:left="180"/>
              <w:spacing w:after="0"/>
              <w:rPr>
                <w:sz w:val="20"/>
                <w:szCs w:val="20"/>
                <w:color w:val="auto"/>
              </w:rPr>
            </w:pPr>
            <w:r>
              <w:rPr>
                <w:rFonts w:ascii="Arial" w:cs="Arial" w:eastAsia="Arial" w:hAnsi="Arial"/>
                <w:sz w:val="18"/>
                <w:szCs w:val="18"/>
                <w:color w:val="auto"/>
              </w:rPr>
              <w:t>Electric generation plants</w:t>
            </w:r>
          </w:p>
        </w:tc>
        <w:tc>
          <w:tcPr>
            <w:tcW w:w="13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660" w:type="dxa"/>
            <w:vAlign w:val="bottom"/>
          </w:tcPr>
          <w:p>
            <w:pPr>
              <w:jc w:val="right"/>
              <w:ind w:right="150"/>
              <w:spacing w:after="0"/>
              <w:rPr>
                <w:sz w:val="20"/>
                <w:szCs w:val="20"/>
                <w:color w:val="auto"/>
              </w:rPr>
            </w:pPr>
            <w:r>
              <w:rPr>
                <w:rFonts w:ascii="Arial" w:cs="Arial" w:eastAsia="Arial" w:hAnsi="Arial"/>
                <w:sz w:val="18"/>
                <w:szCs w:val="18"/>
                <w:color w:val="auto"/>
              </w:rPr>
              <w:t>1</w:t>
            </w:r>
          </w:p>
        </w:tc>
        <w:tc>
          <w:tcPr>
            <w:tcW w:w="1280" w:type="dxa"/>
            <w:vAlign w:val="bottom"/>
          </w:tcPr>
          <w:p>
            <w:pPr>
              <w:jc w:val="right"/>
              <w:ind w:right="170"/>
              <w:spacing w:after="0"/>
              <w:rPr>
                <w:sz w:val="20"/>
                <w:szCs w:val="20"/>
                <w:color w:val="auto"/>
              </w:rPr>
            </w:pPr>
            <w:r>
              <w:rPr>
                <w:rFonts w:ascii="Arial" w:cs="Arial" w:eastAsia="Arial" w:hAnsi="Arial"/>
                <w:sz w:val="18"/>
                <w:szCs w:val="18"/>
                <w:color w:val="auto"/>
              </w:rPr>
              <w:t>264</w:t>
            </w:r>
          </w:p>
        </w:tc>
        <w:tc>
          <w:tcPr>
            <w:tcW w:w="360" w:type="dxa"/>
            <w:vAlign w:val="bottom"/>
          </w:tcPr>
          <w:p>
            <w:pPr>
              <w:spacing w:after="0"/>
              <w:rPr>
                <w:sz w:val="21"/>
                <w:szCs w:val="21"/>
                <w:color w:val="auto"/>
              </w:rPr>
            </w:pPr>
          </w:p>
        </w:tc>
        <w:tc>
          <w:tcPr>
            <w:tcW w:w="960" w:type="dxa"/>
            <w:vAlign w:val="bottom"/>
          </w:tcPr>
          <w:p>
            <w:pPr>
              <w:jc w:val="right"/>
              <w:ind w:right="230"/>
              <w:spacing w:after="0"/>
              <w:rPr>
                <w:sz w:val="20"/>
                <w:szCs w:val="20"/>
                <w:color w:val="auto"/>
              </w:rPr>
            </w:pPr>
            <w:r>
              <w:rPr>
                <w:rFonts w:ascii="Arial" w:cs="Arial" w:eastAsia="Arial" w:hAnsi="Arial"/>
                <w:sz w:val="18"/>
                <w:szCs w:val="18"/>
                <w:color w:val="auto"/>
              </w:rPr>
              <w:t>112</w:t>
            </w:r>
          </w:p>
        </w:tc>
        <w:tc>
          <w:tcPr>
            <w:tcW w:w="1460" w:type="dxa"/>
            <w:vAlign w:val="bottom"/>
          </w:tcPr>
          <w:p>
            <w:pPr>
              <w:jc w:val="right"/>
              <w:ind w:right="590"/>
              <w:spacing w:after="0"/>
              <w:rPr>
                <w:sz w:val="20"/>
                <w:szCs w:val="20"/>
                <w:color w:val="auto"/>
              </w:rPr>
            </w:pPr>
            <w:r>
              <w:rPr>
                <w:rFonts w:ascii="Arial" w:cs="Arial" w:eastAsia="Arial" w:hAnsi="Arial"/>
                <w:sz w:val="18"/>
                <w:szCs w:val="18"/>
                <w:color w:val="auto"/>
              </w:rPr>
              <w:t>264</w:t>
            </w: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57"/>
        </w:trPr>
        <w:tc>
          <w:tcPr>
            <w:tcW w:w="2480" w:type="dxa"/>
            <w:vAlign w:val="bottom"/>
          </w:tcPr>
          <w:p>
            <w:pPr>
              <w:ind w:left="180"/>
              <w:spacing w:after="0"/>
              <w:rPr>
                <w:sz w:val="20"/>
                <w:szCs w:val="20"/>
                <w:color w:val="auto"/>
              </w:rPr>
            </w:pPr>
            <w:r>
              <w:rPr>
                <w:rFonts w:ascii="Arial" w:cs="Arial" w:eastAsia="Arial" w:hAnsi="Arial"/>
                <w:sz w:val="18"/>
                <w:szCs w:val="18"/>
                <w:color w:val="auto"/>
              </w:rPr>
              <w:t>Wholesale</w:t>
            </w:r>
          </w:p>
        </w:tc>
        <w:tc>
          <w:tcPr>
            <w:tcW w:w="13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19</w:t>
            </w:r>
          </w:p>
        </w:tc>
        <w:tc>
          <w:tcPr>
            <w:tcW w:w="3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8</w:t>
            </w:r>
          </w:p>
        </w:tc>
        <w:tc>
          <w:tcPr>
            <w:tcW w:w="14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19</w:t>
            </w:r>
          </w:p>
        </w:tc>
        <w:tc>
          <w:tcPr>
            <w:tcW w:w="1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r>
      <w:tr>
        <w:trPr>
          <w:trHeight w:val="224"/>
        </w:trPr>
        <w:tc>
          <w:tcPr>
            <w:tcW w:w="2480" w:type="dxa"/>
            <w:vAlign w:val="bottom"/>
          </w:tcPr>
          <w:p>
            <w:pPr>
              <w:spacing w:after="0"/>
              <w:rPr>
                <w:sz w:val="19"/>
                <w:szCs w:val="19"/>
                <w:color w:val="auto"/>
              </w:rPr>
            </w:pPr>
          </w:p>
        </w:tc>
        <w:tc>
          <w:tcPr>
            <w:tcW w:w="1300" w:type="dxa"/>
            <w:vAlign w:val="bottom"/>
          </w:tcPr>
          <w:p>
            <w:pPr>
              <w:jc w:val="right"/>
              <w:ind w:right="170"/>
              <w:spacing w:after="0"/>
              <w:rPr>
                <w:sz w:val="20"/>
                <w:szCs w:val="20"/>
                <w:color w:val="auto"/>
              </w:rPr>
            </w:pPr>
            <w:r>
              <w:rPr>
                <w:rFonts w:ascii="Arial" w:cs="Arial" w:eastAsia="Arial" w:hAnsi="Arial"/>
                <w:sz w:val="18"/>
                <w:szCs w:val="18"/>
                <w:color w:val="auto"/>
              </w:rPr>
              <w:t>404</w:t>
            </w:r>
          </w:p>
        </w:tc>
        <w:tc>
          <w:tcPr>
            <w:tcW w:w="5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50"/>
              <w:spacing w:after="0"/>
              <w:rPr>
                <w:sz w:val="20"/>
                <w:szCs w:val="20"/>
                <w:color w:val="auto"/>
              </w:rPr>
            </w:pPr>
            <w:r>
              <w:rPr>
                <w:rFonts w:ascii="Arial" w:cs="Arial" w:eastAsia="Arial" w:hAnsi="Arial"/>
                <w:sz w:val="18"/>
                <w:szCs w:val="18"/>
                <w:color w:val="auto"/>
                <w:w w:val="88"/>
              </w:rPr>
              <w:t>4,225</w:t>
            </w:r>
          </w:p>
        </w:tc>
        <w:tc>
          <w:tcPr>
            <w:tcW w:w="1280" w:type="dxa"/>
            <w:vAlign w:val="bottom"/>
          </w:tcPr>
          <w:p>
            <w:pPr>
              <w:jc w:val="right"/>
              <w:ind w:right="170"/>
              <w:spacing w:after="0"/>
              <w:rPr>
                <w:sz w:val="20"/>
                <w:szCs w:val="20"/>
                <w:color w:val="auto"/>
              </w:rPr>
            </w:pPr>
            <w:r>
              <w:rPr>
                <w:rFonts w:ascii="Arial" w:cs="Arial" w:eastAsia="Arial" w:hAnsi="Arial"/>
                <w:sz w:val="18"/>
                <w:szCs w:val="18"/>
                <w:color w:val="auto"/>
              </w:rPr>
              <w:t>566</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30"/>
              <w:spacing w:after="0"/>
              <w:rPr>
                <w:sz w:val="20"/>
                <w:szCs w:val="20"/>
                <w:color w:val="auto"/>
              </w:rPr>
            </w:pPr>
            <w:r>
              <w:rPr>
                <w:rFonts w:ascii="Arial" w:cs="Arial" w:eastAsia="Arial" w:hAnsi="Arial"/>
                <w:sz w:val="18"/>
                <w:szCs w:val="18"/>
                <w:color w:val="auto"/>
              </w:rPr>
              <w:t>340</w:t>
            </w:r>
          </w:p>
        </w:tc>
        <w:tc>
          <w:tcPr>
            <w:tcW w:w="1460" w:type="dxa"/>
            <w:vAlign w:val="bottom"/>
          </w:tcPr>
          <w:p>
            <w:pPr>
              <w:jc w:val="right"/>
              <w:ind w:right="590"/>
              <w:spacing w:after="0"/>
              <w:rPr>
                <w:sz w:val="20"/>
                <w:szCs w:val="20"/>
                <w:color w:val="auto"/>
              </w:rPr>
            </w:pPr>
            <w:r>
              <w:rPr>
                <w:rFonts w:ascii="Arial" w:cs="Arial" w:eastAsia="Arial" w:hAnsi="Arial"/>
                <w:sz w:val="18"/>
                <w:szCs w:val="18"/>
                <w:color w:val="auto"/>
              </w:rPr>
              <w:t>970</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4,565</w:t>
            </w:r>
          </w:p>
        </w:tc>
      </w:tr>
      <w:tr>
        <w:trPr>
          <w:trHeight w:val="256"/>
        </w:trPr>
        <w:tc>
          <w:tcPr>
            <w:tcW w:w="2480" w:type="dxa"/>
            <w:vAlign w:val="bottom"/>
          </w:tcPr>
          <w:p>
            <w:pPr>
              <w:ind w:left="180"/>
              <w:spacing w:after="0"/>
              <w:rPr>
                <w:sz w:val="20"/>
                <w:szCs w:val="20"/>
                <w:color w:val="auto"/>
              </w:rPr>
            </w:pPr>
            <w:r>
              <w:rPr>
                <w:rFonts w:ascii="Arial" w:cs="Arial" w:eastAsia="Arial" w:hAnsi="Arial"/>
                <w:sz w:val="18"/>
                <w:szCs w:val="18"/>
                <w:color w:val="auto"/>
                <w:w w:val="96"/>
              </w:rPr>
              <w:t>Balancing accounts and other</w:t>
            </w:r>
          </w:p>
        </w:tc>
        <w:tc>
          <w:tcPr>
            <w:tcW w:w="13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w:t>
            </w:r>
          </w:p>
        </w:tc>
      </w:tr>
      <w:tr>
        <w:trPr>
          <w:trHeight w:val="257"/>
        </w:trPr>
        <w:tc>
          <w:tcPr>
            <w:tcW w:w="248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Total</w:t>
            </w:r>
          </w:p>
        </w:tc>
        <w:tc>
          <w:tcPr>
            <w:tcW w:w="13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4,869</w:t>
            </w:r>
          </w:p>
        </w:tc>
      </w:tr>
      <w:tr>
        <w:trPr>
          <w:trHeight w:val="230"/>
        </w:trPr>
        <w:tc>
          <w:tcPr>
            <w:tcW w:w="2480" w:type="dxa"/>
            <w:vAlign w:val="bottom"/>
          </w:tcPr>
          <w:p>
            <w:pPr>
              <w:ind w:left="20"/>
              <w:spacing w:after="0"/>
              <w:rPr>
                <w:sz w:val="20"/>
                <w:szCs w:val="20"/>
                <w:color w:val="auto"/>
              </w:rPr>
            </w:pPr>
            <w:r>
              <w:rPr>
                <w:rFonts w:ascii="Arial" w:cs="Arial" w:eastAsia="Arial" w:hAnsi="Arial"/>
                <w:sz w:val="18"/>
                <w:szCs w:val="18"/>
                <w:color w:val="auto"/>
              </w:rPr>
              <w:t>2006:</w:t>
            </w:r>
          </w:p>
        </w:tc>
        <w:tc>
          <w:tcPr>
            <w:tcW w:w="1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42"/>
        </w:trPr>
        <w:tc>
          <w:tcPr>
            <w:tcW w:w="2480" w:type="dxa"/>
            <w:vAlign w:val="bottom"/>
          </w:tcPr>
          <w:p>
            <w:pPr>
              <w:ind w:left="180"/>
              <w:spacing w:after="0"/>
              <w:rPr>
                <w:sz w:val="20"/>
                <w:szCs w:val="20"/>
                <w:color w:val="auto"/>
              </w:rPr>
            </w:pPr>
            <w:r>
              <w:rPr>
                <w:rFonts w:ascii="Arial" w:cs="Arial" w:eastAsia="Arial" w:hAnsi="Arial"/>
                <w:sz w:val="18"/>
                <w:szCs w:val="18"/>
                <w:color w:val="auto"/>
              </w:rPr>
              <w:t>Residential</w:t>
            </w:r>
          </w:p>
        </w:tc>
        <w:tc>
          <w:tcPr>
            <w:tcW w:w="1300" w:type="dxa"/>
            <w:vAlign w:val="bottom"/>
          </w:tcPr>
          <w:p>
            <w:pPr>
              <w:jc w:val="right"/>
              <w:ind w:right="170"/>
              <w:spacing w:after="0"/>
              <w:rPr>
                <w:sz w:val="20"/>
                <w:szCs w:val="20"/>
                <w:color w:val="auto"/>
              </w:rPr>
            </w:pPr>
            <w:r>
              <w:rPr>
                <w:rFonts w:ascii="Arial" w:cs="Arial" w:eastAsia="Arial" w:hAnsi="Arial"/>
                <w:sz w:val="18"/>
                <w:szCs w:val="18"/>
                <w:color w:val="auto"/>
              </w:rPr>
              <w:t>278</w:t>
            </w:r>
          </w:p>
        </w:tc>
        <w:tc>
          <w:tcPr>
            <w:tcW w:w="5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50"/>
              <w:spacing w:after="0"/>
              <w:rPr>
                <w:sz w:val="20"/>
                <w:szCs w:val="20"/>
                <w:color w:val="auto"/>
              </w:rPr>
            </w:pPr>
            <w:r>
              <w:rPr>
                <w:rFonts w:ascii="Arial" w:cs="Arial" w:eastAsia="Arial" w:hAnsi="Arial"/>
                <w:sz w:val="18"/>
                <w:szCs w:val="18"/>
                <w:color w:val="auto"/>
                <w:w w:val="88"/>
              </w:rPr>
              <w:t>3,124</w:t>
            </w:r>
          </w:p>
        </w:tc>
        <w:tc>
          <w:tcPr>
            <w:tcW w:w="1280" w:type="dxa"/>
            <w:vAlign w:val="bottom"/>
          </w:tcPr>
          <w:p>
            <w:pPr>
              <w:jc w:val="right"/>
              <w:ind w:right="170"/>
              <w:spacing w:after="0"/>
              <w:rPr>
                <w:sz w:val="20"/>
                <w:szCs w:val="20"/>
                <w:color w:val="auto"/>
              </w:rPr>
            </w:pPr>
            <w:r>
              <w:rPr>
                <w:rFonts w:ascii="Arial" w:cs="Arial" w:eastAsia="Arial" w:hAnsi="Arial"/>
                <w:sz w:val="18"/>
                <w:szCs w:val="18"/>
                <w:color w:val="auto"/>
              </w:rPr>
              <w:t>1</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30"/>
              <w:spacing w:after="0"/>
              <w:rPr>
                <w:sz w:val="20"/>
                <w:szCs w:val="20"/>
                <w:color w:val="auto"/>
              </w:rPr>
            </w:pPr>
            <w:r>
              <w:rPr>
                <w:rFonts w:ascii="Arial" w:cs="Arial" w:eastAsia="Arial" w:hAnsi="Arial"/>
                <w:sz w:val="18"/>
                <w:szCs w:val="18"/>
                <w:color w:val="auto"/>
              </w:rPr>
              <w:t>5</w:t>
            </w:r>
          </w:p>
        </w:tc>
        <w:tc>
          <w:tcPr>
            <w:tcW w:w="1460" w:type="dxa"/>
            <w:vAlign w:val="bottom"/>
          </w:tcPr>
          <w:p>
            <w:pPr>
              <w:jc w:val="right"/>
              <w:ind w:right="590"/>
              <w:spacing w:after="0"/>
              <w:rPr>
                <w:sz w:val="20"/>
                <w:szCs w:val="20"/>
                <w:color w:val="auto"/>
              </w:rPr>
            </w:pPr>
            <w:r>
              <w:rPr>
                <w:rFonts w:ascii="Arial" w:cs="Arial" w:eastAsia="Arial" w:hAnsi="Arial"/>
                <w:sz w:val="18"/>
                <w:szCs w:val="18"/>
                <w:color w:val="auto"/>
              </w:rPr>
              <w:t>279</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3,129</w:t>
            </w:r>
          </w:p>
        </w:tc>
      </w:tr>
      <w:tr>
        <w:trPr>
          <w:trHeight w:val="243"/>
        </w:trPr>
        <w:tc>
          <w:tcPr>
            <w:tcW w:w="2480" w:type="dxa"/>
            <w:vAlign w:val="bottom"/>
          </w:tcPr>
          <w:p>
            <w:pPr>
              <w:ind w:left="180"/>
              <w:spacing w:after="0"/>
              <w:rPr>
                <w:sz w:val="20"/>
                <w:szCs w:val="20"/>
                <w:color w:val="auto"/>
              </w:rPr>
            </w:pPr>
            <w:r>
              <w:rPr>
                <w:rFonts w:ascii="Arial" w:cs="Arial" w:eastAsia="Arial" w:hAnsi="Arial"/>
                <w:sz w:val="18"/>
                <w:szCs w:val="18"/>
                <w:color w:val="auto"/>
              </w:rPr>
              <w:t>Commercial and industrial</w:t>
            </w:r>
          </w:p>
        </w:tc>
        <w:tc>
          <w:tcPr>
            <w:tcW w:w="1300" w:type="dxa"/>
            <w:vAlign w:val="bottom"/>
          </w:tcPr>
          <w:p>
            <w:pPr>
              <w:jc w:val="right"/>
              <w:ind w:right="170"/>
              <w:spacing w:after="0"/>
              <w:rPr>
                <w:sz w:val="20"/>
                <w:szCs w:val="20"/>
                <w:color w:val="auto"/>
              </w:rPr>
            </w:pPr>
            <w:r>
              <w:rPr>
                <w:rFonts w:ascii="Arial" w:cs="Arial" w:eastAsia="Arial" w:hAnsi="Arial"/>
                <w:sz w:val="18"/>
                <w:szCs w:val="18"/>
                <w:color w:val="auto"/>
              </w:rPr>
              <w:t>124</w:t>
            </w:r>
          </w:p>
        </w:tc>
        <w:tc>
          <w:tcPr>
            <w:tcW w:w="520" w:type="dxa"/>
            <w:vAlign w:val="bottom"/>
          </w:tcPr>
          <w:p>
            <w:pPr>
              <w:spacing w:after="0"/>
              <w:rPr>
                <w:sz w:val="21"/>
                <w:szCs w:val="21"/>
                <w:color w:val="auto"/>
              </w:rPr>
            </w:pPr>
          </w:p>
        </w:tc>
        <w:tc>
          <w:tcPr>
            <w:tcW w:w="660" w:type="dxa"/>
            <w:vAlign w:val="bottom"/>
          </w:tcPr>
          <w:p>
            <w:pPr>
              <w:jc w:val="right"/>
              <w:ind w:right="150"/>
              <w:spacing w:after="0"/>
              <w:rPr>
                <w:sz w:val="20"/>
                <w:szCs w:val="20"/>
                <w:color w:val="auto"/>
              </w:rPr>
            </w:pPr>
            <w:r>
              <w:rPr>
                <w:rFonts w:ascii="Arial" w:cs="Arial" w:eastAsia="Arial" w:hAnsi="Arial"/>
                <w:sz w:val="18"/>
                <w:szCs w:val="18"/>
                <w:color w:val="auto"/>
                <w:w w:val="88"/>
              </w:rPr>
              <w:t>1,157</w:t>
            </w:r>
          </w:p>
        </w:tc>
        <w:tc>
          <w:tcPr>
            <w:tcW w:w="1280" w:type="dxa"/>
            <w:vAlign w:val="bottom"/>
          </w:tcPr>
          <w:p>
            <w:pPr>
              <w:jc w:val="right"/>
              <w:ind w:right="170"/>
              <w:spacing w:after="0"/>
              <w:rPr>
                <w:sz w:val="20"/>
                <w:szCs w:val="20"/>
                <w:color w:val="auto"/>
              </w:rPr>
            </w:pPr>
            <w:r>
              <w:rPr>
                <w:rFonts w:ascii="Arial" w:cs="Arial" w:eastAsia="Arial" w:hAnsi="Arial"/>
                <w:sz w:val="18"/>
                <w:szCs w:val="18"/>
                <w:color w:val="auto"/>
              </w:rPr>
              <w:t>276</w:t>
            </w:r>
          </w:p>
        </w:tc>
        <w:tc>
          <w:tcPr>
            <w:tcW w:w="360" w:type="dxa"/>
            <w:vAlign w:val="bottom"/>
          </w:tcPr>
          <w:p>
            <w:pPr>
              <w:spacing w:after="0"/>
              <w:rPr>
                <w:sz w:val="21"/>
                <w:szCs w:val="21"/>
                <w:color w:val="auto"/>
              </w:rPr>
            </w:pPr>
          </w:p>
        </w:tc>
        <w:tc>
          <w:tcPr>
            <w:tcW w:w="960" w:type="dxa"/>
            <w:vAlign w:val="bottom"/>
          </w:tcPr>
          <w:p>
            <w:pPr>
              <w:jc w:val="right"/>
              <w:ind w:right="230"/>
              <w:spacing w:after="0"/>
              <w:rPr>
                <w:sz w:val="20"/>
                <w:szCs w:val="20"/>
                <w:color w:val="auto"/>
              </w:rPr>
            </w:pPr>
            <w:r>
              <w:rPr>
                <w:rFonts w:ascii="Arial" w:cs="Arial" w:eastAsia="Arial" w:hAnsi="Arial"/>
                <w:sz w:val="18"/>
                <w:szCs w:val="18"/>
                <w:color w:val="auto"/>
              </w:rPr>
              <w:t>223</w:t>
            </w:r>
          </w:p>
        </w:tc>
        <w:tc>
          <w:tcPr>
            <w:tcW w:w="1460" w:type="dxa"/>
            <w:vAlign w:val="bottom"/>
          </w:tcPr>
          <w:p>
            <w:pPr>
              <w:jc w:val="right"/>
              <w:ind w:right="590"/>
              <w:spacing w:after="0"/>
              <w:rPr>
                <w:sz w:val="20"/>
                <w:szCs w:val="20"/>
                <w:color w:val="auto"/>
              </w:rPr>
            </w:pPr>
            <w:r>
              <w:rPr>
                <w:rFonts w:ascii="Arial" w:cs="Arial" w:eastAsia="Arial" w:hAnsi="Arial"/>
                <w:sz w:val="18"/>
                <w:szCs w:val="18"/>
                <w:color w:val="auto"/>
              </w:rPr>
              <w:t>400</w:t>
            </w: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1,380</w:t>
            </w:r>
          </w:p>
        </w:tc>
      </w:tr>
      <w:tr>
        <w:trPr>
          <w:trHeight w:val="243"/>
        </w:trPr>
        <w:tc>
          <w:tcPr>
            <w:tcW w:w="2480" w:type="dxa"/>
            <w:vAlign w:val="bottom"/>
          </w:tcPr>
          <w:p>
            <w:pPr>
              <w:ind w:left="180"/>
              <w:spacing w:after="0"/>
              <w:rPr>
                <w:sz w:val="20"/>
                <w:szCs w:val="20"/>
                <w:color w:val="auto"/>
              </w:rPr>
            </w:pPr>
            <w:r>
              <w:rPr>
                <w:rFonts w:ascii="Arial" w:cs="Arial" w:eastAsia="Arial" w:hAnsi="Arial"/>
                <w:sz w:val="18"/>
                <w:szCs w:val="18"/>
                <w:color w:val="auto"/>
              </w:rPr>
              <w:t>Electric generation plants</w:t>
            </w:r>
          </w:p>
        </w:tc>
        <w:tc>
          <w:tcPr>
            <w:tcW w:w="13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660" w:type="dxa"/>
            <w:vAlign w:val="bottom"/>
          </w:tcPr>
          <w:p>
            <w:pPr>
              <w:jc w:val="right"/>
              <w:ind w:right="150"/>
              <w:spacing w:after="0"/>
              <w:rPr>
                <w:sz w:val="20"/>
                <w:szCs w:val="20"/>
                <w:color w:val="auto"/>
              </w:rPr>
            </w:pPr>
            <w:r>
              <w:rPr>
                <w:rFonts w:ascii="Arial" w:cs="Arial" w:eastAsia="Arial" w:hAnsi="Arial"/>
                <w:sz w:val="18"/>
                <w:szCs w:val="18"/>
                <w:color w:val="auto"/>
              </w:rPr>
              <w:t>2</w:t>
            </w:r>
          </w:p>
        </w:tc>
        <w:tc>
          <w:tcPr>
            <w:tcW w:w="1280" w:type="dxa"/>
            <w:vAlign w:val="bottom"/>
          </w:tcPr>
          <w:p>
            <w:pPr>
              <w:jc w:val="right"/>
              <w:ind w:right="170"/>
              <w:spacing w:after="0"/>
              <w:rPr>
                <w:sz w:val="20"/>
                <w:szCs w:val="20"/>
                <w:color w:val="auto"/>
              </w:rPr>
            </w:pPr>
            <w:r>
              <w:rPr>
                <w:rFonts w:ascii="Arial" w:cs="Arial" w:eastAsia="Arial" w:hAnsi="Arial"/>
                <w:sz w:val="18"/>
                <w:szCs w:val="18"/>
                <w:color w:val="auto"/>
              </w:rPr>
              <w:t>248</w:t>
            </w:r>
          </w:p>
        </w:tc>
        <w:tc>
          <w:tcPr>
            <w:tcW w:w="360" w:type="dxa"/>
            <w:vAlign w:val="bottom"/>
          </w:tcPr>
          <w:p>
            <w:pPr>
              <w:spacing w:after="0"/>
              <w:rPr>
                <w:sz w:val="21"/>
                <w:szCs w:val="21"/>
                <w:color w:val="auto"/>
              </w:rPr>
            </w:pPr>
          </w:p>
        </w:tc>
        <w:tc>
          <w:tcPr>
            <w:tcW w:w="960" w:type="dxa"/>
            <w:vAlign w:val="bottom"/>
          </w:tcPr>
          <w:p>
            <w:pPr>
              <w:jc w:val="right"/>
              <w:ind w:right="230"/>
              <w:spacing w:after="0"/>
              <w:rPr>
                <w:sz w:val="20"/>
                <w:szCs w:val="20"/>
                <w:color w:val="auto"/>
              </w:rPr>
            </w:pPr>
            <w:r>
              <w:rPr>
                <w:rFonts w:ascii="Arial" w:cs="Arial" w:eastAsia="Arial" w:hAnsi="Arial"/>
                <w:sz w:val="18"/>
                <w:szCs w:val="18"/>
                <w:color w:val="auto"/>
              </w:rPr>
              <w:t>118</w:t>
            </w:r>
          </w:p>
        </w:tc>
        <w:tc>
          <w:tcPr>
            <w:tcW w:w="1460" w:type="dxa"/>
            <w:vAlign w:val="bottom"/>
          </w:tcPr>
          <w:p>
            <w:pPr>
              <w:jc w:val="right"/>
              <w:ind w:right="590"/>
              <w:spacing w:after="0"/>
              <w:rPr>
                <w:sz w:val="20"/>
                <w:szCs w:val="20"/>
                <w:color w:val="auto"/>
              </w:rPr>
            </w:pPr>
            <w:r>
              <w:rPr>
                <w:rFonts w:ascii="Arial" w:cs="Arial" w:eastAsia="Arial" w:hAnsi="Arial"/>
                <w:sz w:val="18"/>
                <w:szCs w:val="18"/>
                <w:color w:val="auto"/>
              </w:rPr>
              <w:t>248</w:t>
            </w: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57"/>
        </w:trPr>
        <w:tc>
          <w:tcPr>
            <w:tcW w:w="2480" w:type="dxa"/>
            <w:vAlign w:val="bottom"/>
          </w:tcPr>
          <w:p>
            <w:pPr>
              <w:ind w:left="180"/>
              <w:spacing w:after="0"/>
              <w:rPr>
                <w:sz w:val="20"/>
                <w:szCs w:val="20"/>
                <w:color w:val="auto"/>
              </w:rPr>
            </w:pPr>
            <w:r>
              <w:rPr>
                <w:rFonts w:ascii="Arial" w:cs="Arial" w:eastAsia="Arial" w:hAnsi="Arial"/>
                <w:sz w:val="18"/>
                <w:szCs w:val="18"/>
                <w:color w:val="auto"/>
              </w:rPr>
              <w:t>Wholesale</w:t>
            </w:r>
          </w:p>
        </w:tc>
        <w:tc>
          <w:tcPr>
            <w:tcW w:w="13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21</w:t>
            </w:r>
          </w:p>
        </w:tc>
        <w:tc>
          <w:tcPr>
            <w:tcW w:w="3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8</w:t>
            </w:r>
          </w:p>
        </w:tc>
        <w:tc>
          <w:tcPr>
            <w:tcW w:w="14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21</w:t>
            </w:r>
          </w:p>
        </w:tc>
        <w:tc>
          <w:tcPr>
            <w:tcW w:w="1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r>
      <w:tr>
        <w:trPr>
          <w:trHeight w:val="224"/>
        </w:trPr>
        <w:tc>
          <w:tcPr>
            <w:tcW w:w="2480" w:type="dxa"/>
            <w:vAlign w:val="bottom"/>
          </w:tcPr>
          <w:p>
            <w:pPr>
              <w:spacing w:after="0"/>
              <w:rPr>
                <w:sz w:val="19"/>
                <w:szCs w:val="19"/>
                <w:color w:val="auto"/>
              </w:rPr>
            </w:pPr>
          </w:p>
        </w:tc>
        <w:tc>
          <w:tcPr>
            <w:tcW w:w="1300" w:type="dxa"/>
            <w:vAlign w:val="bottom"/>
          </w:tcPr>
          <w:p>
            <w:pPr>
              <w:jc w:val="right"/>
              <w:ind w:right="170"/>
              <w:spacing w:after="0"/>
              <w:rPr>
                <w:sz w:val="20"/>
                <w:szCs w:val="20"/>
                <w:color w:val="auto"/>
              </w:rPr>
            </w:pPr>
            <w:r>
              <w:rPr>
                <w:rFonts w:ascii="Arial" w:cs="Arial" w:eastAsia="Arial" w:hAnsi="Arial"/>
                <w:sz w:val="18"/>
                <w:szCs w:val="18"/>
                <w:color w:val="auto"/>
              </w:rPr>
              <w:t>402</w:t>
            </w:r>
          </w:p>
        </w:tc>
        <w:tc>
          <w:tcPr>
            <w:tcW w:w="5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50"/>
              <w:spacing w:after="0"/>
              <w:rPr>
                <w:sz w:val="20"/>
                <w:szCs w:val="20"/>
                <w:color w:val="auto"/>
              </w:rPr>
            </w:pPr>
            <w:r>
              <w:rPr>
                <w:rFonts w:ascii="Arial" w:cs="Arial" w:eastAsia="Arial" w:hAnsi="Arial"/>
                <w:sz w:val="18"/>
                <w:szCs w:val="18"/>
                <w:color w:val="auto"/>
                <w:w w:val="88"/>
              </w:rPr>
              <w:t>4,283</w:t>
            </w:r>
          </w:p>
        </w:tc>
        <w:tc>
          <w:tcPr>
            <w:tcW w:w="1280" w:type="dxa"/>
            <w:vAlign w:val="bottom"/>
          </w:tcPr>
          <w:p>
            <w:pPr>
              <w:jc w:val="right"/>
              <w:ind w:right="170"/>
              <w:spacing w:after="0"/>
              <w:rPr>
                <w:sz w:val="20"/>
                <w:szCs w:val="20"/>
                <w:color w:val="auto"/>
              </w:rPr>
            </w:pPr>
            <w:r>
              <w:rPr>
                <w:rFonts w:ascii="Arial" w:cs="Arial" w:eastAsia="Arial" w:hAnsi="Arial"/>
                <w:sz w:val="18"/>
                <w:szCs w:val="18"/>
                <w:color w:val="auto"/>
              </w:rPr>
              <w:t>546</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30"/>
              <w:spacing w:after="0"/>
              <w:rPr>
                <w:sz w:val="20"/>
                <w:szCs w:val="20"/>
                <w:color w:val="auto"/>
              </w:rPr>
            </w:pPr>
            <w:r>
              <w:rPr>
                <w:rFonts w:ascii="Arial" w:cs="Arial" w:eastAsia="Arial" w:hAnsi="Arial"/>
                <w:sz w:val="18"/>
                <w:szCs w:val="18"/>
                <w:color w:val="auto"/>
              </w:rPr>
              <w:t>354</w:t>
            </w:r>
          </w:p>
        </w:tc>
        <w:tc>
          <w:tcPr>
            <w:tcW w:w="1460" w:type="dxa"/>
            <w:vAlign w:val="bottom"/>
          </w:tcPr>
          <w:p>
            <w:pPr>
              <w:jc w:val="right"/>
              <w:ind w:right="590"/>
              <w:spacing w:after="0"/>
              <w:rPr>
                <w:sz w:val="20"/>
                <w:szCs w:val="20"/>
                <w:color w:val="auto"/>
              </w:rPr>
            </w:pPr>
            <w:r>
              <w:rPr>
                <w:rFonts w:ascii="Arial" w:cs="Arial" w:eastAsia="Arial" w:hAnsi="Arial"/>
                <w:sz w:val="18"/>
                <w:szCs w:val="18"/>
                <w:color w:val="auto"/>
              </w:rPr>
              <w:t>948</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4,637</w:t>
            </w:r>
          </w:p>
        </w:tc>
      </w:tr>
      <w:tr>
        <w:trPr>
          <w:trHeight w:val="256"/>
        </w:trPr>
        <w:tc>
          <w:tcPr>
            <w:tcW w:w="2480" w:type="dxa"/>
            <w:vAlign w:val="bottom"/>
          </w:tcPr>
          <w:p>
            <w:pPr>
              <w:ind w:left="180"/>
              <w:spacing w:after="0"/>
              <w:rPr>
                <w:sz w:val="20"/>
                <w:szCs w:val="20"/>
                <w:color w:val="auto"/>
              </w:rPr>
            </w:pPr>
            <w:r>
              <w:rPr>
                <w:rFonts w:ascii="Arial" w:cs="Arial" w:eastAsia="Arial" w:hAnsi="Arial"/>
                <w:sz w:val="18"/>
                <w:szCs w:val="18"/>
                <w:color w:val="auto"/>
                <w:w w:val="96"/>
              </w:rPr>
              <w:t>Balancing accounts and other</w:t>
            </w:r>
          </w:p>
        </w:tc>
        <w:tc>
          <w:tcPr>
            <w:tcW w:w="13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r>
      <w:tr>
        <w:trPr>
          <w:trHeight w:val="257"/>
        </w:trPr>
        <w:tc>
          <w:tcPr>
            <w:tcW w:w="248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Total</w:t>
            </w:r>
          </w:p>
        </w:tc>
        <w:tc>
          <w:tcPr>
            <w:tcW w:w="13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4,763</w:t>
            </w:r>
          </w:p>
        </w:tc>
      </w:tr>
      <w:tr>
        <w:trPr>
          <w:trHeight w:val="230"/>
        </w:trPr>
        <w:tc>
          <w:tcPr>
            <w:tcW w:w="2480" w:type="dxa"/>
            <w:vAlign w:val="bottom"/>
          </w:tcPr>
          <w:p>
            <w:pPr>
              <w:ind w:left="20"/>
              <w:spacing w:after="0"/>
              <w:rPr>
                <w:sz w:val="20"/>
                <w:szCs w:val="20"/>
                <w:color w:val="auto"/>
              </w:rPr>
            </w:pPr>
            <w:r>
              <w:rPr>
                <w:rFonts w:ascii="Arial" w:cs="Arial" w:eastAsia="Arial" w:hAnsi="Arial"/>
                <w:sz w:val="18"/>
                <w:szCs w:val="18"/>
                <w:color w:val="auto"/>
              </w:rPr>
              <w:t>2005:</w:t>
            </w:r>
          </w:p>
        </w:tc>
        <w:tc>
          <w:tcPr>
            <w:tcW w:w="1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42"/>
        </w:trPr>
        <w:tc>
          <w:tcPr>
            <w:tcW w:w="2480" w:type="dxa"/>
            <w:vAlign w:val="bottom"/>
          </w:tcPr>
          <w:p>
            <w:pPr>
              <w:ind w:left="180"/>
              <w:spacing w:after="0"/>
              <w:rPr>
                <w:sz w:val="20"/>
                <w:szCs w:val="20"/>
                <w:color w:val="auto"/>
              </w:rPr>
            </w:pPr>
            <w:r>
              <w:rPr>
                <w:rFonts w:ascii="Arial" w:cs="Arial" w:eastAsia="Arial" w:hAnsi="Arial"/>
                <w:sz w:val="18"/>
                <w:szCs w:val="18"/>
                <w:color w:val="auto"/>
              </w:rPr>
              <w:t>Residential</w:t>
            </w:r>
          </w:p>
        </w:tc>
        <w:tc>
          <w:tcPr>
            <w:tcW w:w="1300" w:type="dxa"/>
            <w:vAlign w:val="bottom"/>
          </w:tcPr>
          <w:p>
            <w:pPr>
              <w:jc w:val="right"/>
              <w:ind w:right="170"/>
              <w:spacing w:after="0"/>
              <w:rPr>
                <w:sz w:val="20"/>
                <w:szCs w:val="20"/>
                <w:color w:val="auto"/>
              </w:rPr>
            </w:pPr>
            <w:r>
              <w:rPr>
                <w:rFonts w:ascii="Arial" w:cs="Arial" w:eastAsia="Arial" w:hAnsi="Arial"/>
                <w:sz w:val="18"/>
                <w:szCs w:val="18"/>
                <w:color w:val="auto"/>
              </w:rPr>
              <w:t>271</w:t>
            </w:r>
          </w:p>
        </w:tc>
        <w:tc>
          <w:tcPr>
            <w:tcW w:w="5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50"/>
              <w:spacing w:after="0"/>
              <w:rPr>
                <w:sz w:val="20"/>
                <w:szCs w:val="20"/>
                <w:color w:val="auto"/>
              </w:rPr>
            </w:pPr>
            <w:r>
              <w:rPr>
                <w:rFonts w:ascii="Arial" w:cs="Arial" w:eastAsia="Arial" w:hAnsi="Arial"/>
                <w:sz w:val="18"/>
                <w:szCs w:val="18"/>
                <w:color w:val="auto"/>
                <w:w w:val="88"/>
              </w:rPr>
              <w:t>3,193</w:t>
            </w:r>
          </w:p>
        </w:tc>
        <w:tc>
          <w:tcPr>
            <w:tcW w:w="1280" w:type="dxa"/>
            <w:vAlign w:val="bottom"/>
          </w:tcPr>
          <w:p>
            <w:pPr>
              <w:jc w:val="right"/>
              <w:ind w:right="170"/>
              <w:spacing w:after="0"/>
              <w:rPr>
                <w:sz w:val="20"/>
                <w:szCs w:val="20"/>
                <w:color w:val="auto"/>
              </w:rPr>
            </w:pPr>
            <w:r>
              <w:rPr>
                <w:rFonts w:ascii="Arial" w:cs="Arial" w:eastAsia="Arial" w:hAnsi="Arial"/>
                <w:sz w:val="18"/>
                <w:szCs w:val="18"/>
                <w:color w:val="auto"/>
              </w:rPr>
              <w:t>1</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30"/>
              <w:spacing w:after="0"/>
              <w:rPr>
                <w:sz w:val="20"/>
                <w:szCs w:val="20"/>
                <w:color w:val="auto"/>
              </w:rPr>
            </w:pPr>
            <w:r>
              <w:rPr>
                <w:rFonts w:ascii="Arial" w:cs="Arial" w:eastAsia="Arial" w:hAnsi="Arial"/>
                <w:sz w:val="18"/>
                <w:szCs w:val="18"/>
                <w:color w:val="auto"/>
              </w:rPr>
              <w:t>6</w:t>
            </w:r>
          </w:p>
        </w:tc>
        <w:tc>
          <w:tcPr>
            <w:tcW w:w="1460" w:type="dxa"/>
            <w:vAlign w:val="bottom"/>
          </w:tcPr>
          <w:p>
            <w:pPr>
              <w:jc w:val="right"/>
              <w:ind w:right="590"/>
              <w:spacing w:after="0"/>
              <w:rPr>
                <w:sz w:val="20"/>
                <w:szCs w:val="20"/>
                <w:color w:val="auto"/>
              </w:rPr>
            </w:pPr>
            <w:r>
              <w:rPr>
                <w:rFonts w:ascii="Arial" w:cs="Arial" w:eastAsia="Arial" w:hAnsi="Arial"/>
                <w:sz w:val="18"/>
                <w:szCs w:val="18"/>
                <w:color w:val="auto"/>
              </w:rPr>
              <w:t>272</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3,199</w:t>
            </w:r>
          </w:p>
        </w:tc>
      </w:tr>
      <w:tr>
        <w:trPr>
          <w:trHeight w:val="243"/>
        </w:trPr>
        <w:tc>
          <w:tcPr>
            <w:tcW w:w="2480" w:type="dxa"/>
            <w:vAlign w:val="bottom"/>
          </w:tcPr>
          <w:p>
            <w:pPr>
              <w:ind w:left="180"/>
              <w:spacing w:after="0"/>
              <w:rPr>
                <w:sz w:val="20"/>
                <w:szCs w:val="20"/>
                <w:color w:val="auto"/>
              </w:rPr>
            </w:pPr>
            <w:r>
              <w:rPr>
                <w:rFonts w:ascii="Arial" w:cs="Arial" w:eastAsia="Arial" w:hAnsi="Arial"/>
                <w:sz w:val="18"/>
                <w:szCs w:val="18"/>
                <w:color w:val="auto"/>
              </w:rPr>
              <w:t>Commercial and industrial</w:t>
            </w:r>
          </w:p>
        </w:tc>
        <w:tc>
          <w:tcPr>
            <w:tcW w:w="1300" w:type="dxa"/>
            <w:vAlign w:val="bottom"/>
          </w:tcPr>
          <w:p>
            <w:pPr>
              <w:jc w:val="right"/>
              <w:ind w:right="170"/>
              <w:spacing w:after="0"/>
              <w:rPr>
                <w:sz w:val="20"/>
                <w:szCs w:val="20"/>
                <w:color w:val="auto"/>
              </w:rPr>
            </w:pPr>
            <w:r>
              <w:rPr>
                <w:rFonts w:ascii="Arial" w:cs="Arial" w:eastAsia="Arial" w:hAnsi="Arial"/>
                <w:sz w:val="18"/>
                <w:szCs w:val="18"/>
                <w:color w:val="auto"/>
              </w:rPr>
              <w:t>123</w:t>
            </w:r>
          </w:p>
        </w:tc>
        <w:tc>
          <w:tcPr>
            <w:tcW w:w="520" w:type="dxa"/>
            <w:vAlign w:val="bottom"/>
          </w:tcPr>
          <w:p>
            <w:pPr>
              <w:spacing w:after="0"/>
              <w:rPr>
                <w:sz w:val="21"/>
                <w:szCs w:val="21"/>
                <w:color w:val="auto"/>
              </w:rPr>
            </w:pPr>
          </w:p>
        </w:tc>
        <w:tc>
          <w:tcPr>
            <w:tcW w:w="660" w:type="dxa"/>
            <w:vAlign w:val="bottom"/>
          </w:tcPr>
          <w:p>
            <w:pPr>
              <w:jc w:val="right"/>
              <w:ind w:right="150"/>
              <w:spacing w:after="0"/>
              <w:rPr>
                <w:sz w:val="20"/>
                <w:szCs w:val="20"/>
                <w:color w:val="auto"/>
              </w:rPr>
            </w:pPr>
            <w:r>
              <w:rPr>
                <w:rFonts w:ascii="Arial" w:cs="Arial" w:eastAsia="Arial" w:hAnsi="Arial"/>
                <w:sz w:val="18"/>
                <w:szCs w:val="18"/>
                <w:color w:val="auto"/>
                <w:w w:val="88"/>
              </w:rPr>
              <w:t>1,257</w:t>
            </w:r>
          </w:p>
        </w:tc>
        <w:tc>
          <w:tcPr>
            <w:tcW w:w="1280" w:type="dxa"/>
            <w:vAlign w:val="bottom"/>
          </w:tcPr>
          <w:p>
            <w:pPr>
              <w:jc w:val="right"/>
              <w:ind w:right="170"/>
              <w:spacing w:after="0"/>
              <w:rPr>
                <w:sz w:val="20"/>
                <w:szCs w:val="20"/>
                <w:color w:val="auto"/>
              </w:rPr>
            </w:pPr>
            <w:r>
              <w:rPr>
                <w:rFonts w:ascii="Arial" w:cs="Arial" w:eastAsia="Arial" w:hAnsi="Arial"/>
                <w:sz w:val="18"/>
                <w:szCs w:val="18"/>
                <w:color w:val="auto"/>
              </w:rPr>
              <w:t>273</w:t>
            </w:r>
          </w:p>
        </w:tc>
        <w:tc>
          <w:tcPr>
            <w:tcW w:w="360" w:type="dxa"/>
            <w:vAlign w:val="bottom"/>
          </w:tcPr>
          <w:p>
            <w:pPr>
              <w:spacing w:after="0"/>
              <w:rPr>
                <w:sz w:val="21"/>
                <w:szCs w:val="21"/>
                <w:color w:val="auto"/>
              </w:rPr>
            </w:pPr>
          </w:p>
        </w:tc>
        <w:tc>
          <w:tcPr>
            <w:tcW w:w="960" w:type="dxa"/>
            <w:vAlign w:val="bottom"/>
          </w:tcPr>
          <w:p>
            <w:pPr>
              <w:jc w:val="right"/>
              <w:ind w:right="230"/>
              <w:spacing w:after="0"/>
              <w:rPr>
                <w:sz w:val="20"/>
                <w:szCs w:val="20"/>
                <w:color w:val="auto"/>
              </w:rPr>
            </w:pPr>
            <w:r>
              <w:rPr>
                <w:rFonts w:ascii="Arial" w:cs="Arial" w:eastAsia="Arial" w:hAnsi="Arial"/>
                <w:sz w:val="18"/>
                <w:szCs w:val="18"/>
                <w:color w:val="auto"/>
              </w:rPr>
              <w:t>190</w:t>
            </w:r>
          </w:p>
        </w:tc>
        <w:tc>
          <w:tcPr>
            <w:tcW w:w="1460" w:type="dxa"/>
            <w:vAlign w:val="bottom"/>
          </w:tcPr>
          <w:p>
            <w:pPr>
              <w:jc w:val="right"/>
              <w:ind w:right="590"/>
              <w:spacing w:after="0"/>
              <w:rPr>
                <w:sz w:val="20"/>
                <w:szCs w:val="20"/>
                <w:color w:val="auto"/>
              </w:rPr>
            </w:pPr>
            <w:r>
              <w:rPr>
                <w:rFonts w:ascii="Arial" w:cs="Arial" w:eastAsia="Arial" w:hAnsi="Arial"/>
                <w:sz w:val="18"/>
                <w:szCs w:val="18"/>
                <w:color w:val="auto"/>
              </w:rPr>
              <w:t>396</w:t>
            </w: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1,447</w:t>
            </w:r>
          </w:p>
        </w:tc>
      </w:tr>
      <w:tr>
        <w:trPr>
          <w:trHeight w:val="243"/>
        </w:trPr>
        <w:tc>
          <w:tcPr>
            <w:tcW w:w="2480" w:type="dxa"/>
            <w:vAlign w:val="bottom"/>
          </w:tcPr>
          <w:p>
            <w:pPr>
              <w:ind w:left="180"/>
              <w:spacing w:after="0"/>
              <w:rPr>
                <w:sz w:val="20"/>
                <w:szCs w:val="20"/>
                <w:color w:val="auto"/>
              </w:rPr>
            </w:pPr>
            <w:r>
              <w:rPr>
                <w:rFonts w:ascii="Arial" w:cs="Arial" w:eastAsia="Arial" w:hAnsi="Arial"/>
                <w:sz w:val="18"/>
                <w:szCs w:val="18"/>
                <w:color w:val="auto"/>
              </w:rPr>
              <w:t>Electric generation plants</w:t>
            </w:r>
          </w:p>
        </w:tc>
        <w:tc>
          <w:tcPr>
            <w:tcW w:w="1300" w:type="dxa"/>
            <w:vAlign w:val="bottom"/>
          </w:tcPr>
          <w:p>
            <w:pPr>
              <w:jc w:val="right"/>
              <w:ind w:right="170"/>
              <w:spacing w:after="0"/>
              <w:rPr>
                <w:sz w:val="20"/>
                <w:szCs w:val="20"/>
                <w:color w:val="auto"/>
              </w:rPr>
            </w:pPr>
            <w:r>
              <w:rPr>
                <w:rFonts w:ascii="Arial" w:cs="Arial" w:eastAsia="Arial" w:hAnsi="Arial"/>
                <w:sz w:val="18"/>
                <w:szCs w:val="18"/>
                <w:color w:val="auto"/>
              </w:rPr>
              <w:t>1</w:t>
            </w:r>
          </w:p>
        </w:tc>
        <w:tc>
          <w:tcPr>
            <w:tcW w:w="520" w:type="dxa"/>
            <w:vAlign w:val="bottom"/>
          </w:tcPr>
          <w:p>
            <w:pPr>
              <w:spacing w:after="0"/>
              <w:rPr>
                <w:sz w:val="21"/>
                <w:szCs w:val="21"/>
                <w:color w:val="auto"/>
              </w:rPr>
            </w:pPr>
          </w:p>
        </w:tc>
        <w:tc>
          <w:tcPr>
            <w:tcW w:w="660" w:type="dxa"/>
            <w:vAlign w:val="bottom"/>
          </w:tcPr>
          <w:p>
            <w:pPr>
              <w:jc w:val="right"/>
              <w:ind w:right="150"/>
              <w:spacing w:after="0"/>
              <w:rPr>
                <w:sz w:val="20"/>
                <w:szCs w:val="20"/>
                <w:color w:val="auto"/>
              </w:rPr>
            </w:pPr>
            <w:r>
              <w:rPr>
                <w:rFonts w:ascii="Arial" w:cs="Arial" w:eastAsia="Arial" w:hAnsi="Arial"/>
                <w:sz w:val="18"/>
                <w:szCs w:val="18"/>
                <w:color w:val="auto"/>
              </w:rPr>
              <w:t>3</w:t>
            </w:r>
          </w:p>
        </w:tc>
        <w:tc>
          <w:tcPr>
            <w:tcW w:w="1280" w:type="dxa"/>
            <w:vAlign w:val="bottom"/>
          </w:tcPr>
          <w:p>
            <w:pPr>
              <w:jc w:val="right"/>
              <w:ind w:right="170"/>
              <w:spacing w:after="0"/>
              <w:rPr>
                <w:sz w:val="20"/>
                <w:szCs w:val="20"/>
                <w:color w:val="auto"/>
              </w:rPr>
            </w:pPr>
            <w:r>
              <w:rPr>
                <w:rFonts w:ascii="Arial" w:cs="Arial" w:eastAsia="Arial" w:hAnsi="Arial"/>
                <w:sz w:val="18"/>
                <w:szCs w:val="18"/>
                <w:color w:val="auto"/>
              </w:rPr>
              <w:t>201</w:t>
            </w:r>
          </w:p>
        </w:tc>
        <w:tc>
          <w:tcPr>
            <w:tcW w:w="360" w:type="dxa"/>
            <w:vAlign w:val="bottom"/>
          </w:tcPr>
          <w:p>
            <w:pPr>
              <w:spacing w:after="0"/>
              <w:rPr>
                <w:sz w:val="21"/>
                <w:szCs w:val="21"/>
                <w:color w:val="auto"/>
              </w:rPr>
            </w:pPr>
          </w:p>
        </w:tc>
        <w:tc>
          <w:tcPr>
            <w:tcW w:w="960" w:type="dxa"/>
            <w:vAlign w:val="bottom"/>
          </w:tcPr>
          <w:p>
            <w:pPr>
              <w:jc w:val="right"/>
              <w:ind w:right="230"/>
              <w:spacing w:after="0"/>
              <w:rPr>
                <w:sz w:val="20"/>
                <w:szCs w:val="20"/>
                <w:color w:val="auto"/>
              </w:rPr>
            </w:pPr>
            <w:r>
              <w:rPr>
                <w:rFonts w:ascii="Arial" w:cs="Arial" w:eastAsia="Arial" w:hAnsi="Arial"/>
                <w:sz w:val="18"/>
                <w:szCs w:val="18"/>
                <w:color w:val="auto"/>
              </w:rPr>
              <w:t>88</w:t>
            </w:r>
          </w:p>
        </w:tc>
        <w:tc>
          <w:tcPr>
            <w:tcW w:w="1460" w:type="dxa"/>
            <w:vAlign w:val="bottom"/>
          </w:tcPr>
          <w:p>
            <w:pPr>
              <w:jc w:val="right"/>
              <w:ind w:right="590"/>
              <w:spacing w:after="0"/>
              <w:rPr>
                <w:sz w:val="20"/>
                <w:szCs w:val="20"/>
                <w:color w:val="auto"/>
              </w:rPr>
            </w:pPr>
            <w:r>
              <w:rPr>
                <w:rFonts w:ascii="Arial" w:cs="Arial" w:eastAsia="Arial" w:hAnsi="Arial"/>
                <w:sz w:val="18"/>
                <w:szCs w:val="18"/>
                <w:color w:val="auto"/>
              </w:rPr>
              <w:t>202</w:t>
            </w: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57"/>
        </w:trPr>
        <w:tc>
          <w:tcPr>
            <w:tcW w:w="2480" w:type="dxa"/>
            <w:vAlign w:val="bottom"/>
          </w:tcPr>
          <w:p>
            <w:pPr>
              <w:ind w:left="180"/>
              <w:spacing w:after="0"/>
              <w:rPr>
                <w:sz w:val="20"/>
                <w:szCs w:val="20"/>
                <w:color w:val="auto"/>
              </w:rPr>
            </w:pPr>
            <w:r>
              <w:rPr>
                <w:rFonts w:ascii="Arial" w:cs="Arial" w:eastAsia="Arial" w:hAnsi="Arial"/>
                <w:sz w:val="18"/>
                <w:szCs w:val="18"/>
                <w:color w:val="auto"/>
              </w:rPr>
              <w:t>Wholesale</w:t>
            </w:r>
          </w:p>
        </w:tc>
        <w:tc>
          <w:tcPr>
            <w:tcW w:w="13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19</w:t>
            </w:r>
          </w:p>
        </w:tc>
        <w:tc>
          <w:tcPr>
            <w:tcW w:w="3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6</w:t>
            </w:r>
          </w:p>
        </w:tc>
        <w:tc>
          <w:tcPr>
            <w:tcW w:w="14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19</w:t>
            </w:r>
          </w:p>
        </w:tc>
        <w:tc>
          <w:tcPr>
            <w:tcW w:w="1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224"/>
        </w:trPr>
        <w:tc>
          <w:tcPr>
            <w:tcW w:w="2480" w:type="dxa"/>
            <w:vAlign w:val="bottom"/>
          </w:tcPr>
          <w:p>
            <w:pPr>
              <w:spacing w:after="0"/>
              <w:rPr>
                <w:sz w:val="19"/>
                <w:szCs w:val="19"/>
                <w:color w:val="auto"/>
              </w:rPr>
            </w:pPr>
          </w:p>
        </w:tc>
        <w:tc>
          <w:tcPr>
            <w:tcW w:w="1300" w:type="dxa"/>
            <w:vAlign w:val="bottom"/>
          </w:tcPr>
          <w:p>
            <w:pPr>
              <w:jc w:val="right"/>
              <w:ind w:right="170"/>
              <w:spacing w:after="0"/>
              <w:rPr>
                <w:sz w:val="20"/>
                <w:szCs w:val="20"/>
                <w:color w:val="auto"/>
              </w:rPr>
            </w:pPr>
            <w:r>
              <w:rPr>
                <w:rFonts w:ascii="Arial" w:cs="Arial" w:eastAsia="Arial" w:hAnsi="Arial"/>
                <w:sz w:val="18"/>
                <w:szCs w:val="18"/>
                <w:color w:val="auto"/>
              </w:rPr>
              <w:t>395</w:t>
            </w:r>
          </w:p>
        </w:tc>
        <w:tc>
          <w:tcPr>
            <w:tcW w:w="5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50"/>
              <w:spacing w:after="0"/>
              <w:rPr>
                <w:sz w:val="20"/>
                <w:szCs w:val="20"/>
                <w:color w:val="auto"/>
              </w:rPr>
            </w:pPr>
            <w:r>
              <w:rPr>
                <w:rFonts w:ascii="Arial" w:cs="Arial" w:eastAsia="Arial" w:hAnsi="Arial"/>
                <w:sz w:val="18"/>
                <w:szCs w:val="18"/>
                <w:color w:val="auto"/>
                <w:w w:val="88"/>
              </w:rPr>
              <w:t>4,453</w:t>
            </w:r>
          </w:p>
        </w:tc>
        <w:tc>
          <w:tcPr>
            <w:tcW w:w="1280" w:type="dxa"/>
            <w:vAlign w:val="bottom"/>
          </w:tcPr>
          <w:p>
            <w:pPr>
              <w:jc w:val="right"/>
              <w:ind w:right="170"/>
              <w:spacing w:after="0"/>
              <w:rPr>
                <w:sz w:val="20"/>
                <w:szCs w:val="20"/>
                <w:color w:val="auto"/>
              </w:rPr>
            </w:pPr>
            <w:r>
              <w:rPr>
                <w:rFonts w:ascii="Arial" w:cs="Arial" w:eastAsia="Arial" w:hAnsi="Arial"/>
                <w:sz w:val="18"/>
                <w:szCs w:val="18"/>
                <w:color w:val="auto"/>
              </w:rPr>
              <w:t>494</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30"/>
              <w:spacing w:after="0"/>
              <w:rPr>
                <w:sz w:val="20"/>
                <w:szCs w:val="20"/>
                <w:color w:val="auto"/>
              </w:rPr>
            </w:pPr>
            <w:r>
              <w:rPr>
                <w:rFonts w:ascii="Arial" w:cs="Arial" w:eastAsia="Arial" w:hAnsi="Arial"/>
                <w:sz w:val="18"/>
                <w:szCs w:val="18"/>
                <w:color w:val="auto"/>
              </w:rPr>
              <w:t>290</w:t>
            </w:r>
          </w:p>
        </w:tc>
        <w:tc>
          <w:tcPr>
            <w:tcW w:w="1460" w:type="dxa"/>
            <w:vAlign w:val="bottom"/>
          </w:tcPr>
          <w:p>
            <w:pPr>
              <w:jc w:val="right"/>
              <w:ind w:right="590"/>
              <w:spacing w:after="0"/>
              <w:rPr>
                <w:sz w:val="20"/>
                <w:szCs w:val="20"/>
                <w:color w:val="auto"/>
              </w:rPr>
            </w:pPr>
            <w:r>
              <w:rPr>
                <w:rFonts w:ascii="Arial" w:cs="Arial" w:eastAsia="Arial" w:hAnsi="Arial"/>
                <w:sz w:val="18"/>
                <w:szCs w:val="18"/>
                <w:color w:val="auto"/>
              </w:rPr>
              <w:t>889</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4,743</w:t>
            </w:r>
          </w:p>
        </w:tc>
      </w:tr>
      <w:tr>
        <w:trPr>
          <w:trHeight w:val="256"/>
        </w:trPr>
        <w:tc>
          <w:tcPr>
            <w:tcW w:w="2480" w:type="dxa"/>
            <w:vAlign w:val="bottom"/>
          </w:tcPr>
          <w:p>
            <w:pPr>
              <w:ind w:left="180"/>
              <w:spacing w:after="0"/>
              <w:rPr>
                <w:sz w:val="20"/>
                <w:szCs w:val="20"/>
                <w:color w:val="auto"/>
              </w:rPr>
            </w:pPr>
            <w:r>
              <w:rPr>
                <w:rFonts w:ascii="Arial" w:cs="Arial" w:eastAsia="Arial" w:hAnsi="Arial"/>
                <w:sz w:val="18"/>
                <w:szCs w:val="18"/>
                <w:color w:val="auto"/>
                <w:w w:val="96"/>
              </w:rPr>
              <w:t>Balancing accounts and other</w:t>
            </w:r>
          </w:p>
        </w:tc>
        <w:tc>
          <w:tcPr>
            <w:tcW w:w="13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w:t>
            </w:r>
          </w:p>
        </w:tc>
      </w:tr>
      <w:tr>
        <w:trPr>
          <w:trHeight w:val="257"/>
        </w:trPr>
        <w:tc>
          <w:tcPr>
            <w:tcW w:w="248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Total</w:t>
            </w:r>
          </w:p>
        </w:tc>
        <w:tc>
          <w:tcPr>
            <w:tcW w:w="13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5,253</w:t>
            </w:r>
          </w:p>
        </w:tc>
      </w:tr>
    </w:tbl>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0"/>
          <w:szCs w:val="20"/>
          <w:color w:val="auto"/>
        </w:rPr>
        <w:t>Electric Distribution and Transmission</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(Volumes in millions of kilowatt-hours, dollars in millions)</w:t>
      </w:r>
    </w:p>
    <w:p>
      <w:pPr>
        <w:spacing w:after="0" w:line="270" w:lineRule="exact"/>
        <w:rPr>
          <w:sz w:val="20"/>
          <w:szCs w:val="20"/>
          <w:color w:val="auto"/>
        </w:rPr>
      </w:pPr>
    </w:p>
    <w:tbl>
      <w:tblPr>
        <w:tblLayout w:type="fixed"/>
        <w:tblInd w:w="940" w:type="dxa"/>
        <w:tblCellMar>
          <w:top w:w="0" w:type="dxa"/>
          <w:left w:w="0" w:type="dxa"/>
          <w:bottom w:w="0" w:type="dxa"/>
          <w:right w:w="0" w:type="dxa"/>
        </w:tblCellMar>
      </w:tblPr>
      <w:tr>
        <w:trPr>
          <w:trHeight w:val="237"/>
        </w:trPr>
        <w:tc>
          <w:tcPr>
            <w:tcW w:w="2300" w:type="dxa"/>
            <w:vAlign w:val="bottom"/>
          </w:tcPr>
          <w:p>
            <w:pPr>
              <w:spacing w:after="0"/>
              <w:rPr>
                <w:sz w:val="20"/>
                <w:szCs w:val="20"/>
                <w:color w:val="auto"/>
              </w:rPr>
            </w:pPr>
          </w:p>
        </w:tc>
        <w:tc>
          <w:tcPr>
            <w:tcW w:w="17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2007</w:t>
            </w:r>
          </w:p>
        </w:tc>
        <w:tc>
          <w:tcPr>
            <w:tcW w:w="2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2006</w:t>
            </w: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2005</w:t>
            </w:r>
          </w:p>
        </w:tc>
        <w:tc>
          <w:tcPr>
            <w:tcW w:w="1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r>
      <w:tr>
        <w:trPr>
          <w:trHeight w:val="237"/>
        </w:trPr>
        <w:tc>
          <w:tcPr>
            <w:tcW w:w="23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Volumes</w:t>
            </w:r>
          </w:p>
        </w:tc>
        <w:tc>
          <w:tcPr>
            <w:tcW w:w="100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8"/>
                <w:szCs w:val="18"/>
                <w:color w:val="auto"/>
                <w:w w:val="97"/>
              </w:rPr>
              <w:t>Revenue</w:t>
            </w:r>
          </w:p>
        </w:tc>
        <w:tc>
          <w:tcPr>
            <w:tcW w:w="1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Volumes</w:t>
            </w: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Revenue</w:t>
            </w:r>
          </w:p>
        </w:tc>
        <w:tc>
          <w:tcPr>
            <w:tcW w:w="1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Volumes</w:t>
            </w:r>
          </w:p>
        </w:tc>
        <w:tc>
          <w:tcPr>
            <w:tcW w:w="1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Revenue</w:t>
            </w:r>
          </w:p>
        </w:tc>
      </w:tr>
      <w:tr>
        <w:trPr>
          <w:trHeight w:val="230"/>
        </w:trPr>
        <w:tc>
          <w:tcPr>
            <w:tcW w:w="2300" w:type="dxa"/>
            <w:vAlign w:val="bottom"/>
          </w:tcPr>
          <w:p>
            <w:pPr>
              <w:ind w:left="20"/>
              <w:spacing w:after="0"/>
              <w:rPr>
                <w:sz w:val="20"/>
                <w:szCs w:val="20"/>
                <w:color w:val="auto"/>
              </w:rPr>
            </w:pPr>
            <w:r>
              <w:rPr>
                <w:rFonts w:ascii="Arial" w:cs="Arial" w:eastAsia="Arial" w:hAnsi="Arial"/>
                <w:sz w:val="18"/>
                <w:szCs w:val="18"/>
                <w:color w:val="auto"/>
              </w:rPr>
              <w:t>Residential</w:t>
            </w:r>
          </w:p>
        </w:tc>
        <w:tc>
          <w:tcPr>
            <w:tcW w:w="1720" w:type="dxa"/>
            <w:vAlign w:val="bottom"/>
          </w:tcPr>
          <w:p>
            <w:pPr>
              <w:jc w:val="right"/>
              <w:ind w:right="570"/>
              <w:spacing w:after="0"/>
              <w:rPr>
                <w:sz w:val="20"/>
                <w:szCs w:val="20"/>
                <w:color w:val="auto"/>
              </w:rPr>
            </w:pPr>
            <w:r>
              <w:rPr>
                <w:rFonts w:ascii="Arial" w:cs="Arial" w:eastAsia="Arial" w:hAnsi="Arial"/>
                <w:sz w:val="18"/>
                <w:szCs w:val="18"/>
                <w:color w:val="auto"/>
              </w:rPr>
              <w:t>7,520</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980</w:t>
            </w:r>
          </w:p>
        </w:tc>
        <w:tc>
          <w:tcPr>
            <w:tcW w:w="260" w:type="dxa"/>
            <w:vAlign w:val="bottom"/>
          </w:tcPr>
          <w:p>
            <w:pPr>
              <w:spacing w:after="0"/>
              <w:rPr>
                <w:sz w:val="20"/>
                <w:szCs w:val="20"/>
                <w:color w:val="auto"/>
              </w:rPr>
            </w:pP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7,501</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910</w:t>
            </w:r>
          </w:p>
        </w:tc>
        <w:tc>
          <w:tcPr>
            <w:tcW w:w="1580" w:type="dxa"/>
            <w:vAlign w:val="bottom"/>
          </w:tcPr>
          <w:p>
            <w:pPr>
              <w:jc w:val="right"/>
              <w:ind w:right="390"/>
              <w:spacing w:after="0"/>
              <w:rPr>
                <w:sz w:val="20"/>
                <w:szCs w:val="20"/>
                <w:color w:val="auto"/>
              </w:rPr>
            </w:pPr>
            <w:r>
              <w:rPr>
                <w:rFonts w:ascii="Arial" w:cs="Arial" w:eastAsia="Arial" w:hAnsi="Arial"/>
                <w:sz w:val="18"/>
                <w:szCs w:val="18"/>
                <w:color w:val="auto"/>
              </w:rPr>
              <w:t>7,075</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738</w:t>
            </w:r>
          </w:p>
        </w:tc>
      </w:tr>
      <w:tr>
        <w:trPr>
          <w:trHeight w:val="242"/>
        </w:trPr>
        <w:tc>
          <w:tcPr>
            <w:tcW w:w="2300" w:type="dxa"/>
            <w:vAlign w:val="bottom"/>
          </w:tcPr>
          <w:p>
            <w:pPr>
              <w:ind w:left="20"/>
              <w:spacing w:after="0"/>
              <w:rPr>
                <w:sz w:val="20"/>
                <w:szCs w:val="20"/>
                <w:color w:val="auto"/>
              </w:rPr>
            </w:pPr>
            <w:r>
              <w:rPr>
                <w:rFonts w:ascii="Arial" w:cs="Arial" w:eastAsia="Arial" w:hAnsi="Arial"/>
                <w:sz w:val="18"/>
                <w:szCs w:val="18"/>
                <w:color w:val="auto"/>
              </w:rPr>
              <w:t>Commercial</w:t>
            </w:r>
          </w:p>
        </w:tc>
        <w:tc>
          <w:tcPr>
            <w:tcW w:w="1720" w:type="dxa"/>
            <w:vAlign w:val="bottom"/>
          </w:tcPr>
          <w:p>
            <w:pPr>
              <w:jc w:val="right"/>
              <w:ind w:right="570"/>
              <w:spacing w:after="0"/>
              <w:rPr>
                <w:sz w:val="20"/>
                <w:szCs w:val="20"/>
                <w:color w:val="auto"/>
              </w:rPr>
            </w:pPr>
            <w:r>
              <w:rPr>
                <w:rFonts w:ascii="Arial" w:cs="Arial" w:eastAsia="Arial" w:hAnsi="Arial"/>
                <w:sz w:val="18"/>
                <w:szCs w:val="18"/>
                <w:color w:val="auto"/>
              </w:rPr>
              <w:t>7,154</w:t>
            </w:r>
          </w:p>
        </w:tc>
        <w:tc>
          <w:tcPr>
            <w:tcW w:w="2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852</w:t>
            </w:r>
          </w:p>
        </w:tc>
        <w:tc>
          <w:tcPr>
            <w:tcW w:w="260" w:type="dxa"/>
            <w:vAlign w:val="bottom"/>
          </w:tcPr>
          <w:p>
            <w:pPr>
              <w:spacing w:after="0"/>
              <w:rPr>
                <w:sz w:val="21"/>
                <w:szCs w:val="21"/>
                <w:color w:val="auto"/>
              </w:rPr>
            </w:pP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6,983</w:t>
            </w: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723</w:t>
            </w:r>
          </w:p>
        </w:tc>
        <w:tc>
          <w:tcPr>
            <w:tcW w:w="1580" w:type="dxa"/>
            <w:vAlign w:val="bottom"/>
          </w:tcPr>
          <w:p>
            <w:pPr>
              <w:jc w:val="right"/>
              <w:ind w:right="390"/>
              <w:spacing w:after="0"/>
              <w:rPr>
                <w:sz w:val="20"/>
                <w:szCs w:val="20"/>
                <w:color w:val="auto"/>
              </w:rPr>
            </w:pPr>
            <w:r>
              <w:rPr>
                <w:rFonts w:ascii="Arial" w:cs="Arial" w:eastAsia="Arial" w:hAnsi="Arial"/>
                <w:sz w:val="18"/>
                <w:szCs w:val="18"/>
                <w:color w:val="auto"/>
              </w:rPr>
              <w:t>6,674</w:t>
            </w: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654</w:t>
            </w:r>
          </w:p>
        </w:tc>
      </w:tr>
      <w:tr>
        <w:trPr>
          <w:trHeight w:val="243"/>
        </w:trPr>
        <w:tc>
          <w:tcPr>
            <w:tcW w:w="2300" w:type="dxa"/>
            <w:vAlign w:val="bottom"/>
          </w:tcPr>
          <w:p>
            <w:pPr>
              <w:ind w:left="20"/>
              <w:spacing w:after="0"/>
              <w:rPr>
                <w:sz w:val="20"/>
                <w:szCs w:val="20"/>
                <w:color w:val="auto"/>
              </w:rPr>
            </w:pPr>
            <w:r>
              <w:rPr>
                <w:rFonts w:ascii="Arial" w:cs="Arial" w:eastAsia="Arial" w:hAnsi="Arial"/>
                <w:sz w:val="18"/>
                <w:szCs w:val="18"/>
                <w:color w:val="auto"/>
              </w:rPr>
              <w:t>Industrial</w:t>
            </w:r>
          </w:p>
        </w:tc>
        <w:tc>
          <w:tcPr>
            <w:tcW w:w="1720" w:type="dxa"/>
            <w:vAlign w:val="bottom"/>
          </w:tcPr>
          <w:p>
            <w:pPr>
              <w:jc w:val="right"/>
              <w:ind w:right="570"/>
              <w:spacing w:after="0"/>
              <w:rPr>
                <w:sz w:val="20"/>
                <w:szCs w:val="20"/>
                <w:color w:val="auto"/>
              </w:rPr>
            </w:pPr>
            <w:r>
              <w:rPr>
                <w:rFonts w:ascii="Arial" w:cs="Arial" w:eastAsia="Arial" w:hAnsi="Arial"/>
                <w:sz w:val="18"/>
                <w:szCs w:val="18"/>
                <w:color w:val="auto"/>
              </w:rPr>
              <w:t>2,264</w:t>
            </w:r>
          </w:p>
        </w:tc>
        <w:tc>
          <w:tcPr>
            <w:tcW w:w="2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228</w:t>
            </w:r>
          </w:p>
        </w:tc>
        <w:tc>
          <w:tcPr>
            <w:tcW w:w="260" w:type="dxa"/>
            <w:vAlign w:val="bottom"/>
          </w:tcPr>
          <w:p>
            <w:pPr>
              <w:spacing w:after="0"/>
              <w:rPr>
                <w:sz w:val="21"/>
                <w:szCs w:val="21"/>
                <w:color w:val="auto"/>
              </w:rPr>
            </w:pP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2,250</w:t>
            </w: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180</w:t>
            </w:r>
          </w:p>
        </w:tc>
        <w:tc>
          <w:tcPr>
            <w:tcW w:w="1580" w:type="dxa"/>
            <w:vAlign w:val="bottom"/>
          </w:tcPr>
          <w:p>
            <w:pPr>
              <w:jc w:val="right"/>
              <w:ind w:right="390"/>
              <w:spacing w:after="0"/>
              <w:rPr>
                <w:sz w:val="20"/>
                <w:szCs w:val="20"/>
                <w:color w:val="auto"/>
              </w:rPr>
            </w:pPr>
            <w:r>
              <w:rPr>
                <w:rFonts w:ascii="Arial" w:cs="Arial" w:eastAsia="Arial" w:hAnsi="Arial"/>
                <w:sz w:val="18"/>
                <w:szCs w:val="18"/>
                <w:color w:val="auto"/>
              </w:rPr>
              <w:t>2,148</w:t>
            </w: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243"/>
        </w:trPr>
        <w:tc>
          <w:tcPr>
            <w:tcW w:w="2300" w:type="dxa"/>
            <w:vAlign w:val="bottom"/>
          </w:tcPr>
          <w:p>
            <w:pPr>
              <w:ind w:left="20"/>
              <w:spacing w:after="0"/>
              <w:rPr>
                <w:sz w:val="20"/>
                <w:szCs w:val="20"/>
                <w:color w:val="auto"/>
              </w:rPr>
            </w:pPr>
            <w:r>
              <w:rPr>
                <w:rFonts w:ascii="Arial" w:cs="Arial" w:eastAsia="Arial" w:hAnsi="Arial"/>
                <w:sz w:val="18"/>
                <w:szCs w:val="18"/>
                <w:color w:val="auto"/>
              </w:rPr>
              <w:t>Direct access</w:t>
            </w:r>
          </w:p>
        </w:tc>
        <w:tc>
          <w:tcPr>
            <w:tcW w:w="1720" w:type="dxa"/>
            <w:vAlign w:val="bottom"/>
          </w:tcPr>
          <w:p>
            <w:pPr>
              <w:jc w:val="right"/>
              <w:ind w:right="570"/>
              <w:spacing w:after="0"/>
              <w:rPr>
                <w:sz w:val="20"/>
                <w:szCs w:val="20"/>
                <w:color w:val="auto"/>
              </w:rPr>
            </w:pPr>
            <w:r>
              <w:rPr>
                <w:rFonts w:ascii="Arial" w:cs="Arial" w:eastAsia="Arial" w:hAnsi="Arial"/>
                <w:sz w:val="18"/>
                <w:szCs w:val="18"/>
                <w:color w:val="auto"/>
              </w:rPr>
              <w:t>3,220</w:t>
            </w:r>
          </w:p>
        </w:tc>
        <w:tc>
          <w:tcPr>
            <w:tcW w:w="2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118</w:t>
            </w:r>
          </w:p>
        </w:tc>
        <w:tc>
          <w:tcPr>
            <w:tcW w:w="260" w:type="dxa"/>
            <w:vAlign w:val="bottom"/>
          </w:tcPr>
          <w:p>
            <w:pPr>
              <w:spacing w:after="0"/>
              <w:rPr>
                <w:sz w:val="21"/>
                <w:szCs w:val="21"/>
                <w:color w:val="auto"/>
              </w:rPr>
            </w:pP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3,390</w:t>
            </w: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133</w:t>
            </w:r>
          </w:p>
        </w:tc>
        <w:tc>
          <w:tcPr>
            <w:tcW w:w="1580" w:type="dxa"/>
            <w:vAlign w:val="bottom"/>
          </w:tcPr>
          <w:p>
            <w:pPr>
              <w:jc w:val="right"/>
              <w:ind w:right="390"/>
              <w:spacing w:after="0"/>
              <w:rPr>
                <w:sz w:val="20"/>
                <w:szCs w:val="20"/>
                <w:color w:val="auto"/>
              </w:rPr>
            </w:pPr>
            <w:r>
              <w:rPr>
                <w:rFonts w:ascii="Arial" w:cs="Arial" w:eastAsia="Arial" w:hAnsi="Arial"/>
                <w:sz w:val="18"/>
                <w:szCs w:val="18"/>
                <w:color w:val="auto"/>
              </w:rPr>
              <w:t>3,213</w:t>
            </w: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57"/>
        </w:trPr>
        <w:tc>
          <w:tcPr>
            <w:tcW w:w="2300" w:type="dxa"/>
            <w:vAlign w:val="bottom"/>
          </w:tcPr>
          <w:p>
            <w:pPr>
              <w:ind w:left="20"/>
              <w:spacing w:after="0"/>
              <w:rPr>
                <w:sz w:val="20"/>
                <w:szCs w:val="20"/>
                <w:color w:val="auto"/>
              </w:rPr>
            </w:pPr>
            <w:r>
              <w:rPr>
                <w:rFonts w:ascii="Arial" w:cs="Arial" w:eastAsia="Arial" w:hAnsi="Arial"/>
                <w:sz w:val="18"/>
                <w:szCs w:val="18"/>
                <w:color w:val="auto"/>
              </w:rPr>
              <w:t>Street and highway lighting</w:t>
            </w:r>
          </w:p>
        </w:tc>
        <w:tc>
          <w:tcPr>
            <w:tcW w:w="17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107</w:t>
            </w:r>
          </w:p>
        </w:tc>
        <w:tc>
          <w:tcPr>
            <w:tcW w:w="2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102</w:t>
            </w:r>
          </w:p>
        </w:tc>
        <w:tc>
          <w:tcPr>
            <w:tcW w:w="1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93</w:t>
            </w:r>
          </w:p>
        </w:tc>
        <w:tc>
          <w:tcPr>
            <w:tcW w:w="18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r>
      <w:tr>
        <w:trPr>
          <w:trHeight w:val="224"/>
        </w:trPr>
        <w:tc>
          <w:tcPr>
            <w:tcW w:w="2300" w:type="dxa"/>
            <w:vAlign w:val="bottom"/>
          </w:tcPr>
          <w:p>
            <w:pPr>
              <w:spacing w:after="0"/>
              <w:rPr>
                <w:sz w:val="19"/>
                <w:szCs w:val="19"/>
                <w:color w:val="auto"/>
              </w:rPr>
            </w:pPr>
          </w:p>
        </w:tc>
        <w:tc>
          <w:tcPr>
            <w:tcW w:w="1720" w:type="dxa"/>
            <w:vAlign w:val="bottom"/>
          </w:tcPr>
          <w:p>
            <w:pPr>
              <w:jc w:val="right"/>
              <w:ind w:right="570"/>
              <w:spacing w:after="0"/>
              <w:rPr>
                <w:sz w:val="20"/>
                <w:szCs w:val="20"/>
                <w:color w:val="auto"/>
              </w:rPr>
            </w:pPr>
            <w:r>
              <w:rPr>
                <w:rFonts w:ascii="Arial" w:cs="Arial" w:eastAsia="Arial" w:hAnsi="Arial"/>
                <w:sz w:val="18"/>
                <w:szCs w:val="18"/>
                <w:color w:val="auto"/>
              </w:rPr>
              <w:t>20,265</w:t>
            </w:r>
          </w:p>
        </w:tc>
        <w:tc>
          <w:tcPr>
            <w:tcW w:w="2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2,190</w:t>
            </w:r>
          </w:p>
        </w:tc>
        <w:tc>
          <w:tcPr>
            <w:tcW w:w="260" w:type="dxa"/>
            <w:vAlign w:val="bottom"/>
          </w:tcPr>
          <w:p>
            <w:pPr>
              <w:spacing w:after="0"/>
              <w:rPr>
                <w:sz w:val="19"/>
                <w:szCs w:val="19"/>
                <w:color w:val="auto"/>
              </w:rPr>
            </w:pPr>
          </w:p>
        </w:tc>
        <w:tc>
          <w:tcPr>
            <w:tcW w:w="1240" w:type="dxa"/>
            <w:vAlign w:val="bottom"/>
          </w:tcPr>
          <w:p>
            <w:pPr>
              <w:jc w:val="right"/>
              <w:ind w:right="330"/>
              <w:spacing w:after="0"/>
              <w:rPr>
                <w:sz w:val="20"/>
                <w:szCs w:val="20"/>
                <w:color w:val="auto"/>
              </w:rPr>
            </w:pPr>
            <w:r>
              <w:rPr>
                <w:rFonts w:ascii="Arial" w:cs="Arial" w:eastAsia="Arial" w:hAnsi="Arial"/>
                <w:sz w:val="18"/>
                <w:szCs w:val="18"/>
                <w:color w:val="auto"/>
              </w:rPr>
              <w:t>20,226</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1,956</w:t>
            </w:r>
          </w:p>
        </w:tc>
        <w:tc>
          <w:tcPr>
            <w:tcW w:w="1580" w:type="dxa"/>
            <w:vAlign w:val="bottom"/>
          </w:tcPr>
          <w:p>
            <w:pPr>
              <w:jc w:val="right"/>
              <w:ind w:right="390"/>
              <w:spacing w:after="0"/>
              <w:rPr>
                <w:sz w:val="20"/>
                <w:szCs w:val="20"/>
                <w:color w:val="auto"/>
              </w:rPr>
            </w:pPr>
            <w:r>
              <w:rPr>
                <w:rFonts w:ascii="Arial" w:cs="Arial" w:eastAsia="Arial" w:hAnsi="Arial"/>
                <w:sz w:val="18"/>
                <w:szCs w:val="18"/>
                <w:color w:val="auto"/>
              </w:rPr>
              <w:t>19,203</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1,658</w:t>
            </w:r>
          </w:p>
        </w:tc>
      </w:tr>
      <w:tr>
        <w:trPr>
          <w:trHeight w:val="256"/>
        </w:trPr>
        <w:tc>
          <w:tcPr>
            <w:tcW w:w="2300" w:type="dxa"/>
            <w:vAlign w:val="bottom"/>
          </w:tcPr>
          <w:p>
            <w:pPr>
              <w:ind w:left="20"/>
              <w:spacing w:after="0"/>
              <w:rPr>
                <w:sz w:val="20"/>
                <w:szCs w:val="20"/>
                <w:color w:val="auto"/>
              </w:rPr>
            </w:pPr>
            <w:r>
              <w:rPr>
                <w:rFonts w:ascii="Arial" w:cs="Arial" w:eastAsia="Arial" w:hAnsi="Arial"/>
                <w:sz w:val="18"/>
                <w:szCs w:val="18"/>
                <w:color w:val="auto"/>
                <w:w w:val="95"/>
              </w:rPr>
              <w:t>Balancing accounts and other</w:t>
            </w:r>
          </w:p>
        </w:tc>
        <w:tc>
          <w:tcPr>
            <w:tcW w:w="17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(6 )</w:t>
            </w:r>
          </w:p>
        </w:tc>
        <w:tc>
          <w:tcPr>
            <w:tcW w:w="1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180</w:t>
            </w:r>
          </w:p>
        </w:tc>
        <w:tc>
          <w:tcPr>
            <w:tcW w:w="15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57"/>
        </w:trPr>
        <w:tc>
          <w:tcPr>
            <w:tcW w:w="23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Total</w:t>
            </w:r>
          </w:p>
        </w:tc>
        <w:tc>
          <w:tcPr>
            <w:tcW w:w="1720" w:type="dxa"/>
            <w:vAlign w:val="bottom"/>
            <w:tcBorders>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2,184</w:t>
            </w:r>
          </w:p>
        </w:tc>
        <w:tc>
          <w:tcPr>
            <w:tcW w:w="2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2,136</w:t>
            </w:r>
          </w:p>
        </w:tc>
        <w:tc>
          <w:tcPr>
            <w:tcW w:w="1580" w:type="dxa"/>
            <w:vAlign w:val="bottom"/>
            <w:tcBorders>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1,789</w:t>
            </w:r>
          </w:p>
        </w:tc>
      </w:tr>
    </w:tbl>
    <w:p>
      <w:pPr>
        <w:spacing w:after="0" w:line="226"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Although commodity costs associated with long-term contracts allocated to SDG&amp;E from the California Department of Water Resources (DWR) (and the revenues to recover those costs) are not included in the Statements of Consolidated Income, as discussed in Note 1 of the Notes to Consolidated Financial Statements, the associated volumes and distribution revenues are included in the above table.</w:t>
      </w:r>
    </w:p>
    <w:p>
      <w:pPr>
        <w:sectPr>
          <w:pgSz w:w="11900" w:h="16838" w:orient="portrait"/>
          <w:cols w:equalWidth="0" w:num="1">
            <w:col w:w="10920"/>
          </w:cols>
          <w:pgMar w:left="240" w:top="122" w:right="739" w:bottom="1440" w:gutter="0" w:footer="0" w:header="0"/>
        </w:sect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0920"/>
          </w:cols>
          <w:pgMar w:left="240" w:top="122" w:right="739" w:bottom="1440" w:gutter="0" w:footer="0" w:header="0"/>
          <w:type w:val="continuous"/>
        </w:sectPr>
      </w:pPr>
    </w:p>
    <w:bookmarkStart w:id="75" w:name="page76"/>
    <w:bookmarkEnd w:id="75"/>
    <w:p>
      <w:pPr>
        <w:ind w:right="140"/>
        <w:spacing w:after="0" w:line="262" w:lineRule="auto"/>
        <w:rPr>
          <w:sz w:val="20"/>
          <w:szCs w:val="20"/>
          <w:color w:val="auto"/>
        </w:rPr>
      </w:pPr>
      <w:r>
        <w:rPr>
          <w:rFonts w:ascii="Arial" w:cs="Arial" w:eastAsia="Arial" w:hAnsi="Arial"/>
          <w:sz w:val="20"/>
          <w:szCs w:val="20"/>
          <w:b w:val="1"/>
          <w:bCs w:val="1"/>
          <w:i w:val="1"/>
          <w:iCs w:val="1"/>
          <w:color w:val="auto"/>
        </w:rPr>
        <w:t xml:space="preserve">Sempra Global and Parent Operating Revenues and Cost of Sales. </w:t>
      </w:r>
      <w:r>
        <w:rPr>
          <w:rFonts w:ascii="Arial" w:cs="Arial" w:eastAsia="Arial" w:hAnsi="Arial"/>
          <w:sz w:val="20"/>
          <w:szCs w:val="20"/>
          <w:color w:val="auto"/>
        </w:rPr>
        <w:t>The following table provides a breakdown of operating revenues and cost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of sales at Sempra Global and the parent companies by business unit.</w:t>
      </w:r>
    </w:p>
    <w:p>
      <w:pPr>
        <w:spacing w:after="0" w:line="244" w:lineRule="exact"/>
        <w:rPr>
          <w:sz w:val="20"/>
          <w:szCs w:val="20"/>
          <w:color w:val="auto"/>
        </w:rPr>
      </w:pPr>
    </w:p>
    <w:tbl>
      <w:tblPr>
        <w:tblLayout w:type="fixed"/>
        <w:tblInd w:w="1160" w:type="dxa"/>
        <w:tblCellMar>
          <w:top w:w="0" w:type="dxa"/>
          <w:left w:w="0" w:type="dxa"/>
          <w:bottom w:w="0" w:type="dxa"/>
          <w:right w:w="0" w:type="dxa"/>
        </w:tblCellMar>
      </w:tblPr>
      <w:tr>
        <w:trPr>
          <w:trHeight w:val="237"/>
        </w:trPr>
        <w:tc>
          <w:tcPr>
            <w:tcW w:w="3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color w:val="auto"/>
                <w:w w:val="95"/>
              </w:rPr>
              <w:t>Years ended December 31,</w:t>
            </w:r>
          </w:p>
        </w:tc>
        <w:tc>
          <w:tcPr>
            <w:tcW w:w="3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(Dollars in millions)</w:t>
            </w: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2007</w:t>
            </w:r>
          </w:p>
        </w:tc>
        <w:tc>
          <w:tcPr>
            <w:tcW w:w="7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2006</w:t>
            </w:r>
          </w:p>
        </w:tc>
        <w:tc>
          <w:tcPr>
            <w:tcW w:w="9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2005</w:t>
            </w:r>
          </w:p>
        </w:tc>
        <w:tc>
          <w:tcPr>
            <w:tcW w:w="6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140" w:type="dxa"/>
            <w:vAlign w:val="bottom"/>
          </w:tcPr>
          <w:p>
            <w:pPr>
              <w:spacing w:after="0"/>
              <w:rPr>
                <w:sz w:val="20"/>
                <w:szCs w:val="20"/>
                <w:color w:val="auto"/>
              </w:rPr>
            </w:pPr>
            <w:r>
              <w:rPr>
                <w:rFonts w:ascii="Arial" w:cs="Arial" w:eastAsia="Arial" w:hAnsi="Arial"/>
                <w:sz w:val="18"/>
                <w:szCs w:val="18"/>
                <w:color w:val="auto"/>
              </w:rPr>
              <w:t>OPERATING REVENUES</w:t>
            </w: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3140" w:type="dxa"/>
            <w:vAlign w:val="bottom"/>
          </w:tcPr>
          <w:p>
            <w:pPr>
              <w:spacing w:after="0"/>
              <w:rPr>
                <w:sz w:val="20"/>
                <w:szCs w:val="20"/>
                <w:color w:val="auto"/>
              </w:rPr>
            </w:pPr>
            <w:r>
              <w:rPr>
                <w:rFonts w:ascii="Arial" w:cs="Arial" w:eastAsia="Arial" w:hAnsi="Arial"/>
                <w:sz w:val="18"/>
                <w:szCs w:val="18"/>
                <w:color w:val="auto"/>
              </w:rPr>
              <w:t>Sempra Commodities*</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210"/>
              <w:spacing w:after="0"/>
              <w:rPr>
                <w:sz w:val="20"/>
                <w:szCs w:val="20"/>
                <w:color w:val="auto"/>
              </w:rPr>
            </w:pPr>
            <w:r>
              <w:rPr>
                <w:rFonts w:ascii="Arial" w:cs="Arial" w:eastAsia="Arial" w:hAnsi="Arial"/>
                <w:sz w:val="18"/>
                <w:szCs w:val="18"/>
                <w:color w:val="auto"/>
              </w:rPr>
              <w:t>2,674</w:t>
            </w:r>
          </w:p>
        </w:tc>
        <w:tc>
          <w:tcPr>
            <w:tcW w:w="720" w:type="dxa"/>
            <w:vAlign w:val="bottom"/>
          </w:tcPr>
          <w:p>
            <w:pPr>
              <w:jc w:val="right"/>
              <w:ind w:right="110"/>
              <w:spacing w:after="0"/>
              <w:rPr>
                <w:sz w:val="20"/>
                <w:szCs w:val="20"/>
                <w:color w:val="auto"/>
              </w:rPr>
            </w:pPr>
            <w:r>
              <w:rPr>
                <w:rFonts w:ascii="Arial" w:cs="Arial" w:eastAsia="Arial" w:hAnsi="Arial"/>
                <w:sz w:val="18"/>
                <w:szCs w:val="18"/>
                <w:color w:val="auto"/>
              </w:rPr>
              <w:t>61 %</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210"/>
              <w:spacing w:after="0"/>
              <w:rPr>
                <w:sz w:val="20"/>
                <w:szCs w:val="20"/>
                <w:color w:val="auto"/>
              </w:rPr>
            </w:pPr>
            <w:r>
              <w:rPr>
                <w:rFonts w:ascii="Arial" w:cs="Arial" w:eastAsia="Arial" w:hAnsi="Arial"/>
                <w:sz w:val="18"/>
                <w:szCs w:val="18"/>
                <w:color w:val="auto"/>
              </w:rPr>
              <w:t>3,256</w:t>
            </w:r>
          </w:p>
        </w:tc>
        <w:tc>
          <w:tcPr>
            <w:tcW w:w="920" w:type="dxa"/>
            <w:vAlign w:val="bottom"/>
          </w:tcPr>
          <w:p>
            <w:pPr>
              <w:jc w:val="right"/>
              <w:ind w:right="290"/>
              <w:spacing w:after="0"/>
              <w:rPr>
                <w:sz w:val="20"/>
                <w:szCs w:val="20"/>
                <w:color w:val="auto"/>
              </w:rPr>
            </w:pPr>
            <w:r>
              <w:rPr>
                <w:rFonts w:ascii="Arial" w:cs="Arial" w:eastAsia="Arial" w:hAnsi="Arial"/>
                <w:sz w:val="18"/>
                <w:szCs w:val="18"/>
                <w:color w:val="auto"/>
              </w:rPr>
              <w:t>67 %</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50"/>
              <w:spacing w:after="0"/>
              <w:rPr>
                <w:sz w:val="20"/>
                <w:szCs w:val="20"/>
                <w:color w:val="auto"/>
              </w:rPr>
            </w:pPr>
            <w:r>
              <w:rPr>
                <w:rFonts w:ascii="Arial" w:cs="Arial" w:eastAsia="Arial" w:hAnsi="Arial"/>
                <w:sz w:val="18"/>
                <w:szCs w:val="18"/>
                <w:color w:val="auto"/>
              </w:rPr>
              <w:t>2,724</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61 %</w:t>
            </w:r>
          </w:p>
        </w:tc>
        <w:tc>
          <w:tcPr>
            <w:tcW w:w="0" w:type="dxa"/>
            <w:vAlign w:val="bottom"/>
          </w:tcPr>
          <w:p>
            <w:pPr>
              <w:spacing w:after="0"/>
              <w:rPr>
                <w:sz w:val="1"/>
                <w:szCs w:val="1"/>
                <w:color w:val="auto"/>
              </w:rPr>
            </w:pPr>
          </w:p>
        </w:tc>
      </w:tr>
      <w:tr>
        <w:trPr>
          <w:trHeight w:val="243"/>
        </w:trPr>
        <w:tc>
          <w:tcPr>
            <w:tcW w:w="3140" w:type="dxa"/>
            <w:vAlign w:val="bottom"/>
          </w:tcPr>
          <w:p>
            <w:pPr>
              <w:spacing w:after="0"/>
              <w:rPr>
                <w:sz w:val="20"/>
                <w:szCs w:val="20"/>
                <w:color w:val="auto"/>
              </w:rPr>
            </w:pPr>
            <w:r>
              <w:rPr>
                <w:rFonts w:ascii="Arial" w:cs="Arial" w:eastAsia="Arial" w:hAnsi="Arial"/>
                <w:sz w:val="18"/>
                <w:szCs w:val="18"/>
                <w:color w:val="auto"/>
              </w:rPr>
              <w:t>Sempra Generation*</w:t>
            </w:r>
          </w:p>
        </w:tc>
        <w:tc>
          <w:tcPr>
            <w:tcW w:w="300" w:type="dxa"/>
            <w:vAlign w:val="bottom"/>
          </w:tcPr>
          <w:p>
            <w:pPr>
              <w:spacing w:after="0"/>
              <w:rPr>
                <w:sz w:val="21"/>
                <w:szCs w:val="21"/>
                <w:color w:val="auto"/>
              </w:rPr>
            </w:pPr>
          </w:p>
        </w:tc>
        <w:tc>
          <w:tcPr>
            <w:tcW w:w="820" w:type="dxa"/>
            <w:vAlign w:val="bottom"/>
          </w:tcPr>
          <w:p>
            <w:pPr>
              <w:jc w:val="right"/>
              <w:ind w:right="210"/>
              <w:spacing w:after="0"/>
              <w:rPr>
                <w:sz w:val="20"/>
                <w:szCs w:val="20"/>
                <w:color w:val="auto"/>
              </w:rPr>
            </w:pPr>
            <w:r>
              <w:rPr>
                <w:rFonts w:ascii="Arial" w:cs="Arial" w:eastAsia="Arial" w:hAnsi="Arial"/>
                <w:sz w:val="18"/>
                <w:szCs w:val="18"/>
                <w:color w:val="auto"/>
              </w:rPr>
              <w:t>1,476</w:t>
            </w:r>
          </w:p>
        </w:tc>
        <w:tc>
          <w:tcPr>
            <w:tcW w:w="720" w:type="dxa"/>
            <w:vAlign w:val="bottom"/>
          </w:tcPr>
          <w:p>
            <w:pPr>
              <w:jc w:val="right"/>
              <w:ind w:right="290"/>
              <w:spacing w:after="0"/>
              <w:rPr>
                <w:sz w:val="20"/>
                <w:szCs w:val="20"/>
                <w:color w:val="auto"/>
              </w:rPr>
            </w:pPr>
            <w:r>
              <w:rPr>
                <w:rFonts w:ascii="Arial" w:cs="Arial" w:eastAsia="Arial" w:hAnsi="Arial"/>
                <w:sz w:val="18"/>
                <w:szCs w:val="18"/>
                <w:color w:val="auto"/>
              </w:rPr>
              <w:t>34</w:t>
            </w:r>
          </w:p>
        </w:tc>
        <w:tc>
          <w:tcPr>
            <w:tcW w:w="500" w:type="dxa"/>
            <w:vAlign w:val="bottom"/>
          </w:tcPr>
          <w:p>
            <w:pPr>
              <w:spacing w:after="0"/>
              <w:rPr>
                <w:sz w:val="21"/>
                <w:szCs w:val="21"/>
                <w:color w:val="auto"/>
              </w:rPr>
            </w:pPr>
          </w:p>
        </w:tc>
        <w:tc>
          <w:tcPr>
            <w:tcW w:w="820" w:type="dxa"/>
            <w:vAlign w:val="bottom"/>
          </w:tcPr>
          <w:p>
            <w:pPr>
              <w:jc w:val="right"/>
              <w:ind w:right="210"/>
              <w:spacing w:after="0"/>
              <w:rPr>
                <w:sz w:val="20"/>
                <w:szCs w:val="20"/>
                <w:color w:val="auto"/>
              </w:rPr>
            </w:pPr>
            <w:r>
              <w:rPr>
                <w:rFonts w:ascii="Arial" w:cs="Arial" w:eastAsia="Arial" w:hAnsi="Arial"/>
                <w:sz w:val="18"/>
                <w:szCs w:val="18"/>
                <w:color w:val="auto"/>
              </w:rPr>
              <w:t>1,454</w:t>
            </w:r>
          </w:p>
        </w:tc>
        <w:tc>
          <w:tcPr>
            <w:tcW w:w="920" w:type="dxa"/>
            <w:vAlign w:val="bottom"/>
          </w:tcPr>
          <w:p>
            <w:pPr>
              <w:jc w:val="right"/>
              <w:ind w:right="470"/>
              <w:spacing w:after="0"/>
              <w:rPr>
                <w:sz w:val="20"/>
                <w:szCs w:val="20"/>
                <w:color w:val="auto"/>
              </w:rPr>
            </w:pPr>
            <w:r>
              <w:rPr>
                <w:rFonts w:ascii="Arial" w:cs="Arial" w:eastAsia="Arial" w:hAnsi="Arial"/>
                <w:sz w:val="18"/>
                <w:szCs w:val="18"/>
                <w:color w:val="auto"/>
              </w:rPr>
              <w:t>30</w:t>
            </w:r>
          </w:p>
        </w:tc>
        <w:tc>
          <w:tcPr>
            <w:tcW w:w="360" w:type="dxa"/>
            <w:vAlign w:val="bottom"/>
          </w:tcPr>
          <w:p>
            <w:pPr>
              <w:spacing w:after="0"/>
              <w:rPr>
                <w:sz w:val="21"/>
                <w:szCs w:val="21"/>
                <w:color w:val="auto"/>
              </w:rPr>
            </w:pPr>
          </w:p>
        </w:tc>
        <w:tc>
          <w:tcPr>
            <w:tcW w:w="880" w:type="dxa"/>
            <w:vAlign w:val="bottom"/>
          </w:tcPr>
          <w:p>
            <w:pPr>
              <w:jc w:val="right"/>
              <w:ind w:right="250"/>
              <w:spacing w:after="0"/>
              <w:rPr>
                <w:sz w:val="20"/>
                <w:szCs w:val="20"/>
                <w:color w:val="auto"/>
              </w:rPr>
            </w:pPr>
            <w:r>
              <w:rPr>
                <w:rFonts w:ascii="Arial" w:cs="Arial" w:eastAsia="Arial" w:hAnsi="Arial"/>
                <w:sz w:val="18"/>
                <w:szCs w:val="18"/>
                <w:color w:val="auto"/>
              </w:rPr>
              <w:t>1,708</w:t>
            </w:r>
          </w:p>
        </w:tc>
        <w:tc>
          <w:tcPr>
            <w:tcW w:w="660" w:type="dxa"/>
            <w:vAlign w:val="bottom"/>
          </w:tcPr>
          <w:p>
            <w:pPr>
              <w:jc w:val="right"/>
              <w:ind w:right="19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43"/>
        </w:trPr>
        <w:tc>
          <w:tcPr>
            <w:tcW w:w="3140" w:type="dxa"/>
            <w:vAlign w:val="bottom"/>
          </w:tcPr>
          <w:p>
            <w:pPr>
              <w:spacing w:after="0"/>
              <w:rPr>
                <w:sz w:val="20"/>
                <w:szCs w:val="20"/>
                <w:color w:val="auto"/>
              </w:rPr>
            </w:pPr>
            <w:r>
              <w:rPr>
                <w:rFonts w:ascii="Arial" w:cs="Arial" w:eastAsia="Arial" w:hAnsi="Arial"/>
                <w:sz w:val="18"/>
                <w:szCs w:val="18"/>
                <w:color w:val="auto"/>
              </w:rPr>
              <w:t>Sempra Pipelines &amp; Storage*</w:t>
            </w:r>
          </w:p>
        </w:tc>
        <w:tc>
          <w:tcPr>
            <w:tcW w:w="300" w:type="dxa"/>
            <w:vAlign w:val="bottom"/>
          </w:tcPr>
          <w:p>
            <w:pPr>
              <w:spacing w:after="0"/>
              <w:rPr>
                <w:sz w:val="21"/>
                <w:szCs w:val="21"/>
                <w:color w:val="auto"/>
              </w:rPr>
            </w:pPr>
          </w:p>
        </w:tc>
        <w:tc>
          <w:tcPr>
            <w:tcW w:w="820" w:type="dxa"/>
            <w:vAlign w:val="bottom"/>
          </w:tcPr>
          <w:p>
            <w:pPr>
              <w:jc w:val="right"/>
              <w:ind w:right="210"/>
              <w:spacing w:after="0"/>
              <w:rPr>
                <w:sz w:val="20"/>
                <w:szCs w:val="20"/>
                <w:color w:val="auto"/>
              </w:rPr>
            </w:pPr>
            <w:r>
              <w:rPr>
                <w:rFonts w:ascii="Arial" w:cs="Arial" w:eastAsia="Arial" w:hAnsi="Arial"/>
                <w:sz w:val="18"/>
                <w:szCs w:val="18"/>
                <w:color w:val="auto"/>
              </w:rPr>
              <w:t>314</w:t>
            </w:r>
          </w:p>
        </w:tc>
        <w:tc>
          <w:tcPr>
            <w:tcW w:w="720" w:type="dxa"/>
            <w:vAlign w:val="bottom"/>
          </w:tcPr>
          <w:p>
            <w:pPr>
              <w:jc w:val="right"/>
              <w:ind w:right="290"/>
              <w:spacing w:after="0"/>
              <w:rPr>
                <w:sz w:val="20"/>
                <w:szCs w:val="20"/>
                <w:color w:val="auto"/>
              </w:rPr>
            </w:pPr>
            <w:r>
              <w:rPr>
                <w:rFonts w:ascii="Arial" w:cs="Arial" w:eastAsia="Arial" w:hAnsi="Arial"/>
                <w:sz w:val="18"/>
                <w:szCs w:val="18"/>
                <w:color w:val="auto"/>
              </w:rPr>
              <w:t>7</w:t>
            </w:r>
          </w:p>
        </w:tc>
        <w:tc>
          <w:tcPr>
            <w:tcW w:w="500" w:type="dxa"/>
            <w:vAlign w:val="bottom"/>
          </w:tcPr>
          <w:p>
            <w:pPr>
              <w:spacing w:after="0"/>
              <w:rPr>
                <w:sz w:val="21"/>
                <w:szCs w:val="21"/>
                <w:color w:val="auto"/>
              </w:rPr>
            </w:pPr>
          </w:p>
        </w:tc>
        <w:tc>
          <w:tcPr>
            <w:tcW w:w="820" w:type="dxa"/>
            <w:vAlign w:val="bottom"/>
          </w:tcPr>
          <w:p>
            <w:pPr>
              <w:jc w:val="right"/>
              <w:ind w:right="210"/>
              <w:spacing w:after="0"/>
              <w:rPr>
                <w:sz w:val="20"/>
                <w:szCs w:val="20"/>
                <w:color w:val="auto"/>
              </w:rPr>
            </w:pPr>
            <w:r>
              <w:rPr>
                <w:rFonts w:ascii="Arial" w:cs="Arial" w:eastAsia="Arial" w:hAnsi="Arial"/>
                <w:sz w:val="18"/>
                <w:szCs w:val="18"/>
                <w:color w:val="auto"/>
              </w:rPr>
              <w:t>295</w:t>
            </w:r>
          </w:p>
        </w:tc>
        <w:tc>
          <w:tcPr>
            <w:tcW w:w="920" w:type="dxa"/>
            <w:vAlign w:val="bottom"/>
          </w:tcPr>
          <w:p>
            <w:pPr>
              <w:jc w:val="right"/>
              <w:ind w:right="470"/>
              <w:spacing w:after="0"/>
              <w:rPr>
                <w:sz w:val="20"/>
                <w:szCs w:val="20"/>
                <w:color w:val="auto"/>
              </w:rPr>
            </w:pPr>
            <w:r>
              <w:rPr>
                <w:rFonts w:ascii="Arial" w:cs="Arial" w:eastAsia="Arial" w:hAnsi="Arial"/>
                <w:sz w:val="18"/>
                <w:szCs w:val="18"/>
                <w:color w:val="auto"/>
              </w:rPr>
              <w:t>6</w:t>
            </w:r>
          </w:p>
        </w:tc>
        <w:tc>
          <w:tcPr>
            <w:tcW w:w="360" w:type="dxa"/>
            <w:vAlign w:val="bottom"/>
          </w:tcPr>
          <w:p>
            <w:pPr>
              <w:spacing w:after="0"/>
              <w:rPr>
                <w:sz w:val="21"/>
                <w:szCs w:val="21"/>
                <w:color w:val="auto"/>
              </w:rPr>
            </w:pPr>
          </w:p>
        </w:tc>
        <w:tc>
          <w:tcPr>
            <w:tcW w:w="880" w:type="dxa"/>
            <w:vAlign w:val="bottom"/>
          </w:tcPr>
          <w:p>
            <w:pPr>
              <w:jc w:val="right"/>
              <w:ind w:right="250"/>
              <w:spacing w:after="0"/>
              <w:rPr>
                <w:sz w:val="20"/>
                <w:szCs w:val="20"/>
                <w:color w:val="auto"/>
              </w:rPr>
            </w:pPr>
            <w:r>
              <w:rPr>
                <w:rFonts w:ascii="Arial" w:cs="Arial" w:eastAsia="Arial" w:hAnsi="Arial"/>
                <w:sz w:val="18"/>
                <w:szCs w:val="18"/>
                <w:color w:val="auto"/>
              </w:rPr>
              <w:t>317</w:t>
            </w:r>
          </w:p>
        </w:tc>
        <w:tc>
          <w:tcPr>
            <w:tcW w:w="660" w:type="dxa"/>
            <w:vAlign w:val="bottom"/>
          </w:tcPr>
          <w:p>
            <w:pPr>
              <w:jc w:val="right"/>
              <w:ind w:right="19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57"/>
        </w:trPr>
        <w:tc>
          <w:tcPr>
            <w:tcW w:w="3140" w:type="dxa"/>
            <w:vAlign w:val="bottom"/>
          </w:tcPr>
          <w:p>
            <w:pPr>
              <w:spacing w:after="0"/>
              <w:rPr>
                <w:sz w:val="20"/>
                <w:szCs w:val="20"/>
                <w:color w:val="auto"/>
              </w:rPr>
            </w:pPr>
            <w:r>
              <w:rPr>
                <w:rFonts w:ascii="Arial" w:cs="Arial" w:eastAsia="Arial" w:hAnsi="Arial"/>
                <w:sz w:val="18"/>
                <w:szCs w:val="18"/>
                <w:color w:val="auto"/>
              </w:rPr>
              <w:t>Sempra LNG</w:t>
            </w:r>
          </w:p>
        </w:tc>
        <w:tc>
          <w:tcPr>
            <w:tcW w:w="3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(22 )</w:t>
            </w:r>
          </w:p>
        </w:tc>
        <w:tc>
          <w:tcPr>
            <w:tcW w:w="7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(1 )</w:t>
            </w:r>
          </w:p>
        </w:tc>
        <w:tc>
          <w:tcPr>
            <w:tcW w:w="5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(21 )</w:t>
            </w:r>
          </w:p>
        </w:tc>
        <w:tc>
          <w:tcPr>
            <w:tcW w:w="9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(1 )</w:t>
            </w: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66"/>
        </w:trPr>
        <w:tc>
          <w:tcPr>
            <w:tcW w:w="3140" w:type="dxa"/>
            <w:vAlign w:val="bottom"/>
          </w:tcPr>
          <w:p>
            <w:pPr>
              <w:spacing w:after="0"/>
              <w:rPr>
                <w:sz w:val="20"/>
                <w:szCs w:val="20"/>
                <w:color w:val="auto"/>
              </w:rPr>
            </w:pPr>
            <w:r>
              <w:rPr>
                <w:rFonts w:ascii="Arial" w:cs="Arial" w:eastAsia="Arial" w:hAnsi="Arial"/>
                <w:sz w:val="18"/>
                <w:szCs w:val="18"/>
                <w:color w:val="auto"/>
              </w:rPr>
              <w:t>Total Sempra Global</w:t>
            </w:r>
          </w:p>
        </w:tc>
        <w:tc>
          <w:tcPr>
            <w:tcW w:w="300" w:type="dxa"/>
            <w:vAlign w:val="bottom"/>
          </w:tcPr>
          <w:p>
            <w:pPr>
              <w:spacing w:after="0"/>
              <w:rPr>
                <w:sz w:val="24"/>
                <w:szCs w:val="24"/>
                <w:color w:val="auto"/>
              </w:rPr>
            </w:pPr>
          </w:p>
        </w:tc>
        <w:tc>
          <w:tcPr>
            <w:tcW w:w="820" w:type="dxa"/>
            <w:vAlign w:val="bottom"/>
          </w:tcPr>
          <w:p>
            <w:pPr>
              <w:jc w:val="right"/>
              <w:ind w:right="210"/>
              <w:spacing w:after="0"/>
              <w:rPr>
                <w:sz w:val="20"/>
                <w:szCs w:val="20"/>
                <w:color w:val="auto"/>
              </w:rPr>
            </w:pPr>
            <w:r>
              <w:rPr>
                <w:rFonts w:ascii="Arial" w:cs="Arial" w:eastAsia="Arial" w:hAnsi="Arial"/>
                <w:sz w:val="18"/>
                <w:szCs w:val="18"/>
                <w:color w:val="auto"/>
              </w:rPr>
              <w:t>4,442</w:t>
            </w:r>
          </w:p>
        </w:tc>
        <w:tc>
          <w:tcPr>
            <w:tcW w:w="720" w:type="dxa"/>
            <w:vAlign w:val="bottom"/>
          </w:tcPr>
          <w:p>
            <w:pPr>
              <w:jc w:val="right"/>
              <w:ind w:right="290"/>
              <w:spacing w:after="0"/>
              <w:rPr>
                <w:sz w:val="20"/>
                <w:szCs w:val="20"/>
                <w:color w:val="auto"/>
              </w:rPr>
            </w:pPr>
            <w:r>
              <w:rPr>
                <w:rFonts w:ascii="Arial" w:cs="Arial" w:eastAsia="Arial" w:hAnsi="Arial"/>
                <w:sz w:val="18"/>
                <w:szCs w:val="18"/>
                <w:color w:val="auto"/>
              </w:rPr>
              <w:t>101</w:t>
            </w:r>
          </w:p>
        </w:tc>
        <w:tc>
          <w:tcPr>
            <w:tcW w:w="500" w:type="dxa"/>
            <w:vAlign w:val="bottom"/>
          </w:tcPr>
          <w:p>
            <w:pPr>
              <w:spacing w:after="0"/>
              <w:rPr>
                <w:sz w:val="24"/>
                <w:szCs w:val="24"/>
                <w:color w:val="auto"/>
              </w:rPr>
            </w:pPr>
          </w:p>
        </w:tc>
        <w:tc>
          <w:tcPr>
            <w:tcW w:w="820" w:type="dxa"/>
            <w:vAlign w:val="bottom"/>
          </w:tcPr>
          <w:p>
            <w:pPr>
              <w:jc w:val="right"/>
              <w:ind w:right="210"/>
              <w:spacing w:after="0"/>
              <w:rPr>
                <w:sz w:val="20"/>
                <w:szCs w:val="20"/>
                <w:color w:val="auto"/>
              </w:rPr>
            </w:pPr>
            <w:r>
              <w:rPr>
                <w:rFonts w:ascii="Arial" w:cs="Arial" w:eastAsia="Arial" w:hAnsi="Arial"/>
                <w:sz w:val="18"/>
                <w:szCs w:val="18"/>
                <w:color w:val="auto"/>
              </w:rPr>
              <w:t>4,984</w:t>
            </w:r>
          </w:p>
        </w:tc>
        <w:tc>
          <w:tcPr>
            <w:tcW w:w="920" w:type="dxa"/>
            <w:vAlign w:val="bottom"/>
          </w:tcPr>
          <w:p>
            <w:pPr>
              <w:jc w:val="right"/>
              <w:ind w:right="470"/>
              <w:spacing w:after="0"/>
              <w:rPr>
                <w:sz w:val="20"/>
                <w:szCs w:val="20"/>
                <w:color w:val="auto"/>
              </w:rPr>
            </w:pPr>
            <w:r>
              <w:rPr>
                <w:rFonts w:ascii="Arial" w:cs="Arial" w:eastAsia="Arial" w:hAnsi="Arial"/>
                <w:sz w:val="18"/>
                <w:szCs w:val="18"/>
                <w:color w:val="auto"/>
              </w:rPr>
              <w:t>102</w:t>
            </w:r>
          </w:p>
        </w:tc>
        <w:tc>
          <w:tcPr>
            <w:tcW w:w="360" w:type="dxa"/>
            <w:vAlign w:val="bottom"/>
          </w:tcPr>
          <w:p>
            <w:pPr>
              <w:spacing w:after="0"/>
              <w:rPr>
                <w:sz w:val="24"/>
                <w:szCs w:val="24"/>
                <w:color w:val="auto"/>
              </w:rPr>
            </w:pPr>
          </w:p>
        </w:tc>
        <w:tc>
          <w:tcPr>
            <w:tcW w:w="880" w:type="dxa"/>
            <w:vAlign w:val="bottom"/>
          </w:tcPr>
          <w:p>
            <w:pPr>
              <w:jc w:val="right"/>
              <w:ind w:right="250"/>
              <w:spacing w:after="0"/>
              <w:rPr>
                <w:sz w:val="20"/>
                <w:szCs w:val="20"/>
                <w:color w:val="auto"/>
              </w:rPr>
            </w:pPr>
            <w:r>
              <w:rPr>
                <w:rFonts w:ascii="Arial" w:cs="Arial" w:eastAsia="Arial" w:hAnsi="Arial"/>
                <w:sz w:val="18"/>
                <w:szCs w:val="18"/>
                <w:color w:val="auto"/>
              </w:rPr>
              <w:t>4,749</w:t>
            </w:r>
          </w:p>
        </w:tc>
        <w:tc>
          <w:tcPr>
            <w:tcW w:w="660" w:type="dxa"/>
            <w:vAlign w:val="bottom"/>
          </w:tcPr>
          <w:p>
            <w:pPr>
              <w:jc w:val="right"/>
              <w:ind w:right="19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57"/>
        </w:trPr>
        <w:tc>
          <w:tcPr>
            <w:tcW w:w="3140" w:type="dxa"/>
            <w:vAlign w:val="bottom"/>
          </w:tcPr>
          <w:p>
            <w:pPr>
              <w:spacing w:after="0"/>
              <w:rPr>
                <w:sz w:val="20"/>
                <w:szCs w:val="20"/>
                <w:color w:val="auto"/>
              </w:rPr>
            </w:pPr>
            <w:r>
              <w:rPr>
                <w:rFonts w:ascii="Arial" w:cs="Arial" w:eastAsia="Arial" w:hAnsi="Arial"/>
                <w:sz w:val="18"/>
                <w:szCs w:val="18"/>
                <w:color w:val="auto"/>
              </w:rPr>
              <w:t>Parent and other**</w:t>
            </w:r>
          </w:p>
        </w:tc>
        <w:tc>
          <w:tcPr>
            <w:tcW w:w="3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(57 )</w:t>
            </w:r>
          </w:p>
        </w:tc>
        <w:tc>
          <w:tcPr>
            <w:tcW w:w="7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(1 )</w:t>
            </w:r>
          </w:p>
        </w:tc>
        <w:tc>
          <w:tcPr>
            <w:tcW w:w="5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(122 )</w:t>
            </w:r>
          </w:p>
        </w:tc>
        <w:tc>
          <w:tcPr>
            <w:tcW w:w="9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(2 )</w:t>
            </w: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(279 )</w:t>
            </w:r>
          </w:p>
        </w:tc>
        <w:tc>
          <w:tcPr>
            <w:tcW w:w="6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57"/>
        </w:trPr>
        <w:tc>
          <w:tcPr>
            <w:tcW w:w="3140" w:type="dxa"/>
            <w:vAlign w:val="bottom"/>
          </w:tcPr>
          <w:p>
            <w:pPr>
              <w:ind w:left="180"/>
              <w:spacing w:after="0"/>
              <w:rPr>
                <w:sz w:val="20"/>
                <w:szCs w:val="20"/>
                <w:color w:val="auto"/>
              </w:rPr>
            </w:pPr>
            <w:r>
              <w:rPr>
                <w:rFonts w:ascii="Arial" w:cs="Arial" w:eastAsia="Arial" w:hAnsi="Arial"/>
                <w:sz w:val="18"/>
                <w:szCs w:val="18"/>
                <w:color w:val="auto"/>
              </w:rPr>
              <w:t>Total Operating Revenues</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4,385</w:t>
            </w:r>
          </w:p>
        </w:tc>
        <w:tc>
          <w:tcPr>
            <w:tcW w:w="7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7"/>
              </w:rPr>
              <w:t>100 %</w:t>
            </w:r>
          </w:p>
        </w:tc>
        <w:tc>
          <w:tcPr>
            <w:tcW w:w="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4,862</w:t>
            </w: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100 %</w:t>
            </w:r>
          </w:p>
        </w:tc>
        <w:tc>
          <w:tcPr>
            <w:tcW w:w="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4,470</w:t>
            </w:r>
          </w:p>
        </w:tc>
        <w:tc>
          <w:tcPr>
            <w:tcW w:w="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473"/>
        </w:trPr>
        <w:tc>
          <w:tcPr>
            <w:tcW w:w="3140" w:type="dxa"/>
            <w:vAlign w:val="bottom"/>
          </w:tcPr>
          <w:p>
            <w:pPr>
              <w:spacing w:after="0"/>
              <w:rPr>
                <w:sz w:val="20"/>
                <w:szCs w:val="20"/>
                <w:color w:val="auto"/>
              </w:rPr>
            </w:pPr>
            <w:r>
              <w:rPr>
                <w:rFonts w:ascii="Arial" w:cs="Arial" w:eastAsia="Arial" w:hAnsi="Arial"/>
                <w:sz w:val="18"/>
                <w:szCs w:val="18"/>
                <w:color w:val="auto"/>
              </w:rPr>
              <w:t>COST OF SALES***</w:t>
            </w: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140" w:type="dxa"/>
            <w:vAlign w:val="bottom"/>
          </w:tcPr>
          <w:p>
            <w:pPr>
              <w:spacing w:after="0"/>
              <w:rPr>
                <w:sz w:val="20"/>
                <w:szCs w:val="20"/>
                <w:color w:val="auto"/>
              </w:rPr>
            </w:pPr>
            <w:r>
              <w:rPr>
                <w:rFonts w:ascii="Arial" w:cs="Arial" w:eastAsia="Arial" w:hAnsi="Arial"/>
                <w:sz w:val="18"/>
                <w:szCs w:val="18"/>
                <w:color w:val="auto"/>
              </w:rPr>
              <w:t>Sempra Generation*</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210"/>
              <w:spacing w:after="0"/>
              <w:rPr>
                <w:sz w:val="20"/>
                <w:szCs w:val="20"/>
                <w:color w:val="auto"/>
              </w:rPr>
            </w:pPr>
            <w:r>
              <w:rPr>
                <w:rFonts w:ascii="Arial" w:cs="Arial" w:eastAsia="Arial" w:hAnsi="Arial"/>
                <w:sz w:val="18"/>
                <w:szCs w:val="18"/>
                <w:color w:val="auto"/>
              </w:rPr>
              <w:t>1,058</w:t>
            </w:r>
          </w:p>
        </w:tc>
        <w:tc>
          <w:tcPr>
            <w:tcW w:w="720" w:type="dxa"/>
            <w:vAlign w:val="bottom"/>
          </w:tcPr>
          <w:p>
            <w:pPr>
              <w:jc w:val="right"/>
              <w:ind w:right="110"/>
              <w:spacing w:after="0"/>
              <w:rPr>
                <w:sz w:val="20"/>
                <w:szCs w:val="20"/>
                <w:color w:val="auto"/>
              </w:rPr>
            </w:pPr>
            <w:r>
              <w:rPr>
                <w:rFonts w:ascii="Arial" w:cs="Arial" w:eastAsia="Arial" w:hAnsi="Arial"/>
                <w:sz w:val="18"/>
                <w:szCs w:val="18"/>
                <w:color w:val="auto"/>
              </w:rPr>
              <w:t>81 %</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210"/>
              <w:spacing w:after="0"/>
              <w:rPr>
                <w:sz w:val="20"/>
                <w:szCs w:val="20"/>
                <w:color w:val="auto"/>
              </w:rPr>
            </w:pPr>
            <w:r>
              <w:rPr>
                <w:rFonts w:ascii="Arial" w:cs="Arial" w:eastAsia="Arial" w:hAnsi="Arial"/>
                <w:sz w:val="18"/>
                <w:szCs w:val="18"/>
                <w:color w:val="auto"/>
              </w:rPr>
              <w:t>996</w:t>
            </w:r>
          </w:p>
        </w:tc>
        <w:tc>
          <w:tcPr>
            <w:tcW w:w="920" w:type="dxa"/>
            <w:vAlign w:val="bottom"/>
          </w:tcPr>
          <w:p>
            <w:pPr>
              <w:jc w:val="right"/>
              <w:ind w:right="290"/>
              <w:spacing w:after="0"/>
              <w:rPr>
                <w:sz w:val="20"/>
                <w:szCs w:val="20"/>
                <w:color w:val="auto"/>
              </w:rPr>
            </w:pPr>
            <w:r>
              <w:rPr>
                <w:rFonts w:ascii="Arial" w:cs="Arial" w:eastAsia="Arial" w:hAnsi="Arial"/>
                <w:sz w:val="18"/>
                <w:szCs w:val="18"/>
                <w:color w:val="auto"/>
              </w:rPr>
              <w:t>82 %</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50"/>
              <w:spacing w:after="0"/>
              <w:rPr>
                <w:sz w:val="20"/>
                <w:szCs w:val="20"/>
                <w:color w:val="auto"/>
              </w:rPr>
            </w:pPr>
            <w:r>
              <w:rPr>
                <w:rFonts w:ascii="Arial" w:cs="Arial" w:eastAsia="Arial" w:hAnsi="Arial"/>
                <w:sz w:val="18"/>
                <w:szCs w:val="18"/>
                <w:color w:val="auto"/>
              </w:rPr>
              <w:t>1,067</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81 %</w:t>
            </w:r>
          </w:p>
        </w:tc>
        <w:tc>
          <w:tcPr>
            <w:tcW w:w="0" w:type="dxa"/>
            <w:vAlign w:val="bottom"/>
          </w:tcPr>
          <w:p>
            <w:pPr>
              <w:spacing w:after="0"/>
              <w:rPr>
                <w:sz w:val="1"/>
                <w:szCs w:val="1"/>
                <w:color w:val="auto"/>
              </w:rPr>
            </w:pPr>
          </w:p>
        </w:tc>
      </w:tr>
      <w:tr>
        <w:trPr>
          <w:trHeight w:val="257"/>
        </w:trPr>
        <w:tc>
          <w:tcPr>
            <w:tcW w:w="3140" w:type="dxa"/>
            <w:vAlign w:val="bottom"/>
          </w:tcPr>
          <w:p>
            <w:pPr>
              <w:spacing w:after="0"/>
              <w:rPr>
                <w:sz w:val="20"/>
                <w:szCs w:val="20"/>
                <w:color w:val="auto"/>
              </w:rPr>
            </w:pPr>
            <w:r>
              <w:rPr>
                <w:rFonts w:ascii="Arial" w:cs="Arial" w:eastAsia="Arial" w:hAnsi="Arial"/>
                <w:sz w:val="18"/>
                <w:szCs w:val="18"/>
                <w:color w:val="auto"/>
              </w:rPr>
              <w:t>Sempra Pipelines &amp; Storage*</w:t>
            </w:r>
          </w:p>
        </w:tc>
        <w:tc>
          <w:tcPr>
            <w:tcW w:w="3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255</w:t>
            </w:r>
          </w:p>
        </w:tc>
        <w:tc>
          <w:tcPr>
            <w:tcW w:w="7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w:t>
            </w:r>
          </w:p>
        </w:tc>
        <w:tc>
          <w:tcPr>
            <w:tcW w:w="5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233</w:t>
            </w:r>
          </w:p>
        </w:tc>
        <w:tc>
          <w:tcPr>
            <w:tcW w:w="9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19</w:t>
            </w: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261</w:t>
            </w:r>
          </w:p>
        </w:tc>
        <w:tc>
          <w:tcPr>
            <w:tcW w:w="6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466"/>
        </w:trPr>
        <w:tc>
          <w:tcPr>
            <w:tcW w:w="3140" w:type="dxa"/>
            <w:vAlign w:val="bottom"/>
          </w:tcPr>
          <w:p>
            <w:pPr>
              <w:spacing w:after="0"/>
              <w:rPr>
                <w:sz w:val="20"/>
                <w:szCs w:val="20"/>
                <w:color w:val="auto"/>
              </w:rPr>
            </w:pPr>
            <w:r>
              <w:rPr>
                <w:rFonts w:ascii="Arial" w:cs="Arial" w:eastAsia="Arial" w:hAnsi="Arial"/>
                <w:sz w:val="18"/>
                <w:szCs w:val="18"/>
                <w:color w:val="auto"/>
              </w:rPr>
              <w:t>Total Sempra Global</w:t>
            </w:r>
          </w:p>
        </w:tc>
        <w:tc>
          <w:tcPr>
            <w:tcW w:w="300" w:type="dxa"/>
            <w:vAlign w:val="bottom"/>
          </w:tcPr>
          <w:p>
            <w:pPr>
              <w:spacing w:after="0"/>
              <w:rPr>
                <w:sz w:val="24"/>
                <w:szCs w:val="24"/>
                <w:color w:val="auto"/>
              </w:rPr>
            </w:pPr>
          </w:p>
        </w:tc>
        <w:tc>
          <w:tcPr>
            <w:tcW w:w="820" w:type="dxa"/>
            <w:vAlign w:val="bottom"/>
          </w:tcPr>
          <w:p>
            <w:pPr>
              <w:jc w:val="right"/>
              <w:ind w:right="210"/>
              <w:spacing w:after="0"/>
              <w:rPr>
                <w:sz w:val="20"/>
                <w:szCs w:val="20"/>
                <w:color w:val="auto"/>
              </w:rPr>
            </w:pPr>
            <w:r>
              <w:rPr>
                <w:rFonts w:ascii="Arial" w:cs="Arial" w:eastAsia="Arial" w:hAnsi="Arial"/>
                <w:sz w:val="18"/>
                <w:szCs w:val="18"/>
                <w:color w:val="auto"/>
              </w:rPr>
              <w:t>1,313</w:t>
            </w:r>
          </w:p>
        </w:tc>
        <w:tc>
          <w:tcPr>
            <w:tcW w:w="720" w:type="dxa"/>
            <w:vAlign w:val="bottom"/>
          </w:tcPr>
          <w:p>
            <w:pPr>
              <w:jc w:val="right"/>
              <w:ind w:right="290"/>
              <w:spacing w:after="0"/>
              <w:rPr>
                <w:sz w:val="20"/>
                <w:szCs w:val="20"/>
                <w:color w:val="auto"/>
              </w:rPr>
            </w:pPr>
            <w:r>
              <w:rPr>
                <w:rFonts w:ascii="Arial" w:cs="Arial" w:eastAsia="Arial" w:hAnsi="Arial"/>
                <w:sz w:val="18"/>
                <w:szCs w:val="18"/>
                <w:color w:val="auto"/>
              </w:rPr>
              <w:t>101</w:t>
            </w:r>
          </w:p>
        </w:tc>
        <w:tc>
          <w:tcPr>
            <w:tcW w:w="500" w:type="dxa"/>
            <w:vAlign w:val="bottom"/>
          </w:tcPr>
          <w:p>
            <w:pPr>
              <w:spacing w:after="0"/>
              <w:rPr>
                <w:sz w:val="24"/>
                <w:szCs w:val="24"/>
                <w:color w:val="auto"/>
              </w:rPr>
            </w:pPr>
          </w:p>
        </w:tc>
        <w:tc>
          <w:tcPr>
            <w:tcW w:w="820" w:type="dxa"/>
            <w:vAlign w:val="bottom"/>
          </w:tcPr>
          <w:p>
            <w:pPr>
              <w:jc w:val="right"/>
              <w:ind w:right="210"/>
              <w:spacing w:after="0"/>
              <w:rPr>
                <w:sz w:val="20"/>
                <w:szCs w:val="20"/>
                <w:color w:val="auto"/>
              </w:rPr>
            </w:pPr>
            <w:r>
              <w:rPr>
                <w:rFonts w:ascii="Arial" w:cs="Arial" w:eastAsia="Arial" w:hAnsi="Arial"/>
                <w:sz w:val="18"/>
                <w:szCs w:val="18"/>
                <w:color w:val="auto"/>
              </w:rPr>
              <w:t>1,229</w:t>
            </w:r>
          </w:p>
        </w:tc>
        <w:tc>
          <w:tcPr>
            <w:tcW w:w="920" w:type="dxa"/>
            <w:vAlign w:val="bottom"/>
          </w:tcPr>
          <w:p>
            <w:pPr>
              <w:jc w:val="right"/>
              <w:ind w:right="470"/>
              <w:spacing w:after="0"/>
              <w:rPr>
                <w:sz w:val="20"/>
                <w:szCs w:val="20"/>
                <w:color w:val="auto"/>
              </w:rPr>
            </w:pPr>
            <w:r>
              <w:rPr>
                <w:rFonts w:ascii="Arial" w:cs="Arial" w:eastAsia="Arial" w:hAnsi="Arial"/>
                <w:sz w:val="18"/>
                <w:szCs w:val="18"/>
                <w:color w:val="auto"/>
              </w:rPr>
              <w:t>101</w:t>
            </w:r>
          </w:p>
        </w:tc>
        <w:tc>
          <w:tcPr>
            <w:tcW w:w="360" w:type="dxa"/>
            <w:vAlign w:val="bottom"/>
          </w:tcPr>
          <w:p>
            <w:pPr>
              <w:spacing w:after="0"/>
              <w:rPr>
                <w:sz w:val="24"/>
                <w:szCs w:val="24"/>
                <w:color w:val="auto"/>
              </w:rPr>
            </w:pPr>
          </w:p>
        </w:tc>
        <w:tc>
          <w:tcPr>
            <w:tcW w:w="880" w:type="dxa"/>
            <w:vAlign w:val="bottom"/>
          </w:tcPr>
          <w:p>
            <w:pPr>
              <w:jc w:val="right"/>
              <w:ind w:right="250"/>
              <w:spacing w:after="0"/>
              <w:rPr>
                <w:sz w:val="20"/>
                <w:szCs w:val="20"/>
                <w:color w:val="auto"/>
              </w:rPr>
            </w:pPr>
            <w:r>
              <w:rPr>
                <w:rFonts w:ascii="Arial" w:cs="Arial" w:eastAsia="Arial" w:hAnsi="Arial"/>
                <w:sz w:val="18"/>
                <w:szCs w:val="18"/>
                <w:color w:val="auto"/>
              </w:rPr>
              <w:t>1,328</w:t>
            </w:r>
          </w:p>
        </w:tc>
        <w:tc>
          <w:tcPr>
            <w:tcW w:w="660" w:type="dxa"/>
            <w:vAlign w:val="bottom"/>
          </w:tcPr>
          <w:p>
            <w:pPr>
              <w:jc w:val="right"/>
              <w:ind w:right="19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57"/>
        </w:trPr>
        <w:tc>
          <w:tcPr>
            <w:tcW w:w="3140" w:type="dxa"/>
            <w:vAlign w:val="bottom"/>
          </w:tcPr>
          <w:p>
            <w:pPr>
              <w:spacing w:after="0"/>
              <w:rPr>
                <w:sz w:val="20"/>
                <w:szCs w:val="20"/>
                <w:color w:val="auto"/>
              </w:rPr>
            </w:pPr>
            <w:r>
              <w:rPr>
                <w:rFonts w:ascii="Arial" w:cs="Arial" w:eastAsia="Arial" w:hAnsi="Arial"/>
                <w:sz w:val="18"/>
                <w:szCs w:val="18"/>
                <w:color w:val="auto"/>
              </w:rPr>
              <w:t>Parent and other**</w:t>
            </w:r>
          </w:p>
        </w:tc>
        <w:tc>
          <w:tcPr>
            <w:tcW w:w="3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(11 )</w:t>
            </w:r>
          </w:p>
        </w:tc>
        <w:tc>
          <w:tcPr>
            <w:tcW w:w="7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(1 )</w:t>
            </w:r>
          </w:p>
        </w:tc>
        <w:tc>
          <w:tcPr>
            <w:tcW w:w="5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(8 )</w:t>
            </w:r>
          </w:p>
        </w:tc>
        <w:tc>
          <w:tcPr>
            <w:tcW w:w="9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(1 )</w:t>
            </w: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(7 )</w:t>
            </w:r>
          </w:p>
        </w:tc>
        <w:tc>
          <w:tcPr>
            <w:tcW w:w="6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09"/>
        </w:trPr>
        <w:tc>
          <w:tcPr>
            <w:tcW w:w="3140" w:type="dxa"/>
            <w:vAlign w:val="bottom"/>
          </w:tcPr>
          <w:p>
            <w:pPr>
              <w:ind w:left="180"/>
              <w:spacing w:after="0"/>
              <w:rPr>
                <w:sz w:val="20"/>
                <w:szCs w:val="20"/>
                <w:color w:val="auto"/>
              </w:rPr>
            </w:pPr>
            <w:r>
              <w:rPr>
                <w:rFonts w:ascii="Arial" w:cs="Arial" w:eastAsia="Arial" w:hAnsi="Arial"/>
                <w:sz w:val="18"/>
                <w:szCs w:val="18"/>
                <w:color w:val="auto"/>
              </w:rPr>
              <w:t>Total Cost of Natural Gas, Electric</w:t>
            </w:r>
          </w:p>
        </w:tc>
        <w:tc>
          <w:tcPr>
            <w:tcW w:w="30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ind w:right="210"/>
              <w:spacing w:after="0"/>
              <w:rPr>
                <w:sz w:val="20"/>
                <w:szCs w:val="20"/>
                <w:color w:val="auto"/>
              </w:rPr>
            </w:pPr>
            <w:r>
              <w:rPr>
                <w:rFonts w:ascii="Arial" w:cs="Arial" w:eastAsia="Arial" w:hAnsi="Arial"/>
                <w:sz w:val="18"/>
                <w:szCs w:val="18"/>
                <w:color w:val="auto"/>
              </w:rPr>
              <w:t>1,302</w:t>
            </w:r>
          </w:p>
        </w:tc>
        <w:tc>
          <w:tcPr>
            <w:tcW w:w="720" w:type="dxa"/>
            <w:vAlign w:val="bottom"/>
            <w:vMerge w:val="restart"/>
          </w:tcPr>
          <w:p>
            <w:pPr>
              <w:jc w:val="right"/>
              <w:ind w:right="110"/>
              <w:spacing w:after="0"/>
              <w:rPr>
                <w:sz w:val="20"/>
                <w:szCs w:val="20"/>
                <w:color w:val="auto"/>
              </w:rPr>
            </w:pPr>
            <w:r>
              <w:rPr>
                <w:rFonts w:ascii="Arial" w:cs="Arial" w:eastAsia="Arial" w:hAnsi="Arial"/>
                <w:sz w:val="18"/>
                <w:szCs w:val="18"/>
                <w:color w:val="auto"/>
                <w:w w:val="97"/>
              </w:rPr>
              <w:t>100 %</w:t>
            </w:r>
          </w:p>
        </w:tc>
        <w:tc>
          <w:tcPr>
            <w:tcW w:w="50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ind w:right="210"/>
              <w:spacing w:after="0"/>
              <w:rPr>
                <w:sz w:val="20"/>
                <w:szCs w:val="20"/>
                <w:color w:val="auto"/>
              </w:rPr>
            </w:pPr>
            <w:r>
              <w:rPr>
                <w:rFonts w:ascii="Arial" w:cs="Arial" w:eastAsia="Arial" w:hAnsi="Arial"/>
                <w:sz w:val="18"/>
                <w:szCs w:val="18"/>
                <w:color w:val="auto"/>
              </w:rPr>
              <w:t>1,221</w:t>
            </w:r>
          </w:p>
        </w:tc>
        <w:tc>
          <w:tcPr>
            <w:tcW w:w="920" w:type="dxa"/>
            <w:vAlign w:val="bottom"/>
            <w:vMerge w:val="restart"/>
          </w:tcPr>
          <w:p>
            <w:pPr>
              <w:jc w:val="right"/>
              <w:ind w:right="290"/>
              <w:spacing w:after="0"/>
              <w:rPr>
                <w:sz w:val="20"/>
                <w:szCs w:val="20"/>
                <w:color w:val="auto"/>
              </w:rPr>
            </w:pPr>
            <w:r>
              <w:rPr>
                <w:rFonts w:ascii="Arial" w:cs="Arial" w:eastAsia="Arial" w:hAnsi="Arial"/>
                <w:sz w:val="18"/>
                <w:szCs w:val="18"/>
                <w:color w:val="auto"/>
              </w:rPr>
              <w:t>100 %</w:t>
            </w:r>
          </w:p>
        </w:tc>
        <w:tc>
          <w:tcPr>
            <w:tcW w:w="36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ind w:right="250"/>
              <w:spacing w:after="0"/>
              <w:rPr>
                <w:sz w:val="20"/>
                <w:szCs w:val="20"/>
                <w:color w:val="auto"/>
              </w:rPr>
            </w:pPr>
            <w:r>
              <w:rPr>
                <w:rFonts w:ascii="Arial" w:cs="Arial" w:eastAsia="Arial" w:hAnsi="Arial"/>
                <w:sz w:val="18"/>
                <w:szCs w:val="18"/>
                <w:color w:val="auto"/>
              </w:rPr>
              <w:t>1,321</w:t>
            </w:r>
          </w:p>
        </w:tc>
        <w:tc>
          <w:tcPr>
            <w:tcW w:w="660" w:type="dxa"/>
            <w:vAlign w:val="bottom"/>
            <w:vMerge w:val="restart"/>
          </w:tcPr>
          <w:p>
            <w:pPr>
              <w:jc w:val="right"/>
              <w:ind w:right="10"/>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29"/>
        </w:trPr>
        <w:tc>
          <w:tcPr>
            <w:tcW w:w="3140" w:type="dxa"/>
            <w:vAlign w:val="bottom"/>
          </w:tcPr>
          <w:p>
            <w:pPr>
              <w:ind w:left="280"/>
              <w:spacing w:after="0" w:line="203" w:lineRule="exact"/>
              <w:rPr>
                <w:sz w:val="20"/>
                <w:szCs w:val="20"/>
                <w:color w:val="auto"/>
              </w:rPr>
            </w:pPr>
            <w:r>
              <w:rPr>
                <w:rFonts w:ascii="Arial" w:cs="Arial" w:eastAsia="Arial" w:hAnsi="Arial"/>
                <w:sz w:val="18"/>
                <w:szCs w:val="18"/>
                <w:color w:val="auto"/>
              </w:rPr>
              <w:t>Fuel and Purchased Power</w:t>
            </w:r>
          </w:p>
        </w:tc>
        <w:tc>
          <w:tcPr>
            <w:tcW w:w="300" w:type="dxa"/>
            <w:vAlign w:val="bottom"/>
            <w:tcBorders>
              <w:bottom w:val="single" w:sz="8" w:color="auto"/>
            </w:tcBorders>
            <w:vMerge w:val="continue"/>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720" w:type="dxa"/>
            <w:vAlign w:val="bottom"/>
            <w:tcBorders>
              <w:bottom w:val="single" w:sz="8" w:color="auto"/>
            </w:tcBorders>
            <w:vMerge w:val="continue"/>
          </w:tcPr>
          <w:p>
            <w:pPr>
              <w:spacing w:after="0"/>
              <w:rPr>
                <w:sz w:val="19"/>
                <w:szCs w:val="19"/>
                <w:color w:val="auto"/>
              </w:rPr>
            </w:pPr>
          </w:p>
        </w:tc>
        <w:tc>
          <w:tcPr>
            <w:tcW w:w="500" w:type="dxa"/>
            <w:vAlign w:val="bottom"/>
            <w:tcBorders>
              <w:bottom w:val="single" w:sz="8" w:color="auto"/>
            </w:tcBorders>
            <w:vMerge w:val="continue"/>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360" w:type="dxa"/>
            <w:vAlign w:val="bottom"/>
            <w:tcBorders>
              <w:bottom w:val="single" w:sz="8" w:color="auto"/>
            </w:tcBorders>
            <w:vMerge w:val="continue"/>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6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73"/>
        </w:trPr>
        <w:tc>
          <w:tcPr>
            <w:tcW w:w="3140" w:type="dxa"/>
            <w:vAlign w:val="bottom"/>
          </w:tcPr>
          <w:p>
            <w:pPr>
              <w:spacing w:after="0"/>
              <w:rPr>
                <w:sz w:val="20"/>
                <w:szCs w:val="20"/>
                <w:color w:val="auto"/>
              </w:rPr>
            </w:pPr>
            <w:r>
              <w:rPr>
                <w:rFonts w:ascii="Arial" w:cs="Arial" w:eastAsia="Arial" w:hAnsi="Arial"/>
                <w:sz w:val="18"/>
                <w:szCs w:val="18"/>
                <w:color w:val="auto"/>
              </w:rPr>
              <w:t>Sempra Commodities*</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210"/>
              <w:spacing w:after="0"/>
              <w:rPr>
                <w:sz w:val="20"/>
                <w:szCs w:val="20"/>
                <w:color w:val="auto"/>
              </w:rPr>
            </w:pPr>
            <w:r>
              <w:rPr>
                <w:rFonts w:ascii="Arial" w:cs="Arial" w:eastAsia="Arial" w:hAnsi="Arial"/>
                <w:sz w:val="18"/>
                <w:szCs w:val="18"/>
                <w:color w:val="auto"/>
              </w:rPr>
              <w:t>988</w:t>
            </w:r>
          </w:p>
        </w:tc>
        <w:tc>
          <w:tcPr>
            <w:tcW w:w="720" w:type="dxa"/>
            <w:vAlign w:val="bottom"/>
          </w:tcPr>
          <w:p>
            <w:pPr>
              <w:jc w:val="right"/>
              <w:ind w:right="110"/>
              <w:spacing w:after="0"/>
              <w:rPr>
                <w:sz w:val="20"/>
                <w:szCs w:val="20"/>
                <w:color w:val="auto"/>
              </w:rPr>
            </w:pPr>
            <w:r>
              <w:rPr>
                <w:rFonts w:ascii="Arial" w:cs="Arial" w:eastAsia="Arial" w:hAnsi="Arial"/>
                <w:sz w:val="18"/>
                <w:szCs w:val="18"/>
                <w:color w:val="auto"/>
                <w:w w:val="97"/>
              </w:rPr>
              <w:t>100 %</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210"/>
              <w:spacing w:after="0"/>
              <w:rPr>
                <w:sz w:val="20"/>
                <w:szCs w:val="20"/>
                <w:color w:val="auto"/>
              </w:rPr>
            </w:pPr>
            <w:r>
              <w:rPr>
                <w:rFonts w:ascii="Arial" w:cs="Arial" w:eastAsia="Arial" w:hAnsi="Arial"/>
                <w:sz w:val="18"/>
                <w:szCs w:val="18"/>
                <w:color w:val="auto"/>
              </w:rPr>
              <w:t>1,468</w:t>
            </w:r>
          </w:p>
        </w:tc>
        <w:tc>
          <w:tcPr>
            <w:tcW w:w="920" w:type="dxa"/>
            <w:vAlign w:val="bottom"/>
          </w:tcPr>
          <w:p>
            <w:pPr>
              <w:jc w:val="right"/>
              <w:ind w:right="290"/>
              <w:spacing w:after="0"/>
              <w:rPr>
                <w:sz w:val="20"/>
                <w:szCs w:val="20"/>
                <w:color w:val="auto"/>
              </w:rPr>
            </w:pPr>
            <w:r>
              <w:rPr>
                <w:rFonts w:ascii="Arial" w:cs="Arial" w:eastAsia="Arial" w:hAnsi="Arial"/>
                <w:sz w:val="18"/>
                <w:szCs w:val="18"/>
                <w:color w:val="auto"/>
              </w:rPr>
              <w:t>100 %</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50"/>
              <w:spacing w:after="0"/>
              <w:rPr>
                <w:sz w:val="20"/>
                <w:szCs w:val="20"/>
                <w:color w:val="auto"/>
              </w:rPr>
            </w:pPr>
            <w:r>
              <w:rPr>
                <w:rFonts w:ascii="Arial" w:cs="Arial" w:eastAsia="Arial" w:hAnsi="Arial"/>
                <w:sz w:val="18"/>
                <w:szCs w:val="18"/>
                <w:color w:val="auto"/>
              </w:rPr>
              <w:t>1,267</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57"/>
        </w:trPr>
        <w:tc>
          <w:tcPr>
            <w:tcW w:w="3140" w:type="dxa"/>
            <w:vAlign w:val="bottom"/>
          </w:tcPr>
          <w:p>
            <w:pPr>
              <w:spacing w:after="0"/>
              <w:rPr>
                <w:sz w:val="20"/>
                <w:szCs w:val="20"/>
                <w:color w:val="auto"/>
              </w:rPr>
            </w:pPr>
            <w:r>
              <w:rPr>
                <w:rFonts w:ascii="Arial" w:cs="Arial" w:eastAsia="Arial" w:hAnsi="Arial"/>
                <w:sz w:val="18"/>
                <w:szCs w:val="18"/>
                <w:color w:val="auto"/>
              </w:rPr>
              <w:t>Sempra Generation*</w:t>
            </w:r>
          </w:p>
        </w:tc>
        <w:tc>
          <w:tcPr>
            <w:tcW w:w="3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w:t>
            </w:r>
          </w:p>
        </w:tc>
        <w:tc>
          <w:tcPr>
            <w:tcW w:w="7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23</w:t>
            </w:r>
          </w:p>
        </w:tc>
        <w:tc>
          <w:tcPr>
            <w:tcW w:w="9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w:t>
            </w: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142</w:t>
            </w:r>
          </w:p>
        </w:tc>
        <w:tc>
          <w:tcPr>
            <w:tcW w:w="6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466"/>
        </w:trPr>
        <w:tc>
          <w:tcPr>
            <w:tcW w:w="3140" w:type="dxa"/>
            <w:vAlign w:val="bottom"/>
          </w:tcPr>
          <w:p>
            <w:pPr>
              <w:spacing w:after="0"/>
              <w:rPr>
                <w:sz w:val="20"/>
                <w:szCs w:val="20"/>
                <w:color w:val="auto"/>
              </w:rPr>
            </w:pPr>
            <w:r>
              <w:rPr>
                <w:rFonts w:ascii="Arial" w:cs="Arial" w:eastAsia="Arial" w:hAnsi="Arial"/>
                <w:sz w:val="18"/>
                <w:szCs w:val="18"/>
                <w:color w:val="auto"/>
              </w:rPr>
              <w:t>Total Sempra Global</w:t>
            </w:r>
          </w:p>
        </w:tc>
        <w:tc>
          <w:tcPr>
            <w:tcW w:w="300" w:type="dxa"/>
            <w:vAlign w:val="bottom"/>
          </w:tcPr>
          <w:p>
            <w:pPr>
              <w:spacing w:after="0"/>
              <w:rPr>
                <w:sz w:val="24"/>
                <w:szCs w:val="24"/>
                <w:color w:val="auto"/>
              </w:rPr>
            </w:pPr>
          </w:p>
        </w:tc>
        <w:tc>
          <w:tcPr>
            <w:tcW w:w="820" w:type="dxa"/>
            <w:vAlign w:val="bottom"/>
          </w:tcPr>
          <w:p>
            <w:pPr>
              <w:jc w:val="right"/>
              <w:ind w:right="210"/>
              <w:spacing w:after="0"/>
              <w:rPr>
                <w:sz w:val="20"/>
                <w:szCs w:val="20"/>
                <w:color w:val="auto"/>
              </w:rPr>
            </w:pPr>
            <w:r>
              <w:rPr>
                <w:rFonts w:ascii="Arial" w:cs="Arial" w:eastAsia="Arial" w:hAnsi="Arial"/>
                <w:sz w:val="18"/>
                <w:szCs w:val="18"/>
                <w:color w:val="auto"/>
              </w:rPr>
              <w:t>989</w:t>
            </w:r>
          </w:p>
        </w:tc>
        <w:tc>
          <w:tcPr>
            <w:tcW w:w="720" w:type="dxa"/>
            <w:vAlign w:val="bottom"/>
          </w:tcPr>
          <w:p>
            <w:pPr>
              <w:jc w:val="right"/>
              <w:ind w:right="290"/>
              <w:spacing w:after="0"/>
              <w:rPr>
                <w:sz w:val="20"/>
                <w:szCs w:val="20"/>
                <w:color w:val="auto"/>
              </w:rPr>
            </w:pPr>
            <w:r>
              <w:rPr>
                <w:rFonts w:ascii="Arial" w:cs="Arial" w:eastAsia="Arial" w:hAnsi="Arial"/>
                <w:sz w:val="18"/>
                <w:szCs w:val="18"/>
                <w:color w:val="auto"/>
              </w:rPr>
              <w:t>100</w:t>
            </w:r>
          </w:p>
        </w:tc>
        <w:tc>
          <w:tcPr>
            <w:tcW w:w="500" w:type="dxa"/>
            <w:vAlign w:val="bottom"/>
          </w:tcPr>
          <w:p>
            <w:pPr>
              <w:spacing w:after="0"/>
              <w:rPr>
                <w:sz w:val="24"/>
                <w:szCs w:val="24"/>
                <w:color w:val="auto"/>
              </w:rPr>
            </w:pPr>
          </w:p>
        </w:tc>
        <w:tc>
          <w:tcPr>
            <w:tcW w:w="820" w:type="dxa"/>
            <w:vAlign w:val="bottom"/>
          </w:tcPr>
          <w:p>
            <w:pPr>
              <w:jc w:val="right"/>
              <w:ind w:right="210"/>
              <w:spacing w:after="0"/>
              <w:rPr>
                <w:sz w:val="20"/>
                <w:szCs w:val="20"/>
                <w:color w:val="auto"/>
              </w:rPr>
            </w:pPr>
            <w:r>
              <w:rPr>
                <w:rFonts w:ascii="Arial" w:cs="Arial" w:eastAsia="Arial" w:hAnsi="Arial"/>
                <w:sz w:val="18"/>
                <w:szCs w:val="18"/>
                <w:color w:val="auto"/>
              </w:rPr>
              <w:t>1,491</w:t>
            </w:r>
          </w:p>
        </w:tc>
        <w:tc>
          <w:tcPr>
            <w:tcW w:w="920" w:type="dxa"/>
            <w:vAlign w:val="bottom"/>
          </w:tcPr>
          <w:p>
            <w:pPr>
              <w:jc w:val="right"/>
              <w:ind w:right="470"/>
              <w:spacing w:after="0"/>
              <w:rPr>
                <w:sz w:val="20"/>
                <w:szCs w:val="20"/>
                <w:color w:val="auto"/>
              </w:rPr>
            </w:pPr>
            <w:r>
              <w:rPr>
                <w:rFonts w:ascii="Arial" w:cs="Arial" w:eastAsia="Arial" w:hAnsi="Arial"/>
                <w:sz w:val="18"/>
                <w:szCs w:val="18"/>
                <w:color w:val="auto"/>
              </w:rPr>
              <w:t>102</w:t>
            </w:r>
          </w:p>
        </w:tc>
        <w:tc>
          <w:tcPr>
            <w:tcW w:w="360" w:type="dxa"/>
            <w:vAlign w:val="bottom"/>
          </w:tcPr>
          <w:p>
            <w:pPr>
              <w:spacing w:after="0"/>
              <w:rPr>
                <w:sz w:val="24"/>
                <w:szCs w:val="24"/>
                <w:color w:val="auto"/>
              </w:rPr>
            </w:pPr>
          </w:p>
        </w:tc>
        <w:tc>
          <w:tcPr>
            <w:tcW w:w="880" w:type="dxa"/>
            <w:vAlign w:val="bottom"/>
          </w:tcPr>
          <w:p>
            <w:pPr>
              <w:jc w:val="right"/>
              <w:ind w:right="250"/>
              <w:spacing w:after="0"/>
              <w:rPr>
                <w:sz w:val="20"/>
                <w:szCs w:val="20"/>
                <w:color w:val="auto"/>
              </w:rPr>
            </w:pPr>
            <w:r>
              <w:rPr>
                <w:rFonts w:ascii="Arial" w:cs="Arial" w:eastAsia="Arial" w:hAnsi="Arial"/>
                <w:sz w:val="18"/>
                <w:szCs w:val="18"/>
                <w:color w:val="auto"/>
              </w:rPr>
              <w:t>1,409</w:t>
            </w:r>
          </w:p>
        </w:tc>
        <w:tc>
          <w:tcPr>
            <w:tcW w:w="660" w:type="dxa"/>
            <w:vAlign w:val="bottom"/>
          </w:tcPr>
          <w:p>
            <w:pPr>
              <w:jc w:val="right"/>
              <w:ind w:right="19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57"/>
        </w:trPr>
        <w:tc>
          <w:tcPr>
            <w:tcW w:w="3140" w:type="dxa"/>
            <w:vAlign w:val="bottom"/>
          </w:tcPr>
          <w:p>
            <w:pPr>
              <w:spacing w:after="0"/>
              <w:rPr>
                <w:sz w:val="20"/>
                <w:szCs w:val="20"/>
                <w:color w:val="auto"/>
              </w:rPr>
            </w:pPr>
            <w:r>
              <w:rPr>
                <w:rFonts w:ascii="Arial" w:cs="Arial" w:eastAsia="Arial" w:hAnsi="Arial"/>
                <w:sz w:val="18"/>
                <w:szCs w:val="18"/>
                <w:color w:val="auto"/>
              </w:rPr>
              <w:t>Parent and other**</w:t>
            </w:r>
          </w:p>
        </w:tc>
        <w:tc>
          <w:tcPr>
            <w:tcW w:w="3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(1 )</w:t>
            </w:r>
          </w:p>
        </w:tc>
        <w:tc>
          <w:tcPr>
            <w:tcW w:w="7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(23 )</w:t>
            </w:r>
          </w:p>
        </w:tc>
        <w:tc>
          <w:tcPr>
            <w:tcW w:w="9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(2 )</w:t>
            </w: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(142 )</w:t>
            </w:r>
          </w:p>
        </w:tc>
        <w:tc>
          <w:tcPr>
            <w:tcW w:w="6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24"/>
        </w:trPr>
        <w:tc>
          <w:tcPr>
            <w:tcW w:w="3140" w:type="dxa"/>
            <w:vAlign w:val="bottom"/>
          </w:tcPr>
          <w:p>
            <w:pPr>
              <w:ind w:left="180"/>
              <w:spacing w:after="0"/>
              <w:rPr>
                <w:sz w:val="20"/>
                <w:szCs w:val="20"/>
                <w:color w:val="auto"/>
              </w:rPr>
            </w:pPr>
            <w:r>
              <w:rPr>
                <w:rFonts w:ascii="Arial" w:cs="Arial" w:eastAsia="Arial" w:hAnsi="Arial"/>
                <w:sz w:val="18"/>
                <w:szCs w:val="18"/>
                <w:color w:val="auto"/>
              </w:rPr>
              <w:t>Total Other Cost of Sales</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210"/>
              <w:spacing w:after="0"/>
              <w:rPr>
                <w:sz w:val="20"/>
                <w:szCs w:val="20"/>
                <w:color w:val="auto"/>
              </w:rPr>
            </w:pPr>
            <w:r>
              <w:rPr>
                <w:rFonts w:ascii="Arial" w:cs="Arial" w:eastAsia="Arial" w:hAnsi="Arial"/>
                <w:sz w:val="18"/>
                <w:szCs w:val="18"/>
                <w:color w:val="auto"/>
              </w:rPr>
              <w:t>988</w:t>
            </w:r>
          </w:p>
        </w:tc>
        <w:tc>
          <w:tcPr>
            <w:tcW w:w="720" w:type="dxa"/>
            <w:vAlign w:val="bottom"/>
          </w:tcPr>
          <w:p>
            <w:pPr>
              <w:jc w:val="right"/>
              <w:ind w:right="110"/>
              <w:spacing w:after="0"/>
              <w:rPr>
                <w:sz w:val="20"/>
                <w:szCs w:val="20"/>
                <w:color w:val="auto"/>
              </w:rPr>
            </w:pPr>
            <w:r>
              <w:rPr>
                <w:rFonts w:ascii="Arial" w:cs="Arial" w:eastAsia="Arial" w:hAnsi="Arial"/>
                <w:sz w:val="18"/>
                <w:szCs w:val="18"/>
                <w:color w:val="auto"/>
                <w:w w:val="97"/>
              </w:rPr>
              <w:t>100 %</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210"/>
              <w:spacing w:after="0"/>
              <w:rPr>
                <w:sz w:val="20"/>
                <w:szCs w:val="20"/>
                <w:color w:val="auto"/>
              </w:rPr>
            </w:pPr>
            <w:r>
              <w:rPr>
                <w:rFonts w:ascii="Arial" w:cs="Arial" w:eastAsia="Arial" w:hAnsi="Arial"/>
                <w:sz w:val="18"/>
                <w:szCs w:val="18"/>
                <w:color w:val="auto"/>
              </w:rPr>
              <w:t>1,468</w:t>
            </w:r>
          </w:p>
        </w:tc>
        <w:tc>
          <w:tcPr>
            <w:tcW w:w="920" w:type="dxa"/>
            <w:vAlign w:val="bottom"/>
          </w:tcPr>
          <w:p>
            <w:pPr>
              <w:jc w:val="right"/>
              <w:ind w:right="290"/>
              <w:spacing w:after="0"/>
              <w:rPr>
                <w:sz w:val="20"/>
                <w:szCs w:val="20"/>
                <w:color w:val="auto"/>
              </w:rPr>
            </w:pPr>
            <w:r>
              <w:rPr>
                <w:rFonts w:ascii="Arial" w:cs="Arial" w:eastAsia="Arial" w:hAnsi="Arial"/>
                <w:sz w:val="18"/>
                <w:szCs w:val="18"/>
                <w:color w:val="auto"/>
              </w:rPr>
              <w:t>100 %</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50"/>
              <w:spacing w:after="0"/>
              <w:rPr>
                <w:sz w:val="20"/>
                <w:szCs w:val="20"/>
                <w:color w:val="auto"/>
              </w:rPr>
            </w:pPr>
            <w:r>
              <w:rPr>
                <w:rFonts w:ascii="Arial" w:cs="Arial" w:eastAsia="Arial" w:hAnsi="Arial"/>
                <w:sz w:val="18"/>
                <w:szCs w:val="18"/>
                <w:color w:val="auto"/>
              </w:rPr>
              <w:t>1,267</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8255</wp:posOffset>
            </wp:positionV>
            <wp:extent cx="578866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88660" cy="26035"/>
                    </a:xfrm>
                    <a:prstGeom prst="rect">
                      <a:avLst/>
                    </a:prstGeom>
                    <a:noFill/>
                  </pic:spPr>
                </pic:pic>
              </a:graphicData>
            </a:graphic>
          </wp:anchor>
        </w:drawing>
      </w:r>
    </w:p>
    <w:p>
      <w:pPr>
        <w:spacing w:after="0" w:line="32" w:lineRule="exact"/>
        <w:rPr>
          <w:sz w:val="20"/>
          <w:szCs w:val="20"/>
          <w:color w:val="auto"/>
        </w:rPr>
      </w:pPr>
    </w:p>
    <w:p>
      <w:pPr>
        <w:ind w:left="1680" w:hanging="114"/>
        <w:spacing w:after="0"/>
        <w:tabs>
          <w:tab w:leader="none" w:pos="16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Does not include unconsolidated affiliates that are part of this business unit.</w:t>
      </w:r>
    </w:p>
    <w:p>
      <w:pPr>
        <w:spacing w:after="0" w:line="36" w:lineRule="exact"/>
        <w:rPr>
          <w:rFonts w:ascii="Arial" w:cs="Arial" w:eastAsia="Arial" w:hAnsi="Arial"/>
          <w:sz w:val="18"/>
          <w:szCs w:val="18"/>
          <w:color w:val="auto"/>
        </w:rPr>
      </w:pPr>
    </w:p>
    <w:p>
      <w:pPr>
        <w:ind w:left="1680" w:right="1200" w:hanging="204"/>
        <w:spacing w:after="0" w:line="266" w:lineRule="auto"/>
        <w:tabs>
          <w:tab w:leader="none" w:pos="1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intercompany eliminations recorded in consolidation, including the Palomar facility as discussed in Note 3 of the Notes to Consolidated Financial Statements.</w:t>
      </w:r>
    </w:p>
    <w:p>
      <w:pPr>
        <w:ind w:left="1680" w:hanging="294"/>
        <w:spacing w:after="0"/>
        <w:tabs>
          <w:tab w:leader="none" w:pos="16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Excludes depreciation, which is shown separately on the Statements of Consolidated Income.</w:t>
      </w:r>
    </w:p>
    <w:p>
      <w:pPr>
        <w:spacing w:after="0" w:line="263" w:lineRule="exact"/>
        <w:rPr>
          <w:sz w:val="20"/>
          <w:szCs w:val="20"/>
          <w:color w:val="auto"/>
        </w:rPr>
      </w:pPr>
    </w:p>
    <w:p>
      <w:pPr>
        <w:spacing w:after="0" w:line="278" w:lineRule="auto"/>
        <w:rPr>
          <w:sz w:val="20"/>
          <w:szCs w:val="20"/>
          <w:color w:val="auto"/>
        </w:rPr>
      </w:pPr>
      <w:r>
        <w:rPr>
          <w:rFonts w:ascii="Arial" w:cs="Arial" w:eastAsia="Arial" w:hAnsi="Arial"/>
          <w:sz w:val="18"/>
          <w:szCs w:val="18"/>
          <w:color w:val="auto"/>
        </w:rPr>
        <w:t>Sempra Global and Parent operating revenues decreased by $477 million (10%) in 2007 to $4.4 billion. The cost of natural gas, electric fuel and purchased power increased $81 million (7%) to $1.3 billion, while other cost of sales decreased $480 million (33%) to $988 million in 2007. The decreases in revenues and other cost of sales were primarily attributable to trading activity at Sempra Commodities, primarily as a result of less volatility in the natural gas markets. The decrease was partially offset by higher Sempra Generation operating revenues and related costs, primarily due to higher merchant customer revenues resulting from increased sales volumes and higher prices.</w:t>
      </w:r>
    </w:p>
    <w:p>
      <w:pPr>
        <w:spacing w:after="0" w:line="192" w:lineRule="exact"/>
        <w:rPr>
          <w:sz w:val="20"/>
          <w:szCs w:val="20"/>
          <w:color w:val="auto"/>
        </w:rPr>
      </w:pPr>
    </w:p>
    <w:p>
      <w:pPr>
        <w:ind w:right="100"/>
        <w:spacing w:after="0" w:line="276" w:lineRule="auto"/>
        <w:rPr>
          <w:sz w:val="20"/>
          <w:szCs w:val="20"/>
          <w:color w:val="auto"/>
        </w:rPr>
      </w:pPr>
      <w:r>
        <w:rPr>
          <w:rFonts w:ascii="Arial" w:cs="Arial" w:eastAsia="Arial" w:hAnsi="Arial"/>
          <w:sz w:val="18"/>
          <w:szCs w:val="18"/>
          <w:color w:val="auto"/>
        </w:rPr>
        <w:t>Sempra Global and Parent operating revenues in 2006 were $4.9 billion, an increase of $392 million (9%) in 2006 compared to 2005. The cost of natural gas, electric fuel and purchased power decreased $100 million (8%) to $1.2 billion, while other cost of sales increased $201 million (16%) to $1.5 billion in 2006. Increases in Sempra Global and Parent operating revenues and other cost of sales in 2006 compared to 2005 reflected increased trading activity and higher commodity prices at Sempra Commodities, primarily as a result of increased volatility in the natural gas and metals markets, and higher sales to merchant customers at Sempra Generation. The increases at Sempra Generation were offset by the decreased value of its sales to the DWR, primarily due to lower natural gas prices.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420"/>
          </w:cols>
          <w:pgMar w:left="240" w:top="122" w:right="239" w:bottom="1440" w:gutter="0" w:footer="0" w:header="0"/>
        </w:sectPr>
      </w:pPr>
    </w:p>
    <w:bookmarkStart w:id="76" w:name="page77"/>
    <w:bookmarkEnd w:id="76"/>
    <w:p>
      <w:pPr>
        <w:spacing w:after="0"/>
        <w:rPr>
          <w:sz w:val="20"/>
          <w:szCs w:val="20"/>
          <w:color w:val="auto"/>
        </w:rPr>
      </w:pPr>
      <w:r>
        <w:rPr>
          <w:rFonts w:ascii="Arial" w:cs="Arial" w:eastAsia="Arial" w:hAnsi="Arial"/>
          <w:sz w:val="20"/>
          <w:szCs w:val="20"/>
          <w:b w:val="1"/>
          <w:bCs w:val="1"/>
          <w:i w:val="1"/>
          <w:iCs w:val="1"/>
          <w:color w:val="auto"/>
        </w:rPr>
        <w:t xml:space="preserve">Other Operating Expenses. </w:t>
      </w:r>
      <w:r>
        <w:rPr>
          <w:rFonts w:ascii="Arial" w:cs="Arial" w:eastAsia="Arial" w:hAnsi="Arial"/>
          <w:sz w:val="20"/>
          <w:szCs w:val="20"/>
          <w:color w:val="auto"/>
        </w:rPr>
        <w:t>This table provides a breakdown of other operating expenses by business unit.</w:t>
      </w:r>
    </w:p>
    <w:p>
      <w:pPr>
        <w:spacing w:after="0" w:line="287" w:lineRule="exact"/>
        <w:rPr>
          <w:sz w:val="20"/>
          <w:szCs w:val="20"/>
          <w:color w:val="auto"/>
        </w:rPr>
      </w:pPr>
    </w:p>
    <w:tbl>
      <w:tblPr>
        <w:tblLayout w:type="fixed"/>
        <w:tblInd w:w="1060" w:type="dxa"/>
        <w:tblCellMar>
          <w:top w:w="0" w:type="dxa"/>
          <w:left w:w="0" w:type="dxa"/>
          <w:bottom w:w="0" w:type="dxa"/>
          <w:right w:w="0" w:type="dxa"/>
        </w:tblCellMar>
      </w:tblPr>
      <w:tr>
        <w:trPr>
          <w:trHeight w:val="237"/>
        </w:trPr>
        <w:tc>
          <w:tcPr>
            <w:tcW w:w="36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color w:val="auto"/>
                <w:w w:val="90"/>
              </w:rPr>
              <w:t>Years ended December 31,</w:t>
            </w: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r>
      <w:tr>
        <w:trPr>
          <w:trHeight w:val="237"/>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(Dollars in millions)</w:t>
            </w:r>
          </w:p>
        </w:tc>
        <w:tc>
          <w:tcPr>
            <w:tcW w:w="2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w w:val="89"/>
              </w:rPr>
              <w:t>2007</w:t>
            </w:r>
          </w:p>
        </w:tc>
        <w:tc>
          <w:tcPr>
            <w:tcW w:w="4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2006</w:t>
            </w:r>
          </w:p>
        </w:tc>
        <w:tc>
          <w:tcPr>
            <w:tcW w:w="7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2005</w:t>
            </w:r>
          </w:p>
        </w:tc>
        <w:tc>
          <w:tcPr>
            <w:tcW w:w="660" w:type="dxa"/>
            <w:vAlign w:val="bottom"/>
            <w:tcBorders>
              <w:bottom w:val="single" w:sz="8" w:color="auto"/>
            </w:tcBorders>
          </w:tcPr>
          <w:p>
            <w:pPr>
              <w:spacing w:after="0"/>
              <w:rPr>
                <w:sz w:val="20"/>
                <w:szCs w:val="20"/>
                <w:color w:val="auto"/>
              </w:rPr>
            </w:pPr>
          </w:p>
        </w:tc>
      </w:t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OTHER OPERATING EXPENSES</w:t>
            </w: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42"/>
        </w:trPr>
        <w:tc>
          <w:tcPr>
            <w:tcW w:w="3660" w:type="dxa"/>
            <w:vAlign w:val="bottom"/>
          </w:tcPr>
          <w:p>
            <w:pPr>
              <w:spacing w:after="0"/>
              <w:rPr>
                <w:sz w:val="20"/>
                <w:szCs w:val="20"/>
                <w:color w:val="auto"/>
              </w:rPr>
            </w:pPr>
            <w:r>
              <w:rPr>
                <w:rFonts w:ascii="Arial" w:cs="Arial" w:eastAsia="Arial" w:hAnsi="Arial"/>
                <w:sz w:val="18"/>
                <w:szCs w:val="18"/>
                <w:color w:val="auto"/>
              </w:rPr>
              <w:t>Sempra Utilities</w:t>
            </w: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243"/>
        </w:trPr>
        <w:tc>
          <w:tcPr>
            <w:tcW w:w="3660" w:type="dxa"/>
            <w:vAlign w:val="bottom"/>
          </w:tcPr>
          <w:p>
            <w:pPr>
              <w:ind w:left="140"/>
              <w:spacing w:after="0"/>
              <w:rPr>
                <w:sz w:val="20"/>
                <w:szCs w:val="20"/>
                <w:color w:val="auto"/>
              </w:rPr>
            </w:pPr>
            <w:r>
              <w:rPr>
                <w:rFonts w:ascii="Arial" w:cs="Arial" w:eastAsia="Arial" w:hAnsi="Arial"/>
                <w:sz w:val="18"/>
                <w:szCs w:val="18"/>
                <w:color w:val="auto"/>
              </w:rPr>
              <w:t>Southern California Gas Company</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1,020</w:t>
            </w:r>
          </w:p>
        </w:tc>
        <w:tc>
          <w:tcPr>
            <w:tcW w:w="1060" w:type="dxa"/>
            <w:vAlign w:val="bottom"/>
          </w:tcPr>
          <w:p>
            <w:pPr>
              <w:jc w:val="right"/>
              <w:spacing w:after="0"/>
              <w:rPr>
                <w:sz w:val="20"/>
                <w:szCs w:val="20"/>
                <w:color w:val="auto"/>
              </w:rPr>
            </w:pPr>
            <w:r>
              <w:rPr>
                <w:rFonts w:ascii="Arial" w:cs="Arial" w:eastAsia="Arial" w:hAnsi="Arial"/>
                <w:sz w:val="18"/>
                <w:szCs w:val="18"/>
                <w:color w:val="auto"/>
              </w:rPr>
              <w:t>35 %</w:t>
            </w: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30"/>
              <w:spacing w:after="0"/>
              <w:rPr>
                <w:sz w:val="20"/>
                <w:szCs w:val="20"/>
                <w:color w:val="auto"/>
              </w:rPr>
            </w:pPr>
            <w:r>
              <w:rPr>
                <w:rFonts w:ascii="Arial" w:cs="Arial" w:eastAsia="Arial" w:hAnsi="Arial"/>
                <w:sz w:val="18"/>
                <w:szCs w:val="18"/>
                <w:color w:val="auto"/>
              </w:rPr>
              <w:t>951</w:t>
            </w:r>
          </w:p>
        </w:tc>
        <w:tc>
          <w:tcPr>
            <w:tcW w:w="780" w:type="dxa"/>
            <w:vAlign w:val="bottom"/>
          </w:tcPr>
          <w:p>
            <w:pPr>
              <w:jc w:val="right"/>
              <w:ind w:right="150"/>
              <w:spacing w:after="0"/>
              <w:rPr>
                <w:sz w:val="20"/>
                <w:szCs w:val="20"/>
                <w:color w:val="auto"/>
              </w:rPr>
            </w:pPr>
            <w:r>
              <w:rPr>
                <w:rFonts w:ascii="Arial" w:cs="Arial" w:eastAsia="Arial" w:hAnsi="Arial"/>
                <w:sz w:val="18"/>
                <w:szCs w:val="18"/>
                <w:color w:val="auto"/>
              </w:rPr>
              <w:t>34 %</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90"/>
              <w:spacing w:after="0"/>
              <w:rPr>
                <w:sz w:val="20"/>
                <w:szCs w:val="20"/>
                <w:color w:val="auto"/>
              </w:rPr>
            </w:pPr>
            <w:r>
              <w:rPr>
                <w:rFonts w:ascii="Arial" w:cs="Arial" w:eastAsia="Arial" w:hAnsi="Arial"/>
                <w:sz w:val="18"/>
                <w:szCs w:val="18"/>
                <w:color w:val="auto"/>
              </w:rPr>
              <w:t>954</w:t>
            </w:r>
          </w:p>
        </w:tc>
        <w:tc>
          <w:tcPr>
            <w:tcW w:w="660" w:type="dxa"/>
            <w:vAlign w:val="bottom"/>
          </w:tcPr>
          <w:p>
            <w:pPr>
              <w:jc w:val="right"/>
              <w:spacing w:after="0"/>
              <w:rPr>
                <w:sz w:val="20"/>
                <w:szCs w:val="20"/>
                <w:color w:val="auto"/>
              </w:rPr>
            </w:pPr>
            <w:r>
              <w:rPr>
                <w:rFonts w:ascii="Arial" w:cs="Arial" w:eastAsia="Arial" w:hAnsi="Arial"/>
                <w:sz w:val="18"/>
                <w:szCs w:val="18"/>
                <w:color w:val="auto"/>
              </w:rPr>
              <w:t>37 %</w:t>
            </w:r>
          </w:p>
        </w:tc>
      </w:tr>
      <w:tr>
        <w:trPr>
          <w:trHeight w:val="257"/>
        </w:trPr>
        <w:tc>
          <w:tcPr>
            <w:tcW w:w="3660" w:type="dxa"/>
            <w:vAlign w:val="bottom"/>
          </w:tcPr>
          <w:p>
            <w:pPr>
              <w:ind w:left="140"/>
              <w:spacing w:after="0"/>
              <w:rPr>
                <w:sz w:val="20"/>
                <w:szCs w:val="20"/>
                <w:color w:val="auto"/>
              </w:rPr>
            </w:pPr>
            <w:r>
              <w:rPr>
                <w:rFonts w:ascii="Arial" w:cs="Arial" w:eastAsia="Arial" w:hAnsi="Arial"/>
                <w:sz w:val="18"/>
                <w:szCs w:val="18"/>
                <w:color w:val="auto"/>
              </w:rPr>
              <w:t>San Diego Gas &amp; Electric Company</w:t>
            </w:r>
          </w:p>
        </w:tc>
        <w:tc>
          <w:tcPr>
            <w:tcW w:w="2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797</w:t>
            </w:r>
          </w:p>
        </w:tc>
        <w:tc>
          <w:tcPr>
            <w:tcW w:w="10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27</w:t>
            </w:r>
          </w:p>
        </w:tc>
        <w:tc>
          <w:tcPr>
            <w:tcW w:w="4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774</w:t>
            </w:r>
          </w:p>
        </w:tc>
        <w:tc>
          <w:tcPr>
            <w:tcW w:w="7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28</w:t>
            </w: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603</w:t>
            </w:r>
          </w:p>
        </w:tc>
        <w:tc>
          <w:tcPr>
            <w:tcW w:w="6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23</w:t>
            </w:r>
          </w:p>
        </w:tc>
      </w:tr>
      <w:tr>
        <w:trPr>
          <w:trHeight w:val="224"/>
        </w:trPr>
        <w:tc>
          <w:tcPr>
            <w:tcW w:w="3660" w:type="dxa"/>
            <w:vAlign w:val="bottom"/>
          </w:tcPr>
          <w:p>
            <w:pPr>
              <w:ind w:left="140"/>
              <w:spacing w:after="0"/>
              <w:rPr>
                <w:sz w:val="20"/>
                <w:szCs w:val="20"/>
                <w:color w:val="auto"/>
              </w:rPr>
            </w:pPr>
            <w:r>
              <w:rPr>
                <w:rFonts w:ascii="Arial" w:cs="Arial" w:eastAsia="Arial" w:hAnsi="Arial"/>
                <w:sz w:val="18"/>
                <w:szCs w:val="18"/>
                <w:color w:val="auto"/>
              </w:rPr>
              <w:t>Total Sempra Utilities</w:t>
            </w:r>
          </w:p>
        </w:tc>
        <w:tc>
          <w:tcPr>
            <w:tcW w:w="2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1,817</w:t>
            </w:r>
          </w:p>
        </w:tc>
        <w:tc>
          <w:tcPr>
            <w:tcW w:w="1060" w:type="dxa"/>
            <w:vAlign w:val="bottom"/>
          </w:tcPr>
          <w:p>
            <w:pPr>
              <w:jc w:val="right"/>
              <w:ind w:right="170"/>
              <w:spacing w:after="0"/>
              <w:rPr>
                <w:sz w:val="20"/>
                <w:szCs w:val="20"/>
                <w:color w:val="auto"/>
              </w:rPr>
            </w:pPr>
            <w:r>
              <w:rPr>
                <w:rFonts w:ascii="Arial" w:cs="Arial" w:eastAsia="Arial" w:hAnsi="Arial"/>
                <w:sz w:val="18"/>
                <w:szCs w:val="18"/>
                <w:color w:val="auto"/>
              </w:rPr>
              <w:t>62</w:t>
            </w:r>
          </w:p>
        </w:tc>
        <w:tc>
          <w:tcPr>
            <w:tcW w:w="400" w:type="dxa"/>
            <w:vAlign w:val="bottom"/>
          </w:tcPr>
          <w:p>
            <w:pPr>
              <w:spacing w:after="0"/>
              <w:rPr>
                <w:sz w:val="19"/>
                <w:szCs w:val="19"/>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color w:val="auto"/>
              </w:rPr>
              <w:t>1,725</w:t>
            </w:r>
          </w:p>
        </w:tc>
        <w:tc>
          <w:tcPr>
            <w:tcW w:w="780" w:type="dxa"/>
            <w:vAlign w:val="bottom"/>
          </w:tcPr>
          <w:p>
            <w:pPr>
              <w:jc w:val="right"/>
              <w:ind w:right="330"/>
              <w:spacing w:after="0"/>
              <w:rPr>
                <w:sz w:val="20"/>
                <w:szCs w:val="20"/>
                <w:color w:val="auto"/>
              </w:rPr>
            </w:pPr>
            <w:r>
              <w:rPr>
                <w:rFonts w:ascii="Arial" w:cs="Arial" w:eastAsia="Arial" w:hAnsi="Arial"/>
                <w:sz w:val="18"/>
                <w:szCs w:val="18"/>
                <w:color w:val="auto"/>
              </w:rPr>
              <w:t>62</w:t>
            </w:r>
          </w:p>
        </w:tc>
        <w:tc>
          <w:tcPr>
            <w:tcW w:w="260" w:type="dxa"/>
            <w:vAlign w:val="bottom"/>
          </w:tcPr>
          <w:p>
            <w:pPr>
              <w:spacing w:after="0"/>
              <w:rPr>
                <w:sz w:val="19"/>
                <w:szCs w:val="19"/>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color w:val="auto"/>
              </w:rPr>
              <w:t>1,557</w:t>
            </w:r>
          </w:p>
        </w:tc>
        <w:tc>
          <w:tcPr>
            <w:tcW w:w="660" w:type="dxa"/>
            <w:vAlign w:val="bottom"/>
          </w:tcPr>
          <w:p>
            <w:pPr>
              <w:jc w:val="right"/>
              <w:ind w:right="150"/>
              <w:spacing w:after="0"/>
              <w:rPr>
                <w:sz w:val="20"/>
                <w:szCs w:val="20"/>
                <w:color w:val="auto"/>
              </w:rPr>
            </w:pPr>
            <w:r>
              <w:rPr>
                <w:rFonts w:ascii="Arial" w:cs="Arial" w:eastAsia="Arial" w:hAnsi="Arial"/>
                <w:sz w:val="18"/>
                <w:szCs w:val="18"/>
                <w:color w:val="auto"/>
              </w:rPr>
              <w:t>60</w:t>
            </w:r>
          </w:p>
        </w:tc>
      </w:tr>
      <w:tr>
        <w:trPr>
          <w:trHeight w:val="485"/>
        </w:trPr>
        <w:tc>
          <w:tcPr>
            <w:tcW w:w="3660" w:type="dxa"/>
            <w:vAlign w:val="bottom"/>
          </w:tcPr>
          <w:p>
            <w:pPr>
              <w:spacing w:after="0"/>
              <w:rPr>
                <w:sz w:val="20"/>
                <w:szCs w:val="20"/>
                <w:color w:val="auto"/>
              </w:rPr>
            </w:pPr>
            <w:r>
              <w:rPr>
                <w:rFonts w:ascii="Arial" w:cs="Arial" w:eastAsia="Arial" w:hAnsi="Arial"/>
                <w:sz w:val="18"/>
                <w:szCs w:val="18"/>
                <w:color w:val="auto"/>
              </w:rPr>
              <w:t>Sempra Global</w:t>
            </w: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43"/>
        </w:trPr>
        <w:tc>
          <w:tcPr>
            <w:tcW w:w="3660" w:type="dxa"/>
            <w:vAlign w:val="bottom"/>
          </w:tcPr>
          <w:p>
            <w:pPr>
              <w:ind w:left="140"/>
              <w:spacing w:after="0"/>
              <w:rPr>
                <w:sz w:val="20"/>
                <w:szCs w:val="20"/>
                <w:color w:val="auto"/>
              </w:rPr>
            </w:pPr>
            <w:r>
              <w:rPr>
                <w:rFonts w:ascii="Arial" w:cs="Arial" w:eastAsia="Arial" w:hAnsi="Arial"/>
                <w:sz w:val="18"/>
                <w:szCs w:val="18"/>
                <w:color w:val="auto"/>
              </w:rPr>
              <w:t>Sempra Commodities</w:t>
            </w:r>
          </w:p>
        </w:tc>
        <w:tc>
          <w:tcPr>
            <w:tcW w:w="2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860</w:t>
            </w:r>
          </w:p>
        </w:tc>
        <w:tc>
          <w:tcPr>
            <w:tcW w:w="1060" w:type="dxa"/>
            <w:vAlign w:val="bottom"/>
          </w:tcPr>
          <w:p>
            <w:pPr>
              <w:jc w:val="right"/>
              <w:ind w:right="170"/>
              <w:spacing w:after="0"/>
              <w:rPr>
                <w:sz w:val="20"/>
                <w:szCs w:val="20"/>
                <w:color w:val="auto"/>
              </w:rPr>
            </w:pPr>
            <w:r>
              <w:rPr>
                <w:rFonts w:ascii="Arial" w:cs="Arial" w:eastAsia="Arial" w:hAnsi="Arial"/>
                <w:sz w:val="18"/>
                <w:szCs w:val="18"/>
                <w:color w:val="auto"/>
              </w:rPr>
              <w:t>29</w:t>
            </w:r>
          </w:p>
        </w:tc>
        <w:tc>
          <w:tcPr>
            <w:tcW w:w="400" w:type="dxa"/>
            <w:vAlign w:val="bottom"/>
          </w:tcPr>
          <w:p>
            <w:pPr>
              <w:spacing w:after="0"/>
              <w:rPr>
                <w:sz w:val="21"/>
                <w:szCs w:val="21"/>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color w:val="auto"/>
              </w:rPr>
              <w:t>869</w:t>
            </w:r>
          </w:p>
        </w:tc>
        <w:tc>
          <w:tcPr>
            <w:tcW w:w="780" w:type="dxa"/>
            <w:vAlign w:val="bottom"/>
          </w:tcPr>
          <w:p>
            <w:pPr>
              <w:jc w:val="right"/>
              <w:ind w:right="330"/>
              <w:spacing w:after="0"/>
              <w:rPr>
                <w:sz w:val="20"/>
                <w:szCs w:val="20"/>
                <w:color w:val="auto"/>
              </w:rPr>
            </w:pPr>
            <w:r>
              <w:rPr>
                <w:rFonts w:ascii="Arial" w:cs="Arial" w:eastAsia="Arial" w:hAnsi="Arial"/>
                <w:sz w:val="18"/>
                <w:szCs w:val="18"/>
                <w:color w:val="auto"/>
              </w:rPr>
              <w:t>31</w:t>
            </w:r>
          </w:p>
        </w:tc>
        <w:tc>
          <w:tcPr>
            <w:tcW w:w="260" w:type="dxa"/>
            <w:vAlign w:val="bottom"/>
          </w:tcPr>
          <w:p>
            <w:pPr>
              <w:spacing w:after="0"/>
              <w:rPr>
                <w:sz w:val="21"/>
                <w:szCs w:val="21"/>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color w:val="auto"/>
              </w:rPr>
              <w:t>811</w:t>
            </w:r>
          </w:p>
        </w:tc>
        <w:tc>
          <w:tcPr>
            <w:tcW w:w="660" w:type="dxa"/>
            <w:vAlign w:val="bottom"/>
          </w:tcPr>
          <w:p>
            <w:pPr>
              <w:jc w:val="right"/>
              <w:ind w:right="150"/>
              <w:spacing w:after="0"/>
              <w:rPr>
                <w:sz w:val="20"/>
                <w:szCs w:val="20"/>
                <w:color w:val="auto"/>
              </w:rPr>
            </w:pPr>
            <w:r>
              <w:rPr>
                <w:rFonts w:ascii="Arial" w:cs="Arial" w:eastAsia="Arial" w:hAnsi="Arial"/>
                <w:sz w:val="18"/>
                <w:szCs w:val="18"/>
                <w:color w:val="auto"/>
              </w:rPr>
              <w:t>32</w:t>
            </w:r>
          </w:p>
        </w:tc>
      </w:tr>
      <w:tr>
        <w:trPr>
          <w:trHeight w:val="243"/>
        </w:trPr>
        <w:tc>
          <w:tcPr>
            <w:tcW w:w="3660" w:type="dxa"/>
            <w:vAlign w:val="bottom"/>
          </w:tcPr>
          <w:p>
            <w:pPr>
              <w:ind w:left="140"/>
              <w:spacing w:after="0"/>
              <w:rPr>
                <w:sz w:val="20"/>
                <w:szCs w:val="20"/>
                <w:color w:val="auto"/>
              </w:rPr>
            </w:pPr>
            <w:r>
              <w:rPr>
                <w:rFonts w:ascii="Arial" w:cs="Arial" w:eastAsia="Arial" w:hAnsi="Arial"/>
                <w:sz w:val="18"/>
                <w:szCs w:val="18"/>
                <w:color w:val="auto"/>
              </w:rPr>
              <w:t>Sempra Generation</w:t>
            </w:r>
          </w:p>
        </w:tc>
        <w:tc>
          <w:tcPr>
            <w:tcW w:w="2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102</w:t>
            </w:r>
          </w:p>
        </w:tc>
        <w:tc>
          <w:tcPr>
            <w:tcW w:w="1060" w:type="dxa"/>
            <w:vAlign w:val="bottom"/>
          </w:tcPr>
          <w:p>
            <w:pPr>
              <w:jc w:val="right"/>
              <w:ind w:right="170"/>
              <w:spacing w:after="0"/>
              <w:rPr>
                <w:sz w:val="20"/>
                <w:szCs w:val="20"/>
                <w:color w:val="auto"/>
              </w:rPr>
            </w:pPr>
            <w:r>
              <w:rPr>
                <w:rFonts w:ascii="Arial" w:cs="Arial" w:eastAsia="Arial" w:hAnsi="Arial"/>
                <w:sz w:val="18"/>
                <w:szCs w:val="18"/>
                <w:color w:val="auto"/>
              </w:rPr>
              <w:t>4</w:t>
            </w:r>
          </w:p>
        </w:tc>
        <w:tc>
          <w:tcPr>
            <w:tcW w:w="400" w:type="dxa"/>
            <w:vAlign w:val="bottom"/>
          </w:tcPr>
          <w:p>
            <w:pPr>
              <w:spacing w:after="0"/>
              <w:rPr>
                <w:sz w:val="21"/>
                <w:szCs w:val="21"/>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color w:val="auto"/>
              </w:rPr>
              <w:t>96</w:t>
            </w:r>
          </w:p>
        </w:tc>
        <w:tc>
          <w:tcPr>
            <w:tcW w:w="780" w:type="dxa"/>
            <w:vAlign w:val="bottom"/>
          </w:tcPr>
          <w:p>
            <w:pPr>
              <w:jc w:val="right"/>
              <w:ind w:right="330"/>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21"/>
                <w:szCs w:val="21"/>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color w:val="auto"/>
              </w:rPr>
              <w:t>99</w:t>
            </w:r>
          </w:p>
        </w:tc>
        <w:tc>
          <w:tcPr>
            <w:tcW w:w="660" w:type="dxa"/>
            <w:vAlign w:val="bottom"/>
          </w:tcPr>
          <w:p>
            <w:pPr>
              <w:jc w:val="right"/>
              <w:ind w:right="150"/>
              <w:spacing w:after="0"/>
              <w:rPr>
                <w:sz w:val="20"/>
                <w:szCs w:val="20"/>
                <w:color w:val="auto"/>
              </w:rPr>
            </w:pPr>
            <w:r>
              <w:rPr>
                <w:rFonts w:ascii="Arial" w:cs="Arial" w:eastAsia="Arial" w:hAnsi="Arial"/>
                <w:sz w:val="18"/>
                <w:szCs w:val="18"/>
                <w:color w:val="auto"/>
              </w:rPr>
              <w:t>4</w:t>
            </w:r>
          </w:p>
        </w:tc>
      </w:tr>
      <w:tr>
        <w:trPr>
          <w:trHeight w:val="243"/>
        </w:trPr>
        <w:tc>
          <w:tcPr>
            <w:tcW w:w="3660" w:type="dxa"/>
            <w:vAlign w:val="bottom"/>
          </w:tcPr>
          <w:p>
            <w:pPr>
              <w:ind w:left="140"/>
              <w:spacing w:after="0"/>
              <w:rPr>
                <w:sz w:val="20"/>
                <w:szCs w:val="20"/>
                <w:color w:val="auto"/>
              </w:rPr>
            </w:pPr>
            <w:r>
              <w:rPr>
                <w:rFonts w:ascii="Arial" w:cs="Arial" w:eastAsia="Arial" w:hAnsi="Arial"/>
                <w:sz w:val="18"/>
                <w:szCs w:val="18"/>
                <w:color w:val="auto"/>
              </w:rPr>
              <w:t>Sempra Pipelines &amp; Storage</w:t>
            </w:r>
          </w:p>
        </w:tc>
        <w:tc>
          <w:tcPr>
            <w:tcW w:w="2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42</w:t>
            </w:r>
          </w:p>
        </w:tc>
        <w:tc>
          <w:tcPr>
            <w:tcW w:w="1060" w:type="dxa"/>
            <w:vAlign w:val="bottom"/>
          </w:tcPr>
          <w:p>
            <w:pPr>
              <w:jc w:val="right"/>
              <w:ind w:right="170"/>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21"/>
                <w:szCs w:val="21"/>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color w:val="auto"/>
              </w:rPr>
              <w:t>36</w:t>
            </w:r>
          </w:p>
        </w:tc>
        <w:tc>
          <w:tcPr>
            <w:tcW w:w="780" w:type="dxa"/>
            <w:vAlign w:val="bottom"/>
          </w:tcPr>
          <w:p>
            <w:pPr>
              <w:jc w:val="right"/>
              <w:ind w:right="33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1"/>
                <w:szCs w:val="21"/>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color w:val="auto"/>
              </w:rPr>
              <w:t>37</w:t>
            </w:r>
          </w:p>
        </w:tc>
        <w:tc>
          <w:tcPr>
            <w:tcW w:w="660" w:type="dxa"/>
            <w:vAlign w:val="bottom"/>
          </w:tcPr>
          <w:p>
            <w:pPr>
              <w:jc w:val="right"/>
              <w:ind w:right="150"/>
              <w:spacing w:after="0"/>
              <w:rPr>
                <w:sz w:val="20"/>
                <w:szCs w:val="20"/>
                <w:color w:val="auto"/>
              </w:rPr>
            </w:pPr>
            <w:r>
              <w:rPr>
                <w:rFonts w:ascii="Arial" w:cs="Arial" w:eastAsia="Arial" w:hAnsi="Arial"/>
                <w:sz w:val="18"/>
                <w:szCs w:val="18"/>
                <w:color w:val="auto"/>
              </w:rPr>
              <w:t>1</w:t>
            </w:r>
          </w:p>
        </w:tc>
      </w:tr>
      <w:tr>
        <w:trPr>
          <w:trHeight w:val="257"/>
        </w:trPr>
        <w:tc>
          <w:tcPr>
            <w:tcW w:w="3660" w:type="dxa"/>
            <w:vAlign w:val="bottom"/>
          </w:tcPr>
          <w:p>
            <w:pPr>
              <w:ind w:left="140"/>
              <w:spacing w:after="0"/>
              <w:rPr>
                <w:sz w:val="20"/>
                <w:szCs w:val="20"/>
                <w:color w:val="auto"/>
              </w:rPr>
            </w:pPr>
            <w:r>
              <w:rPr>
                <w:rFonts w:ascii="Arial" w:cs="Arial" w:eastAsia="Arial" w:hAnsi="Arial"/>
                <w:sz w:val="18"/>
                <w:szCs w:val="18"/>
                <w:color w:val="auto"/>
              </w:rPr>
              <w:t>Sempra LNG</w:t>
            </w:r>
          </w:p>
        </w:tc>
        <w:tc>
          <w:tcPr>
            <w:tcW w:w="2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0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w:t>
            </w:r>
          </w:p>
        </w:tc>
        <w:tc>
          <w:tcPr>
            <w:tcW w:w="4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38</w:t>
            </w:r>
          </w:p>
        </w:tc>
        <w:tc>
          <w:tcPr>
            <w:tcW w:w="7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1</w:t>
            </w: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34</w:t>
            </w:r>
          </w:p>
        </w:tc>
        <w:tc>
          <w:tcPr>
            <w:tcW w:w="6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w:t>
            </w:r>
          </w:p>
        </w:tc>
      </w:tr>
      <w:tr>
        <w:trPr>
          <w:trHeight w:val="224"/>
        </w:trPr>
        <w:tc>
          <w:tcPr>
            <w:tcW w:w="3660" w:type="dxa"/>
            <w:vAlign w:val="bottom"/>
          </w:tcPr>
          <w:p>
            <w:pPr>
              <w:ind w:left="140"/>
              <w:spacing w:after="0"/>
              <w:rPr>
                <w:sz w:val="20"/>
                <w:szCs w:val="20"/>
                <w:color w:val="auto"/>
              </w:rPr>
            </w:pPr>
            <w:r>
              <w:rPr>
                <w:rFonts w:ascii="Arial" w:cs="Arial" w:eastAsia="Arial" w:hAnsi="Arial"/>
                <w:sz w:val="18"/>
                <w:szCs w:val="18"/>
                <w:color w:val="auto"/>
              </w:rPr>
              <w:t>Total Sempra Global</w:t>
            </w:r>
          </w:p>
        </w:tc>
        <w:tc>
          <w:tcPr>
            <w:tcW w:w="2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1,046</w:t>
            </w:r>
          </w:p>
        </w:tc>
        <w:tc>
          <w:tcPr>
            <w:tcW w:w="1060" w:type="dxa"/>
            <w:vAlign w:val="bottom"/>
          </w:tcPr>
          <w:p>
            <w:pPr>
              <w:jc w:val="right"/>
              <w:ind w:right="170"/>
              <w:spacing w:after="0"/>
              <w:rPr>
                <w:sz w:val="20"/>
                <w:szCs w:val="20"/>
                <w:color w:val="auto"/>
              </w:rPr>
            </w:pPr>
            <w:r>
              <w:rPr>
                <w:rFonts w:ascii="Arial" w:cs="Arial" w:eastAsia="Arial" w:hAnsi="Arial"/>
                <w:sz w:val="18"/>
                <w:szCs w:val="18"/>
                <w:color w:val="auto"/>
              </w:rPr>
              <w:t>35</w:t>
            </w:r>
          </w:p>
        </w:tc>
        <w:tc>
          <w:tcPr>
            <w:tcW w:w="400" w:type="dxa"/>
            <w:vAlign w:val="bottom"/>
          </w:tcPr>
          <w:p>
            <w:pPr>
              <w:spacing w:after="0"/>
              <w:rPr>
                <w:sz w:val="19"/>
                <w:szCs w:val="19"/>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color w:val="auto"/>
              </w:rPr>
              <w:t>1,039</w:t>
            </w:r>
          </w:p>
        </w:tc>
        <w:tc>
          <w:tcPr>
            <w:tcW w:w="780" w:type="dxa"/>
            <w:vAlign w:val="bottom"/>
          </w:tcPr>
          <w:p>
            <w:pPr>
              <w:jc w:val="right"/>
              <w:ind w:right="330"/>
              <w:spacing w:after="0"/>
              <w:rPr>
                <w:sz w:val="20"/>
                <w:szCs w:val="20"/>
                <w:color w:val="auto"/>
              </w:rPr>
            </w:pPr>
            <w:r>
              <w:rPr>
                <w:rFonts w:ascii="Arial" w:cs="Arial" w:eastAsia="Arial" w:hAnsi="Arial"/>
                <w:sz w:val="18"/>
                <w:szCs w:val="18"/>
                <w:color w:val="auto"/>
              </w:rPr>
              <w:t>36</w:t>
            </w:r>
          </w:p>
        </w:tc>
        <w:tc>
          <w:tcPr>
            <w:tcW w:w="260" w:type="dxa"/>
            <w:vAlign w:val="bottom"/>
          </w:tcPr>
          <w:p>
            <w:pPr>
              <w:spacing w:after="0"/>
              <w:rPr>
                <w:sz w:val="19"/>
                <w:szCs w:val="19"/>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color w:val="auto"/>
              </w:rPr>
              <w:t>981</w:t>
            </w:r>
          </w:p>
        </w:tc>
        <w:tc>
          <w:tcPr>
            <w:tcW w:w="660" w:type="dxa"/>
            <w:vAlign w:val="bottom"/>
          </w:tcPr>
          <w:p>
            <w:pPr>
              <w:jc w:val="right"/>
              <w:ind w:right="150"/>
              <w:spacing w:after="0"/>
              <w:rPr>
                <w:sz w:val="20"/>
                <w:szCs w:val="20"/>
                <w:color w:val="auto"/>
              </w:rPr>
            </w:pPr>
            <w:r>
              <w:rPr>
                <w:rFonts w:ascii="Arial" w:cs="Arial" w:eastAsia="Arial" w:hAnsi="Arial"/>
                <w:sz w:val="18"/>
                <w:szCs w:val="18"/>
                <w:color w:val="auto"/>
              </w:rPr>
              <w:t>38</w:t>
            </w:r>
          </w:p>
        </w:tc>
      </w:tr>
      <w:tr>
        <w:trPr>
          <w:trHeight w:val="499"/>
        </w:trPr>
        <w:tc>
          <w:tcPr>
            <w:tcW w:w="3660" w:type="dxa"/>
            <w:vAlign w:val="bottom"/>
          </w:tcPr>
          <w:p>
            <w:pPr>
              <w:spacing w:after="0"/>
              <w:rPr>
                <w:sz w:val="20"/>
                <w:szCs w:val="20"/>
                <w:color w:val="auto"/>
              </w:rPr>
            </w:pPr>
            <w:r>
              <w:rPr>
                <w:rFonts w:ascii="Arial" w:cs="Arial" w:eastAsia="Arial" w:hAnsi="Arial"/>
                <w:sz w:val="18"/>
                <w:szCs w:val="18"/>
                <w:color w:val="auto"/>
              </w:rPr>
              <w:t>Parent and other*</w:t>
            </w:r>
          </w:p>
        </w:tc>
        <w:tc>
          <w:tcPr>
            <w:tcW w:w="2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10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3</w:t>
            </w:r>
          </w:p>
        </w:tc>
        <w:tc>
          <w:tcPr>
            <w:tcW w:w="4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50</w:t>
            </w:r>
          </w:p>
        </w:tc>
        <w:tc>
          <w:tcPr>
            <w:tcW w:w="7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w:t>
            </w: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45</w:t>
            </w:r>
          </w:p>
        </w:tc>
        <w:tc>
          <w:tcPr>
            <w:tcW w:w="6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w:t>
            </w:r>
          </w:p>
        </w:tc>
      </w:tr>
      <w:tr>
        <w:trPr>
          <w:trHeight w:val="224"/>
        </w:trPr>
        <w:tc>
          <w:tcPr>
            <w:tcW w:w="3660" w:type="dxa"/>
            <w:vAlign w:val="bottom"/>
          </w:tcPr>
          <w:p>
            <w:pPr>
              <w:spacing w:after="0"/>
              <w:rPr>
                <w:sz w:val="20"/>
                <w:szCs w:val="20"/>
                <w:color w:val="auto"/>
              </w:rPr>
            </w:pPr>
            <w:r>
              <w:rPr>
                <w:rFonts w:ascii="Arial" w:cs="Arial" w:eastAsia="Arial" w:hAnsi="Arial"/>
                <w:sz w:val="18"/>
                <w:szCs w:val="18"/>
                <w:color w:val="auto"/>
              </w:rPr>
              <w:t>Total</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2,954</w:t>
            </w:r>
          </w:p>
        </w:tc>
        <w:tc>
          <w:tcPr>
            <w:tcW w:w="1060" w:type="dxa"/>
            <w:vAlign w:val="bottom"/>
          </w:tcPr>
          <w:p>
            <w:pPr>
              <w:jc w:val="right"/>
              <w:spacing w:after="0"/>
              <w:rPr>
                <w:sz w:val="20"/>
                <w:szCs w:val="20"/>
                <w:color w:val="auto"/>
              </w:rPr>
            </w:pPr>
            <w:r>
              <w:rPr>
                <w:rFonts w:ascii="Arial" w:cs="Arial" w:eastAsia="Arial" w:hAnsi="Arial"/>
                <w:sz w:val="18"/>
                <w:szCs w:val="18"/>
                <w:color w:val="auto"/>
              </w:rPr>
              <w:t>100 %</w:t>
            </w: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30"/>
              <w:spacing w:after="0"/>
              <w:rPr>
                <w:sz w:val="20"/>
                <w:szCs w:val="20"/>
                <w:color w:val="auto"/>
              </w:rPr>
            </w:pPr>
            <w:r>
              <w:rPr>
                <w:rFonts w:ascii="Arial" w:cs="Arial" w:eastAsia="Arial" w:hAnsi="Arial"/>
                <w:sz w:val="18"/>
                <w:szCs w:val="18"/>
                <w:color w:val="auto"/>
              </w:rPr>
              <w:t>2,814</w:t>
            </w:r>
          </w:p>
        </w:tc>
        <w:tc>
          <w:tcPr>
            <w:tcW w:w="780" w:type="dxa"/>
            <w:vAlign w:val="bottom"/>
          </w:tcPr>
          <w:p>
            <w:pPr>
              <w:jc w:val="right"/>
              <w:ind w:right="150"/>
              <w:spacing w:after="0"/>
              <w:rPr>
                <w:sz w:val="20"/>
                <w:szCs w:val="20"/>
                <w:color w:val="auto"/>
              </w:rPr>
            </w:pPr>
            <w:r>
              <w:rPr>
                <w:rFonts w:ascii="Arial" w:cs="Arial" w:eastAsia="Arial" w:hAnsi="Arial"/>
                <w:sz w:val="18"/>
                <w:szCs w:val="18"/>
                <w:color w:val="auto"/>
              </w:rPr>
              <w:t>100 %</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90"/>
              <w:spacing w:after="0"/>
              <w:rPr>
                <w:sz w:val="20"/>
                <w:szCs w:val="20"/>
                <w:color w:val="auto"/>
              </w:rPr>
            </w:pPr>
            <w:r>
              <w:rPr>
                <w:rFonts w:ascii="Arial" w:cs="Arial" w:eastAsia="Arial" w:hAnsi="Arial"/>
                <w:sz w:val="18"/>
                <w:szCs w:val="18"/>
                <w:color w:val="auto"/>
              </w:rPr>
              <w:t>2,583</w:t>
            </w:r>
          </w:p>
        </w:tc>
        <w:tc>
          <w:tcPr>
            <w:tcW w:w="660" w:type="dxa"/>
            <w:vAlign w:val="bottom"/>
          </w:tcPr>
          <w:p>
            <w:pPr>
              <w:jc w:val="right"/>
              <w:spacing w:after="0"/>
              <w:rPr>
                <w:sz w:val="20"/>
                <w:szCs w:val="20"/>
                <w:color w:val="auto"/>
              </w:rPr>
            </w:pPr>
            <w:r>
              <w:rPr>
                <w:rFonts w:ascii="Arial" w:cs="Arial" w:eastAsia="Arial" w:hAnsi="Arial"/>
                <w:sz w:val="18"/>
                <w:szCs w:val="18"/>
                <w:color w:val="auto"/>
              </w:rPr>
              <w:t>100 %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8255</wp:posOffset>
            </wp:positionV>
            <wp:extent cx="5917565"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917565" cy="26035"/>
                    </a:xfrm>
                    <a:prstGeom prst="rect">
                      <a:avLst/>
                    </a:prstGeom>
                    <a:noFill/>
                  </pic:spPr>
                </pic:pic>
              </a:graphicData>
            </a:graphic>
          </wp:anchor>
        </w:drawing>
      </w:r>
    </w:p>
    <w:p>
      <w:pPr>
        <w:spacing w:after="0" w:line="32"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 Includes intercompany eliminations recorded in consolidation.</w:t>
      </w:r>
    </w:p>
    <w:p>
      <w:pPr>
        <w:spacing w:after="0" w:line="263" w:lineRule="exact"/>
        <w:rPr>
          <w:sz w:val="20"/>
          <w:szCs w:val="20"/>
          <w:color w:val="auto"/>
        </w:rPr>
      </w:pPr>
    </w:p>
    <w:p>
      <w:pPr>
        <w:ind w:right="80"/>
        <w:spacing w:after="0" w:line="260" w:lineRule="auto"/>
        <w:rPr>
          <w:sz w:val="20"/>
          <w:szCs w:val="20"/>
          <w:color w:val="auto"/>
        </w:rPr>
      </w:pPr>
      <w:r>
        <w:rPr>
          <w:rFonts w:ascii="Arial" w:cs="Arial" w:eastAsia="Arial" w:hAnsi="Arial"/>
          <w:sz w:val="20"/>
          <w:szCs w:val="20"/>
          <w:color w:val="auto"/>
        </w:rPr>
        <w:t>The increase in operating expenses in 2007 was primarily attributable to higher recoverable expenses (offset in revenues) and other operational costs at the Sempra Utilities.</w:t>
      </w:r>
    </w:p>
    <w:p>
      <w:pPr>
        <w:spacing w:after="0" w:line="204"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color w:val="auto"/>
        </w:rPr>
        <w:t>Other operating expenses for 2006 increased compared to 2005 primarily due to the growth in Sempra Commodities' revenues noted previously and increases at SDG&amp;E. SDG&amp;E's other operating expenses increased due to $72 million higher recoverable expenses, $33 million related to the 2005 recovery of line losses and grid management charges arising from a favorable settlement with the Independent System Operator (ISO), an independent operator of California's wholesale transmission grid, and increases in other operational costs.</w:t>
      </w:r>
    </w:p>
    <w:p>
      <w:pPr>
        <w:spacing w:after="0" w:line="189" w:lineRule="exact"/>
        <w:rPr>
          <w:sz w:val="20"/>
          <w:szCs w:val="20"/>
          <w:color w:val="auto"/>
        </w:rPr>
      </w:pPr>
    </w:p>
    <w:p>
      <w:pPr>
        <w:ind w:right="80"/>
        <w:spacing w:after="0" w:line="291" w:lineRule="auto"/>
        <w:rPr>
          <w:sz w:val="20"/>
          <w:szCs w:val="20"/>
          <w:color w:val="auto"/>
        </w:rPr>
      </w:pPr>
      <w:r>
        <w:rPr>
          <w:rFonts w:ascii="Arial" w:cs="Arial" w:eastAsia="Arial" w:hAnsi="Arial"/>
          <w:sz w:val="18"/>
          <w:szCs w:val="18"/>
          <w:b w:val="1"/>
          <w:bCs w:val="1"/>
          <w:i w:val="1"/>
          <w:iCs w:val="1"/>
          <w:color w:val="auto"/>
        </w:rPr>
        <w:t xml:space="preserve">Litigation Expense. </w:t>
      </w:r>
      <w:r>
        <w:rPr>
          <w:rFonts w:ascii="Arial" w:cs="Arial" w:eastAsia="Arial" w:hAnsi="Arial"/>
          <w:sz w:val="18"/>
          <w:szCs w:val="18"/>
          <w:color w:val="auto"/>
        </w:rPr>
        <w:t>Litigation expense was $73 million, $56 million and $551 million for 2007, 2006 and 2005, respectively. The higher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amount in 2005 was primarily due to an increase in litigation reserves related to a settlement of matters arising from the 2000 - 2001 California energy crisis. Note 16 of the Notes to Consolidated Financial Statements provides additional information concerning this matter.</w:t>
      </w:r>
    </w:p>
    <w:p>
      <w:pPr>
        <w:spacing w:after="0" w:line="173" w:lineRule="exact"/>
        <w:rPr>
          <w:sz w:val="20"/>
          <w:szCs w:val="20"/>
          <w:color w:val="auto"/>
        </w:rPr>
      </w:pPr>
    </w:p>
    <w:p>
      <w:pPr>
        <w:ind w:right="60"/>
        <w:spacing w:after="0" w:line="253" w:lineRule="auto"/>
        <w:rPr>
          <w:sz w:val="20"/>
          <w:szCs w:val="20"/>
          <w:color w:val="auto"/>
        </w:rPr>
      </w:pPr>
      <w:r>
        <w:rPr>
          <w:rFonts w:ascii="Arial" w:cs="Arial" w:eastAsia="Arial" w:hAnsi="Arial"/>
          <w:sz w:val="20"/>
          <w:szCs w:val="20"/>
          <w:b w:val="1"/>
          <w:bCs w:val="1"/>
          <w:i w:val="1"/>
          <w:iCs w:val="1"/>
          <w:color w:val="auto"/>
        </w:rPr>
        <w:t>Gains on Sale of Assets, Net</w:t>
      </w:r>
      <w:r>
        <w:rPr>
          <w:rFonts w:ascii="Arial" w:cs="Arial" w:eastAsia="Arial" w:hAnsi="Arial"/>
          <w:sz w:val="20"/>
          <w:szCs w:val="20"/>
          <w:b w:val="1"/>
          <w:bCs w:val="1"/>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Net pretax gains on the sale of assets were $6 million, $1 million and $112 million in 2007, 2006 and 2005,</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respectively. The 2005 gain included $106 million ($67 million after related costs) associated with Sempra Commodities' sale of its two natural gas storage facilities, Bluewater Gas Storage and Pine Prairie Energy Center.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Impairment Losses. </w:t>
      </w:r>
      <w:r>
        <w:rPr>
          <w:rFonts w:ascii="Arial" w:cs="Arial" w:eastAsia="Arial" w:hAnsi="Arial"/>
          <w:sz w:val="18"/>
          <w:szCs w:val="18"/>
          <w:color w:val="auto"/>
        </w:rPr>
        <w:t>Impairments included a $63 million pretax write-down in 2005 of unused gas and steam turbines at Sempra Generation.</w:t>
      </w:r>
    </w:p>
    <w:p>
      <w:pPr>
        <w:spacing w:after="0" w:line="260" w:lineRule="exact"/>
        <w:rPr>
          <w:sz w:val="20"/>
          <w:szCs w:val="20"/>
          <w:color w:val="auto"/>
        </w:rPr>
      </w:pPr>
    </w:p>
    <w:p>
      <w:pPr>
        <w:spacing w:after="0" w:line="245" w:lineRule="auto"/>
        <w:rPr>
          <w:sz w:val="20"/>
          <w:szCs w:val="20"/>
          <w:color w:val="auto"/>
        </w:rPr>
      </w:pPr>
      <w:r>
        <w:rPr>
          <w:rFonts w:ascii="Arial" w:cs="Arial" w:eastAsia="Arial" w:hAnsi="Arial"/>
          <w:sz w:val="20"/>
          <w:szCs w:val="20"/>
          <w:b w:val="1"/>
          <w:bCs w:val="1"/>
          <w:i w:val="1"/>
          <w:iCs w:val="1"/>
          <w:color w:val="auto"/>
        </w:rPr>
        <w:t>Other Income, Net</w:t>
      </w:r>
      <w:r>
        <w:rPr>
          <w:rFonts w:ascii="Arial" w:cs="Arial" w:eastAsia="Arial" w:hAnsi="Arial"/>
          <w:sz w:val="20"/>
          <w:szCs w:val="20"/>
          <w:b w:val="1"/>
          <w:bCs w:val="1"/>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Other income, net, as discussed further in Note 1 of the Notes to Consolidated Financial Statements and which consists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primarily of equity earnings from unconsolidated subsidiaries, allowance for equity funds used during construction and regulatory interest, was $81 million, $381 million and $51 million in 2007, 2006 and 2005, respectively. In 2006, the company recorded a $344 million pretax gain on the sale of the Topaz power plants (by a joint venture 50-percent owned by Sempra Generation). The gain was included in equity earnings from unconsolidated subsidiaries, as discussed in Note 4 of the Notes to Consolidated Financial Statements. The decrease in 2007 was partially offset by a</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420"/>
          </w:cols>
          <w:pgMar w:left="240" w:top="121" w:right="239" w:bottom="1440" w:gutter="0" w:footer="0" w:header="0"/>
        </w:sectPr>
      </w:pPr>
    </w:p>
    <w:bookmarkStart w:id="77" w:name="page78"/>
    <w:bookmarkEnd w:id="77"/>
    <w:p>
      <w:pPr>
        <w:ind w:right="60"/>
        <w:spacing w:after="0" w:line="262" w:lineRule="auto"/>
        <w:rPr>
          <w:sz w:val="20"/>
          <w:szCs w:val="20"/>
          <w:color w:val="auto"/>
        </w:rPr>
      </w:pPr>
      <w:r>
        <w:rPr>
          <w:rFonts w:ascii="Arial" w:cs="Arial" w:eastAsia="Arial" w:hAnsi="Arial"/>
          <w:sz w:val="20"/>
          <w:szCs w:val="20"/>
          <w:color w:val="auto"/>
        </w:rPr>
        <w:t>$24 million net pretax gain from interest-rate swaps. Further discussion on the interest-rate swaps related to Sempra LNG's Energía Costa Azul project is provided in Note 11 of the Notes to Consolidated Financial Statements.</w:t>
      </w:r>
    </w:p>
    <w:p>
      <w:pPr>
        <w:spacing w:after="0" w:line="201" w:lineRule="exact"/>
        <w:rPr>
          <w:sz w:val="20"/>
          <w:szCs w:val="20"/>
          <w:color w:val="auto"/>
        </w:rPr>
      </w:pPr>
    </w:p>
    <w:p>
      <w:pPr>
        <w:ind w:right="100"/>
        <w:spacing w:after="0" w:line="263" w:lineRule="auto"/>
        <w:rPr>
          <w:sz w:val="20"/>
          <w:szCs w:val="20"/>
          <w:color w:val="auto"/>
        </w:rPr>
      </w:pPr>
      <w:r>
        <w:rPr>
          <w:rFonts w:ascii="Arial" w:cs="Arial" w:eastAsia="Arial" w:hAnsi="Arial"/>
          <w:sz w:val="19"/>
          <w:szCs w:val="19"/>
          <w:b w:val="1"/>
          <w:bCs w:val="1"/>
          <w:i w:val="1"/>
          <w:iCs w:val="1"/>
          <w:color w:val="auto"/>
        </w:rPr>
        <w:t xml:space="preserve">Interest Income. </w:t>
      </w:r>
      <w:r>
        <w:rPr>
          <w:rFonts w:ascii="Arial" w:cs="Arial" w:eastAsia="Arial" w:hAnsi="Arial"/>
          <w:sz w:val="19"/>
          <w:szCs w:val="19"/>
          <w:color w:val="auto"/>
        </w:rPr>
        <w:t>Interest income was $72 million, $109 million and $72 million in 2007, 2006 and 2005, respectively. Interest income in 2006</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included $12 million from a favorable resolution of a state income tax matter, $13 million from the resolution of an insurance claim at Pacific Enterprises (PE) (the parent company of SoCalGas) related to a quasi-reorganization issue (discussed in Note 1 of the Notes to Consolidated Financial Statements) and $6 million from an income tax audit settlement at SoCalGas.</w:t>
      </w:r>
    </w:p>
    <w:p>
      <w:pPr>
        <w:spacing w:after="0" w:line="204" w:lineRule="exact"/>
        <w:rPr>
          <w:sz w:val="20"/>
          <w:szCs w:val="20"/>
          <w:color w:val="auto"/>
        </w:rPr>
      </w:pPr>
    </w:p>
    <w:p>
      <w:pPr>
        <w:ind w:right="240"/>
        <w:spacing w:after="0" w:line="316" w:lineRule="auto"/>
        <w:rPr>
          <w:sz w:val="20"/>
          <w:szCs w:val="20"/>
          <w:color w:val="auto"/>
        </w:rPr>
      </w:pPr>
      <w:r>
        <w:rPr>
          <w:rFonts w:ascii="Arial" w:cs="Arial" w:eastAsia="Arial" w:hAnsi="Arial"/>
          <w:sz w:val="18"/>
          <w:szCs w:val="18"/>
          <w:color w:val="auto"/>
        </w:rPr>
        <w:t>The increase in 2006 compared to 2005 was primarily due to the items noted above and higher interest resulting from increases in short-term investments, offset by a decrease at SDG&amp;E due to $12 million lower interest as a result of income tax audit settlements in 2005.</w:t>
      </w:r>
    </w:p>
    <w:p>
      <w:pPr>
        <w:spacing w:after="0" w:line="157" w:lineRule="exact"/>
        <w:rPr>
          <w:sz w:val="20"/>
          <w:szCs w:val="20"/>
          <w:color w:val="auto"/>
        </w:rPr>
      </w:pPr>
    </w:p>
    <w:p>
      <w:pPr>
        <w:ind w:right="260"/>
        <w:spacing w:after="0" w:line="242" w:lineRule="auto"/>
        <w:rPr>
          <w:sz w:val="20"/>
          <w:szCs w:val="20"/>
          <w:color w:val="auto"/>
        </w:rPr>
      </w:pPr>
      <w:r>
        <w:rPr>
          <w:rFonts w:ascii="Arial" w:cs="Arial" w:eastAsia="Arial" w:hAnsi="Arial"/>
          <w:sz w:val="20"/>
          <w:szCs w:val="20"/>
          <w:b w:val="1"/>
          <w:bCs w:val="1"/>
          <w:i w:val="1"/>
          <w:iCs w:val="1"/>
          <w:color w:val="auto"/>
        </w:rPr>
        <w:t xml:space="preserve">Interest Expense. </w:t>
      </w:r>
      <w:r>
        <w:rPr>
          <w:rFonts w:ascii="Arial" w:cs="Arial" w:eastAsia="Arial" w:hAnsi="Arial"/>
          <w:sz w:val="20"/>
          <w:szCs w:val="20"/>
          <w:color w:val="auto"/>
        </w:rPr>
        <w:t>Interest expense was $272 million, $351 million and $310 million in 2007, 2006 and 2005, respectively. The decrease in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2007 was due to $41 million higher capitalized interest at Sempra LNG and Sempra Pipelines &amp; Storage, and $22 million lower interest expense due to repayment and early redemption of long-term debt. The increase in 2006 compared to 2005 was primarily due to increased borrowings at SDG&amp;E to finance the purchase of the Palomar generating facility, increased short-term borrowings at Sempra Commodities, lower capitalized interest at Sempra Generation due to completion of the Palomar generating facility, higher interest expense at SoCalGas associated with the $250 million first mortgage bonds issued in November 2005, higher variable interest rates and interest expense related to the accretion of the California energy crisis litigation settlement liability. The increases were offset by higher capitalized interest at Sempra LNG.</w:t>
      </w:r>
    </w:p>
    <w:p>
      <w:pPr>
        <w:spacing w:after="0" w:line="219" w:lineRule="exact"/>
        <w:rPr>
          <w:sz w:val="20"/>
          <w:szCs w:val="20"/>
          <w:color w:val="auto"/>
        </w:rPr>
      </w:pPr>
    </w:p>
    <w:p>
      <w:pPr>
        <w:ind w:right="80"/>
        <w:spacing w:after="0" w:line="245" w:lineRule="auto"/>
        <w:rPr>
          <w:sz w:val="20"/>
          <w:szCs w:val="20"/>
          <w:color w:val="auto"/>
        </w:rPr>
      </w:pPr>
      <w:r>
        <w:rPr>
          <w:rFonts w:ascii="Arial" w:cs="Arial" w:eastAsia="Arial" w:hAnsi="Arial"/>
          <w:sz w:val="20"/>
          <w:szCs w:val="20"/>
          <w:b w:val="1"/>
          <w:bCs w:val="1"/>
          <w:i w:val="1"/>
          <w:iCs w:val="1"/>
          <w:color w:val="auto"/>
        </w:rPr>
        <w:t>Income Taxes</w:t>
      </w:r>
      <w:r>
        <w:rPr>
          <w:rFonts w:ascii="Arial" w:cs="Arial" w:eastAsia="Arial" w:hAnsi="Arial"/>
          <w:sz w:val="20"/>
          <w:szCs w:val="20"/>
          <w:b w:val="1"/>
          <w:bCs w:val="1"/>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Income tax expense was $524 million, $641 million and $34 million for 2007, 2006 and 2005, respectively, and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corresponding effective income tax rates were 34 percent, 33 percent and 4 percent. The decrease in 2007 income tax expense was primarily due to lower pretax income. The increase in 2006 expense compared to 2005 was due to higher pretax income and the higher effective tax rate. The increase in the 2006 effective rate was due primarily to $156 million of favorable resolutions of prior years' income tax issues in 2005 compared to $45 million in 2006, an increased portion of income earned in high tax rate jurisdictions, and lower synthetic fuels credits generated in 2006 compared to 2005 as a percentage of income.</w:t>
      </w:r>
    </w:p>
    <w:p>
      <w:pPr>
        <w:spacing w:after="0" w:line="212"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Equity in Earnings (Losses) of Certain Unconsolidated Subsidiaries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the years ended 2007, 2006 and 2005, equity in earnings (losses)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certain unconsolidated subsidiaries, net of tax, as discussed further in Note 4 of the Notes to Consolidated Financial Statements, was $99 million, $(182) million and $55 million, respectively. In February 2007, Sempra Commodities sold its interests in an equity-method investment, along with a related cost-basis investment, receiving cash and a 12.7-percent interest in a newly formed entity. The after-tax gain on this transaction, recorded in Equity in Earnings (Losses) of Certain Unconsolidated Subsidiaries, was $30 million. The 2006 amount included a $221 million impairment loss associated with Sempra Pipelines &amp; Storage's Argentine investments.</w:t>
      </w:r>
    </w:p>
    <w:p>
      <w:pPr>
        <w:spacing w:after="0" w:line="193" w:lineRule="exact"/>
        <w:rPr>
          <w:sz w:val="20"/>
          <w:szCs w:val="20"/>
          <w:color w:val="auto"/>
        </w:rPr>
      </w:pPr>
    </w:p>
    <w:p>
      <w:pPr>
        <w:ind w:right="40"/>
        <w:spacing w:after="0" w:line="260" w:lineRule="auto"/>
        <w:rPr>
          <w:sz w:val="20"/>
          <w:szCs w:val="20"/>
          <w:color w:val="auto"/>
        </w:rPr>
      </w:pPr>
      <w:r>
        <w:rPr>
          <w:rFonts w:ascii="Arial" w:cs="Arial" w:eastAsia="Arial" w:hAnsi="Arial"/>
          <w:sz w:val="19"/>
          <w:szCs w:val="19"/>
          <w:b w:val="1"/>
          <w:bCs w:val="1"/>
          <w:i w:val="1"/>
          <w:iCs w:val="1"/>
          <w:color w:val="auto"/>
        </w:rPr>
        <w:t xml:space="preserve">Discontinued Operations. </w:t>
      </w:r>
      <w:r>
        <w:rPr>
          <w:rFonts w:ascii="Arial" w:cs="Arial" w:eastAsia="Arial" w:hAnsi="Arial"/>
          <w:sz w:val="19"/>
          <w:szCs w:val="19"/>
          <w:color w:val="auto"/>
        </w:rPr>
        <w:t>Income (loss) from discontinued operations was $(26) million, $315 million and $7 million in 2007, 2006 and 2005,</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respectively. Results for 2006 included $351 million in gains from the disposal of Sempra Generation's Twin Oaks Power plant, its Energy Services and Facilities Management businesses, and Sempra Energy Production Company (SEPCO), its exploration and production subsidiary, offset by $42 million, primarily from an impairment loss related to Bangor Gas and Frontier Energy. Note 5 of the Notes to Consolidated Financial Statements provides further details on these discontinued operations.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400"/>
          </w:cols>
          <w:pgMar w:left="240" w:top="121" w:right="259" w:bottom="1440" w:gutter="0" w:footer="0" w:header="0"/>
        </w:sectPr>
      </w:pPr>
    </w:p>
    <w:bookmarkStart w:id="78" w:name="page79"/>
    <w:bookmarkEnd w:id="78"/>
    <w:p>
      <w:pPr>
        <w:spacing w:after="0"/>
        <w:rPr>
          <w:sz w:val="20"/>
          <w:szCs w:val="20"/>
          <w:color w:val="auto"/>
        </w:rPr>
      </w:pPr>
      <w:r>
        <w:rPr>
          <w:rFonts w:ascii="Arial" w:cs="Arial" w:eastAsia="Arial" w:hAnsi="Arial"/>
          <w:sz w:val="20"/>
          <w:szCs w:val="20"/>
          <w:b w:val="1"/>
          <w:bCs w:val="1"/>
          <w:i w:val="1"/>
          <w:iCs w:val="1"/>
          <w:color w:val="auto"/>
        </w:rPr>
        <w:t xml:space="preserve">Net Income. </w:t>
      </w:r>
      <w:r>
        <w:rPr>
          <w:rFonts w:ascii="Arial" w:cs="Arial" w:eastAsia="Arial" w:hAnsi="Arial"/>
          <w:sz w:val="20"/>
          <w:szCs w:val="20"/>
          <w:color w:val="auto"/>
        </w:rPr>
        <w:t>Variations in net income were summarized previously in "Overall Operations."</w:t>
      </w: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Business Unit Results</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Southern California Gas Company</w:t>
      </w:r>
    </w:p>
    <w:p>
      <w:pPr>
        <w:spacing w:after="0" w:line="243" w:lineRule="exact"/>
        <w:rPr>
          <w:sz w:val="20"/>
          <w:szCs w:val="20"/>
          <w:color w:val="auto"/>
        </w:rPr>
      </w:pPr>
    </w:p>
    <w:p>
      <w:pPr>
        <w:jc w:val="both"/>
        <w:ind w:right="40"/>
        <w:spacing w:after="0" w:line="291" w:lineRule="auto"/>
        <w:rPr>
          <w:sz w:val="20"/>
          <w:szCs w:val="20"/>
          <w:color w:val="auto"/>
        </w:rPr>
      </w:pPr>
      <w:r>
        <w:rPr>
          <w:rFonts w:ascii="Arial" w:cs="Arial" w:eastAsia="Arial" w:hAnsi="Arial"/>
          <w:sz w:val="18"/>
          <w:szCs w:val="18"/>
          <w:color w:val="auto"/>
        </w:rPr>
        <w:t>SoCalGas recorded net income of $230 million, $223 million and $211 million in 2007, 2006 and 2005, respectively. The increase in 2007 was due primarily to $9 million of higher authorized base margins, net of higher operating expenses, and $10 million of lower income tax expense due to a lower effective tax rate in 2007, offset by $7 million from the favorable resolution of a natural gas royalty matter in 2006.</w:t>
      </w:r>
    </w:p>
    <w:p>
      <w:pPr>
        <w:spacing w:after="0" w:line="179" w:lineRule="exact"/>
        <w:rPr>
          <w:sz w:val="20"/>
          <w:szCs w:val="20"/>
          <w:color w:val="auto"/>
        </w:rPr>
      </w:pPr>
    </w:p>
    <w:p>
      <w:pPr>
        <w:ind w:right="120"/>
        <w:spacing w:after="0" w:line="278" w:lineRule="auto"/>
        <w:rPr>
          <w:sz w:val="20"/>
          <w:szCs w:val="20"/>
          <w:color w:val="auto"/>
        </w:rPr>
      </w:pPr>
      <w:r>
        <w:rPr>
          <w:rFonts w:ascii="Arial" w:cs="Arial" w:eastAsia="Arial" w:hAnsi="Arial"/>
          <w:sz w:val="18"/>
          <w:szCs w:val="18"/>
          <w:color w:val="auto"/>
        </w:rPr>
        <w:t>The increase in 2006 compared to 2005 was due primarily to the California energy crisis reserve of $57 million recorded in litigation expense in 2005 and $7 million from the positive resolution in 2006 of a natural gas royalty matter, offset by $24 million in 2005 from the favorable resolution of prior years' income tax issues, $11 million from the reversal in 2005 of the 2004 revenue-sharing reserve resulting from the CPUC's 2004 Cost of Service decision, higher income tax expense in 2006 of $13 million due to a higher effective tax rate in 2006 (excluding the effect of the resolution of prior years' income tax issues in 2005) and a DSM awards settlement of $9 million in 2005.</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San Diego Gas &amp; Electric Company</w:t>
      </w:r>
    </w:p>
    <w:p>
      <w:pPr>
        <w:spacing w:after="0" w:line="243" w:lineRule="exact"/>
        <w:rPr>
          <w:sz w:val="20"/>
          <w:szCs w:val="20"/>
          <w:color w:val="auto"/>
        </w:rPr>
      </w:pPr>
    </w:p>
    <w:p>
      <w:pPr>
        <w:spacing w:after="0" w:line="274" w:lineRule="auto"/>
        <w:rPr>
          <w:sz w:val="20"/>
          <w:szCs w:val="20"/>
          <w:color w:val="auto"/>
        </w:rPr>
      </w:pPr>
      <w:r>
        <w:rPr>
          <w:rFonts w:ascii="Arial" w:cs="Arial" w:eastAsia="Arial" w:hAnsi="Arial"/>
          <w:sz w:val="18"/>
          <w:szCs w:val="18"/>
          <w:color w:val="auto"/>
        </w:rPr>
        <w:t>SDG&amp;E recorded net income of $283 million, $237 million and $262 million in 2007, 2006 and 2005, respectively. The increase in 2007 was primarily due to $18 million from the higher favorable resolution of prior years' income tax issues in 2007, $15 million from higher electric transmission earnings and $7 million due to the Palomar electric generation facility operating for twelve months in 2007 as compared to nine months in 2006. Net income in 2007 also included $26 million from the resolution of a regulatory item associated with the disposition of a power plant in a prior year. Regulatory items in 2006 included a $13 million resolution of a prior-year cost recovery issue, $8 million due to the CPUC authorization for retroactive recovery on the San Onofre Nuclear Generating Station (SONGS) revenues related to a computational error in the 2004 Cost of Service, and $4 million due to FERC approval to recover prior-year ISO charges in 200 6.</w:t>
      </w:r>
    </w:p>
    <w:p>
      <w:pPr>
        <w:spacing w:after="0" w:line="196" w:lineRule="exact"/>
        <w:rPr>
          <w:sz w:val="20"/>
          <w:szCs w:val="20"/>
          <w:color w:val="auto"/>
        </w:rPr>
      </w:pPr>
    </w:p>
    <w:p>
      <w:pPr>
        <w:ind w:right="20"/>
        <w:spacing w:after="0" w:line="273" w:lineRule="auto"/>
        <w:rPr>
          <w:sz w:val="20"/>
          <w:szCs w:val="20"/>
          <w:color w:val="auto"/>
        </w:rPr>
      </w:pPr>
      <w:r>
        <w:rPr>
          <w:rFonts w:ascii="Arial" w:cs="Arial" w:eastAsia="Arial" w:hAnsi="Arial"/>
          <w:sz w:val="18"/>
          <w:szCs w:val="18"/>
          <w:color w:val="auto"/>
        </w:rPr>
        <w:t>The decrease in 2006 compared to 2005 was primarily due to $60 million associated with the favorable resolution of prior years' income tax issues in 2005, the $23 million recovery of costs in 2005 associated with an IRS decision relating to the sale of the South Bay power plant and $22 million related to a DSM awards settlement in 2005. These items were offset by a $42 million increase in earnings from electric generation activities including the commencement of commercial operation of the Palomar generating facility in 2006, $29 million due to the litigation expense in 2005 related to the California energy crisis matter and a $13 million increase in earnings due to lower income tax expense primarily resulting from a lower effective tax rate in 2006 (excluding the effect of the resolution of prior years' income tax issues in 2005). Resolution of regulatory items was $25 million in 2006 as compared to $24 million in 2005. The 2005 regulatory item of $24 million resulted from FERC approval to recover prior-year ISO charges (as discussed further in Note 16 of the Notes to Consolidated Financial Statements).</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Commodities</w:t>
      </w:r>
    </w:p>
    <w:p>
      <w:pPr>
        <w:spacing w:after="0" w:line="243" w:lineRule="exact"/>
        <w:rPr>
          <w:sz w:val="20"/>
          <w:szCs w:val="20"/>
          <w:color w:val="auto"/>
        </w:rPr>
      </w:pPr>
    </w:p>
    <w:p>
      <w:pPr>
        <w:ind w:right="80"/>
        <w:spacing w:after="0" w:line="263" w:lineRule="auto"/>
        <w:rPr>
          <w:sz w:val="20"/>
          <w:szCs w:val="20"/>
          <w:color w:val="auto"/>
        </w:rPr>
      </w:pPr>
      <w:r>
        <w:rPr>
          <w:rFonts w:ascii="Arial" w:cs="Arial" w:eastAsia="Arial" w:hAnsi="Arial"/>
          <w:sz w:val="19"/>
          <w:szCs w:val="19"/>
          <w:color w:val="auto"/>
        </w:rPr>
        <w:t>Sempra Commodities recorded net income of $499 million, $504 million and $460 million in 2007, 2006 and 2005, respectively. The decrease in 2007 was primarily due to a $19 million net income effect of an increase in reserves related to energy crisis litigation, a $25 million reduction due to the phase-out of synthetic fuels tax credits, and decreased margins in the natural gas market. These decreases were largely offset by increased margins primarily for metals and power. Margin for 2007 also included $32 million in</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380"/>
          </w:cols>
          <w:pgMar w:left="240" w:top="121" w:right="279" w:bottom="1440" w:gutter="0" w:footer="0" w:header="0"/>
        </w:sectPr>
      </w:pPr>
    </w:p>
    <w:bookmarkStart w:id="79" w:name="page80"/>
    <w:bookmarkEnd w:id="79"/>
    <w:p>
      <w:pPr>
        <w:ind w:right="220"/>
        <w:spacing w:after="0" w:line="245" w:lineRule="auto"/>
        <w:rPr>
          <w:sz w:val="20"/>
          <w:szCs w:val="20"/>
          <w:color w:val="auto"/>
        </w:rPr>
      </w:pPr>
      <w:r>
        <w:rPr>
          <w:rFonts w:ascii="Arial" w:cs="Arial" w:eastAsia="Arial" w:hAnsi="Arial"/>
          <w:sz w:val="20"/>
          <w:szCs w:val="20"/>
          <w:color w:val="auto"/>
        </w:rPr>
        <w:t>the power product line representing the value of preferred stock received for services rendered. A portion of the decrease in margins was also the result of earnings variability associated with certain commodity inventories and storage and transportation capacity contracts not being marked to market while the corresponding hedges qualify as derivative instruments and are marked to market. Earnings variability will continue in future periods as a result of these factors. Results for 2007 also included an $18 million gain (after related costs) on the sale of equity-method investments.</w:t>
      </w:r>
    </w:p>
    <w:p>
      <w:pPr>
        <w:spacing w:after="0" w:line="218" w:lineRule="exact"/>
        <w:rPr>
          <w:sz w:val="20"/>
          <w:szCs w:val="20"/>
          <w:color w:val="auto"/>
        </w:rPr>
      </w:pPr>
    </w:p>
    <w:p>
      <w:pPr>
        <w:ind w:right="60"/>
        <w:spacing w:after="0" w:line="250" w:lineRule="auto"/>
        <w:rPr>
          <w:sz w:val="20"/>
          <w:szCs w:val="20"/>
          <w:color w:val="auto"/>
        </w:rPr>
      </w:pPr>
      <w:r>
        <w:rPr>
          <w:rFonts w:ascii="Arial" w:cs="Arial" w:eastAsia="Arial" w:hAnsi="Arial"/>
          <w:sz w:val="20"/>
          <w:szCs w:val="20"/>
          <w:color w:val="auto"/>
        </w:rPr>
        <w:t>The increase in 2006 compared to 2005 was due to improved margins in North America and in natural gas and metals, offset by decreased margins for petroleum and power, the $41 million after-tax gain on the sale of two natural gas storage facilities in 2005 and lower income from synthetic fuels tax-credit operations.</w:t>
      </w:r>
    </w:p>
    <w:p>
      <w:pPr>
        <w:spacing w:after="0" w:line="213" w:lineRule="exact"/>
        <w:rPr>
          <w:sz w:val="20"/>
          <w:szCs w:val="20"/>
          <w:color w:val="auto"/>
        </w:rPr>
      </w:pPr>
    </w:p>
    <w:p>
      <w:pPr>
        <w:ind w:right="140"/>
        <w:spacing w:after="0" w:line="278" w:lineRule="auto"/>
        <w:rPr>
          <w:sz w:val="20"/>
          <w:szCs w:val="20"/>
          <w:color w:val="auto"/>
        </w:rPr>
      </w:pPr>
      <w:r>
        <w:rPr>
          <w:rFonts w:ascii="Arial" w:cs="Arial" w:eastAsia="Arial" w:hAnsi="Arial"/>
          <w:sz w:val="18"/>
          <w:szCs w:val="18"/>
          <w:color w:val="auto"/>
        </w:rPr>
        <w:t>Margin by geographical region and product line, presented below, is a key performance measure used by management to evaluate the Sempra Commodities business, and similarly enhances the understanding of the business by investors and investment analysts. Margin represents the contribution to earnings of the Sempra Commodities business relative to its overhead costs, and consists primarily of Operating Revenues less Cost of Sales. Cost of Sales for Sempra Commodities is comprised primarily of transportation and storage costs. Margin also is net of transaction-related execution costs (primarily brokerage and other fees) and net interest income/expense.</w:t>
      </w:r>
    </w:p>
    <w:p>
      <w:pPr>
        <w:spacing w:after="0" w:line="235" w:lineRule="exact"/>
        <w:rPr>
          <w:sz w:val="20"/>
          <w:szCs w:val="20"/>
          <w:color w:val="auto"/>
        </w:rPr>
      </w:pPr>
    </w:p>
    <w:tbl>
      <w:tblPr>
        <w:tblLayout w:type="fixed"/>
        <w:tblInd w:w="1480" w:type="dxa"/>
        <w:tblCellMar>
          <w:top w:w="0" w:type="dxa"/>
          <w:left w:w="0" w:type="dxa"/>
          <w:bottom w:w="0" w:type="dxa"/>
          <w:right w:w="0" w:type="dxa"/>
        </w:tblCellMar>
      </w:tblPr>
      <w:tr>
        <w:trPr>
          <w:trHeight w:val="237"/>
        </w:trPr>
        <w:tc>
          <w:tcPr>
            <w:tcW w:w="30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1"/>
              </w:rPr>
              <w:t>Years ended December 31,</w:t>
            </w:r>
          </w:p>
        </w:tc>
        <w:tc>
          <w:tcPr>
            <w:tcW w:w="3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r>
      <w:tr>
        <w:trPr>
          <w:trHeight w:val="237"/>
        </w:trPr>
        <w:tc>
          <w:tcPr>
            <w:tcW w:w="3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Margin (Dollars in millions)</w:t>
            </w:r>
          </w:p>
        </w:tc>
        <w:tc>
          <w:tcPr>
            <w:tcW w:w="2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2007</w:t>
            </w:r>
          </w:p>
        </w:tc>
        <w:tc>
          <w:tcPr>
            <w:tcW w:w="6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2006</w:t>
            </w:r>
          </w:p>
        </w:tc>
        <w:tc>
          <w:tcPr>
            <w:tcW w:w="10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2005</w:t>
            </w:r>
          </w:p>
        </w:tc>
        <w:tc>
          <w:tcPr>
            <w:tcW w:w="680" w:type="dxa"/>
            <w:vAlign w:val="bottom"/>
            <w:tcBorders>
              <w:bottom w:val="single" w:sz="8" w:color="auto"/>
            </w:tcBorders>
          </w:tcPr>
          <w:p>
            <w:pPr>
              <w:spacing w:after="0"/>
              <w:rPr>
                <w:sz w:val="20"/>
                <w:szCs w:val="20"/>
                <w:color w:val="auto"/>
              </w:rPr>
            </w:pPr>
          </w:p>
        </w:tc>
      </w:tr>
      <w:tr>
        <w:trPr>
          <w:trHeight w:val="230"/>
        </w:trPr>
        <w:tc>
          <w:tcPr>
            <w:tcW w:w="3040" w:type="dxa"/>
            <w:vAlign w:val="bottom"/>
          </w:tcPr>
          <w:p>
            <w:pPr>
              <w:spacing w:after="0"/>
              <w:rPr>
                <w:sz w:val="20"/>
                <w:szCs w:val="20"/>
                <w:color w:val="auto"/>
              </w:rPr>
            </w:pPr>
            <w:r>
              <w:rPr>
                <w:rFonts w:ascii="Arial" w:cs="Arial" w:eastAsia="Arial" w:hAnsi="Arial"/>
                <w:sz w:val="18"/>
                <w:szCs w:val="18"/>
                <w:color w:val="auto"/>
              </w:rPr>
              <w:t>Geographical:</w:t>
            </w: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42"/>
        </w:trPr>
        <w:tc>
          <w:tcPr>
            <w:tcW w:w="3040" w:type="dxa"/>
            <w:vAlign w:val="bottom"/>
          </w:tcPr>
          <w:p>
            <w:pPr>
              <w:ind w:left="180"/>
              <w:spacing w:after="0"/>
              <w:rPr>
                <w:sz w:val="20"/>
                <w:szCs w:val="20"/>
                <w:color w:val="auto"/>
              </w:rPr>
            </w:pPr>
            <w:r>
              <w:rPr>
                <w:rFonts w:ascii="Arial" w:cs="Arial" w:eastAsia="Arial" w:hAnsi="Arial"/>
                <w:sz w:val="18"/>
                <w:szCs w:val="18"/>
                <w:color w:val="auto"/>
              </w:rPr>
              <w:t>North America</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50"/>
              <w:spacing w:after="0"/>
              <w:rPr>
                <w:sz w:val="20"/>
                <w:szCs w:val="20"/>
                <w:color w:val="auto"/>
              </w:rPr>
            </w:pPr>
            <w:r>
              <w:rPr>
                <w:rFonts w:ascii="Arial" w:cs="Arial" w:eastAsia="Arial" w:hAnsi="Arial"/>
                <w:sz w:val="18"/>
                <w:szCs w:val="18"/>
                <w:color w:val="auto"/>
                <w:w w:val="97"/>
              </w:rPr>
              <w:t>1,202</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77 %</w:t>
            </w: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1,313</w:t>
            </w:r>
          </w:p>
        </w:tc>
        <w:tc>
          <w:tcPr>
            <w:tcW w:w="1020" w:type="dxa"/>
            <w:vAlign w:val="bottom"/>
          </w:tcPr>
          <w:p>
            <w:pPr>
              <w:jc w:val="right"/>
              <w:ind w:right="350"/>
              <w:spacing w:after="0"/>
              <w:rPr>
                <w:sz w:val="20"/>
                <w:szCs w:val="20"/>
                <w:color w:val="auto"/>
              </w:rPr>
            </w:pPr>
            <w:r>
              <w:rPr>
                <w:rFonts w:ascii="Arial" w:cs="Arial" w:eastAsia="Arial" w:hAnsi="Arial"/>
                <w:sz w:val="18"/>
                <w:szCs w:val="18"/>
                <w:color w:val="auto"/>
              </w:rPr>
              <w:t>80 %</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1,091</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81 %</w:t>
            </w:r>
          </w:p>
        </w:tc>
      </w:tr>
      <w:tr>
        <w:trPr>
          <w:trHeight w:val="257"/>
        </w:trPr>
        <w:tc>
          <w:tcPr>
            <w:tcW w:w="3040" w:type="dxa"/>
            <w:vAlign w:val="bottom"/>
          </w:tcPr>
          <w:p>
            <w:pPr>
              <w:ind w:left="180"/>
              <w:spacing w:after="0"/>
              <w:rPr>
                <w:sz w:val="20"/>
                <w:szCs w:val="20"/>
                <w:color w:val="auto"/>
              </w:rPr>
            </w:pPr>
            <w:r>
              <w:rPr>
                <w:rFonts w:ascii="Arial" w:cs="Arial" w:eastAsia="Arial" w:hAnsi="Arial"/>
                <w:sz w:val="18"/>
                <w:szCs w:val="18"/>
                <w:color w:val="auto"/>
              </w:rPr>
              <w:t>Europe and Asia</w:t>
            </w:r>
          </w:p>
        </w:tc>
        <w:tc>
          <w:tcPr>
            <w:tcW w:w="2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359</w:t>
            </w:r>
          </w:p>
        </w:tc>
        <w:tc>
          <w:tcPr>
            <w:tcW w:w="6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23</w:t>
            </w:r>
          </w:p>
        </w:tc>
        <w:tc>
          <w:tcPr>
            <w:tcW w:w="4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325</w:t>
            </w:r>
          </w:p>
        </w:tc>
        <w:tc>
          <w:tcPr>
            <w:tcW w:w="10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w:t>
            </w:r>
          </w:p>
        </w:tc>
        <w:tc>
          <w:tcPr>
            <w:tcW w:w="3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255</w:t>
            </w:r>
          </w:p>
        </w:tc>
        <w:tc>
          <w:tcPr>
            <w:tcW w:w="6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19</w:t>
            </w:r>
          </w:p>
        </w:tc>
      </w:tr>
      <w:tr>
        <w:trPr>
          <w:trHeight w:val="257"/>
        </w:trPr>
        <w:tc>
          <w:tcPr>
            <w:tcW w:w="3040" w:type="dxa"/>
            <w:vAlign w:val="bottom"/>
          </w:tcPr>
          <w:p>
            <w:pPr>
              <w:spacing w:after="0"/>
              <w:rPr>
                <w:sz w:val="22"/>
                <w:szCs w:val="22"/>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7"/>
              </w:rPr>
              <w:t>1,561</w:t>
            </w:r>
          </w:p>
        </w:tc>
        <w:tc>
          <w:tcPr>
            <w:tcW w:w="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100 %</w:t>
            </w:r>
          </w:p>
        </w:tc>
        <w:tc>
          <w:tcPr>
            <w:tcW w:w="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1,638</w:t>
            </w: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100 %</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1,346</w:t>
            </w: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100 %</w:t>
            </w:r>
          </w:p>
        </w:tc>
      </w:tr>
      <w:tr>
        <w:trPr>
          <w:trHeight w:val="473"/>
        </w:trPr>
        <w:tc>
          <w:tcPr>
            <w:tcW w:w="3040" w:type="dxa"/>
            <w:vAlign w:val="bottom"/>
          </w:tcPr>
          <w:p>
            <w:pPr>
              <w:spacing w:after="0"/>
              <w:rPr>
                <w:sz w:val="20"/>
                <w:szCs w:val="20"/>
                <w:color w:val="auto"/>
              </w:rPr>
            </w:pPr>
            <w:r>
              <w:rPr>
                <w:rFonts w:ascii="Arial" w:cs="Arial" w:eastAsia="Arial" w:hAnsi="Arial"/>
                <w:sz w:val="18"/>
                <w:szCs w:val="18"/>
                <w:color w:val="auto"/>
              </w:rPr>
              <w:t>Product Line:</w:t>
            </w: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43"/>
        </w:trPr>
        <w:tc>
          <w:tcPr>
            <w:tcW w:w="3040" w:type="dxa"/>
            <w:vAlign w:val="bottom"/>
          </w:tcPr>
          <w:p>
            <w:pPr>
              <w:ind w:left="180"/>
              <w:spacing w:after="0"/>
              <w:rPr>
                <w:sz w:val="20"/>
                <w:szCs w:val="20"/>
                <w:color w:val="auto"/>
              </w:rPr>
            </w:pPr>
            <w:r>
              <w:rPr>
                <w:rFonts w:ascii="Arial" w:cs="Arial" w:eastAsia="Arial" w:hAnsi="Arial"/>
                <w:sz w:val="18"/>
                <w:szCs w:val="18"/>
                <w:color w:val="auto"/>
              </w:rPr>
              <w:t>Gas</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50"/>
              <w:spacing w:after="0"/>
              <w:rPr>
                <w:sz w:val="20"/>
                <w:szCs w:val="20"/>
                <w:color w:val="auto"/>
              </w:rPr>
            </w:pPr>
            <w:r>
              <w:rPr>
                <w:rFonts w:ascii="Arial" w:cs="Arial" w:eastAsia="Arial" w:hAnsi="Arial"/>
                <w:sz w:val="18"/>
                <w:szCs w:val="18"/>
                <w:color w:val="auto"/>
              </w:rPr>
              <w:t>570</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37 %</w:t>
            </w: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792</w:t>
            </w:r>
          </w:p>
        </w:tc>
        <w:tc>
          <w:tcPr>
            <w:tcW w:w="1020" w:type="dxa"/>
            <w:vAlign w:val="bottom"/>
          </w:tcPr>
          <w:p>
            <w:pPr>
              <w:jc w:val="right"/>
              <w:ind w:right="350"/>
              <w:spacing w:after="0"/>
              <w:rPr>
                <w:sz w:val="20"/>
                <w:szCs w:val="20"/>
                <w:color w:val="auto"/>
              </w:rPr>
            </w:pPr>
            <w:r>
              <w:rPr>
                <w:rFonts w:ascii="Arial" w:cs="Arial" w:eastAsia="Arial" w:hAnsi="Arial"/>
                <w:sz w:val="18"/>
                <w:szCs w:val="18"/>
                <w:color w:val="auto"/>
              </w:rPr>
              <w:t>49 %</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439</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32 %</w:t>
            </w:r>
          </w:p>
        </w:tc>
      </w:tr>
      <w:tr>
        <w:trPr>
          <w:trHeight w:val="243"/>
        </w:trPr>
        <w:tc>
          <w:tcPr>
            <w:tcW w:w="3040" w:type="dxa"/>
            <w:vAlign w:val="bottom"/>
          </w:tcPr>
          <w:p>
            <w:pPr>
              <w:ind w:left="180"/>
              <w:spacing w:after="0"/>
              <w:rPr>
                <w:sz w:val="20"/>
                <w:szCs w:val="20"/>
                <w:color w:val="auto"/>
              </w:rPr>
            </w:pPr>
            <w:r>
              <w:rPr>
                <w:rFonts w:ascii="Arial" w:cs="Arial" w:eastAsia="Arial" w:hAnsi="Arial"/>
                <w:sz w:val="18"/>
                <w:szCs w:val="18"/>
                <w:color w:val="auto"/>
              </w:rPr>
              <w:t>Power</w:t>
            </w:r>
          </w:p>
        </w:tc>
        <w:tc>
          <w:tcPr>
            <w:tcW w:w="280" w:type="dxa"/>
            <w:vAlign w:val="bottom"/>
          </w:tcPr>
          <w:p>
            <w:pPr>
              <w:spacing w:after="0"/>
              <w:rPr>
                <w:sz w:val="21"/>
                <w:szCs w:val="21"/>
                <w:color w:val="auto"/>
              </w:rPr>
            </w:pPr>
          </w:p>
        </w:tc>
        <w:tc>
          <w:tcPr>
            <w:tcW w:w="700" w:type="dxa"/>
            <w:vAlign w:val="bottom"/>
          </w:tcPr>
          <w:p>
            <w:pPr>
              <w:jc w:val="right"/>
              <w:ind w:right="150"/>
              <w:spacing w:after="0"/>
              <w:rPr>
                <w:sz w:val="20"/>
                <w:szCs w:val="20"/>
                <w:color w:val="auto"/>
              </w:rPr>
            </w:pPr>
            <w:r>
              <w:rPr>
                <w:rFonts w:ascii="Arial" w:cs="Arial" w:eastAsia="Arial" w:hAnsi="Arial"/>
                <w:sz w:val="18"/>
                <w:szCs w:val="18"/>
                <w:color w:val="auto"/>
              </w:rPr>
              <w:t>460</w:t>
            </w:r>
          </w:p>
        </w:tc>
        <w:tc>
          <w:tcPr>
            <w:tcW w:w="660" w:type="dxa"/>
            <w:vAlign w:val="bottom"/>
          </w:tcPr>
          <w:p>
            <w:pPr>
              <w:jc w:val="right"/>
              <w:ind w:right="190"/>
              <w:spacing w:after="0"/>
              <w:rPr>
                <w:sz w:val="20"/>
                <w:szCs w:val="20"/>
                <w:color w:val="auto"/>
              </w:rPr>
            </w:pPr>
            <w:r>
              <w:rPr>
                <w:rFonts w:ascii="Arial" w:cs="Arial" w:eastAsia="Arial" w:hAnsi="Arial"/>
                <w:sz w:val="18"/>
                <w:szCs w:val="18"/>
                <w:color w:val="auto"/>
              </w:rPr>
              <w:t>29</w:t>
            </w:r>
          </w:p>
        </w:tc>
        <w:tc>
          <w:tcPr>
            <w:tcW w:w="460" w:type="dxa"/>
            <w:vAlign w:val="bottom"/>
          </w:tcPr>
          <w:p>
            <w:pPr>
              <w:spacing w:after="0"/>
              <w:rPr>
                <w:sz w:val="21"/>
                <w:szCs w:val="21"/>
                <w:color w:val="auto"/>
              </w:rPr>
            </w:pP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431</w:t>
            </w:r>
          </w:p>
        </w:tc>
        <w:tc>
          <w:tcPr>
            <w:tcW w:w="1020" w:type="dxa"/>
            <w:vAlign w:val="bottom"/>
          </w:tcPr>
          <w:p>
            <w:pPr>
              <w:jc w:val="right"/>
              <w:ind w:right="530"/>
              <w:spacing w:after="0"/>
              <w:rPr>
                <w:sz w:val="20"/>
                <w:szCs w:val="20"/>
                <w:color w:val="auto"/>
              </w:rPr>
            </w:pPr>
            <w:r>
              <w:rPr>
                <w:rFonts w:ascii="Arial" w:cs="Arial" w:eastAsia="Arial" w:hAnsi="Arial"/>
                <w:sz w:val="18"/>
                <w:szCs w:val="18"/>
                <w:color w:val="auto"/>
              </w:rPr>
              <w:t>26</w:t>
            </w:r>
          </w:p>
        </w:tc>
        <w:tc>
          <w:tcPr>
            <w:tcW w:w="300" w:type="dxa"/>
            <w:vAlign w:val="bottom"/>
          </w:tcPr>
          <w:p>
            <w:pPr>
              <w:spacing w:after="0"/>
              <w:rPr>
                <w:sz w:val="21"/>
                <w:szCs w:val="21"/>
                <w:color w:val="auto"/>
              </w:rPr>
            </w:pP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443</w:t>
            </w:r>
          </w:p>
        </w:tc>
        <w:tc>
          <w:tcPr>
            <w:tcW w:w="680" w:type="dxa"/>
            <w:vAlign w:val="bottom"/>
          </w:tcPr>
          <w:p>
            <w:pPr>
              <w:jc w:val="right"/>
              <w:ind w:right="190"/>
              <w:spacing w:after="0"/>
              <w:rPr>
                <w:sz w:val="20"/>
                <w:szCs w:val="20"/>
                <w:color w:val="auto"/>
              </w:rPr>
            </w:pPr>
            <w:r>
              <w:rPr>
                <w:rFonts w:ascii="Arial" w:cs="Arial" w:eastAsia="Arial" w:hAnsi="Arial"/>
                <w:sz w:val="18"/>
                <w:szCs w:val="18"/>
                <w:color w:val="auto"/>
              </w:rPr>
              <w:t>33</w:t>
            </w:r>
          </w:p>
        </w:tc>
      </w:tr>
      <w:tr>
        <w:trPr>
          <w:trHeight w:val="243"/>
        </w:trPr>
        <w:tc>
          <w:tcPr>
            <w:tcW w:w="3040" w:type="dxa"/>
            <w:vAlign w:val="bottom"/>
          </w:tcPr>
          <w:p>
            <w:pPr>
              <w:ind w:left="180"/>
              <w:spacing w:after="0"/>
              <w:rPr>
                <w:sz w:val="20"/>
                <w:szCs w:val="20"/>
                <w:color w:val="auto"/>
              </w:rPr>
            </w:pPr>
            <w:r>
              <w:rPr>
                <w:rFonts w:ascii="Arial" w:cs="Arial" w:eastAsia="Arial" w:hAnsi="Arial"/>
                <w:sz w:val="18"/>
                <w:szCs w:val="18"/>
                <w:color w:val="auto"/>
              </w:rPr>
              <w:t>Oil – crude and products</w:t>
            </w:r>
          </w:p>
        </w:tc>
        <w:tc>
          <w:tcPr>
            <w:tcW w:w="280" w:type="dxa"/>
            <w:vAlign w:val="bottom"/>
          </w:tcPr>
          <w:p>
            <w:pPr>
              <w:spacing w:after="0"/>
              <w:rPr>
                <w:sz w:val="21"/>
                <w:szCs w:val="21"/>
                <w:color w:val="auto"/>
              </w:rPr>
            </w:pPr>
          </w:p>
        </w:tc>
        <w:tc>
          <w:tcPr>
            <w:tcW w:w="700" w:type="dxa"/>
            <w:vAlign w:val="bottom"/>
          </w:tcPr>
          <w:p>
            <w:pPr>
              <w:jc w:val="right"/>
              <w:ind w:right="150"/>
              <w:spacing w:after="0"/>
              <w:rPr>
                <w:sz w:val="20"/>
                <w:szCs w:val="20"/>
                <w:color w:val="auto"/>
              </w:rPr>
            </w:pPr>
            <w:r>
              <w:rPr>
                <w:rFonts w:ascii="Arial" w:cs="Arial" w:eastAsia="Arial" w:hAnsi="Arial"/>
                <w:sz w:val="18"/>
                <w:szCs w:val="18"/>
                <w:color w:val="auto"/>
              </w:rPr>
              <w:t>195</w:t>
            </w:r>
          </w:p>
        </w:tc>
        <w:tc>
          <w:tcPr>
            <w:tcW w:w="660" w:type="dxa"/>
            <w:vAlign w:val="bottom"/>
          </w:tcPr>
          <w:p>
            <w:pPr>
              <w:jc w:val="right"/>
              <w:ind w:right="190"/>
              <w:spacing w:after="0"/>
              <w:rPr>
                <w:sz w:val="20"/>
                <w:szCs w:val="20"/>
                <w:color w:val="auto"/>
              </w:rPr>
            </w:pPr>
            <w:r>
              <w:rPr>
                <w:rFonts w:ascii="Arial" w:cs="Arial" w:eastAsia="Arial" w:hAnsi="Arial"/>
                <w:sz w:val="18"/>
                <w:szCs w:val="18"/>
                <w:color w:val="auto"/>
              </w:rPr>
              <w:t>12</w:t>
            </w:r>
          </w:p>
        </w:tc>
        <w:tc>
          <w:tcPr>
            <w:tcW w:w="460" w:type="dxa"/>
            <w:vAlign w:val="bottom"/>
          </w:tcPr>
          <w:p>
            <w:pPr>
              <w:spacing w:after="0"/>
              <w:rPr>
                <w:sz w:val="21"/>
                <w:szCs w:val="21"/>
                <w:color w:val="auto"/>
              </w:rPr>
            </w:pP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198</w:t>
            </w:r>
          </w:p>
        </w:tc>
        <w:tc>
          <w:tcPr>
            <w:tcW w:w="1020" w:type="dxa"/>
            <w:vAlign w:val="bottom"/>
          </w:tcPr>
          <w:p>
            <w:pPr>
              <w:jc w:val="right"/>
              <w:ind w:right="530"/>
              <w:spacing w:after="0"/>
              <w:rPr>
                <w:sz w:val="20"/>
                <w:szCs w:val="20"/>
                <w:color w:val="auto"/>
              </w:rPr>
            </w:pPr>
            <w:r>
              <w:rPr>
                <w:rFonts w:ascii="Arial" w:cs="Arial" w:eastAsia="Arial" w:hAnsi="Arial"/>
                <w:sz w:val="18"/>
                <w:szCs w:val="18"/>
                <w:color w:val="auto"/>
              </w:rPr>
              <w:t>12</w:t>
            </w:r>
          </w:p>
        </w:tc>
        <w:tc>
          <w:tcPr>
            <w:tcW w:w="300" w:type="dxa"/>
            <w:vAlign w:val="bottom"/>
          </w:tcPr>
          <w:p>
            <w:pPr>
              <w:spacing w:after="0"/>
              <w:rPr>
                <w:sz w:val="21"/>
                <w:szCs w:val="21"/>
                <w:color w:val="auto"/>
              </w:rPr>
            </w:pP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292</w:t>
            </w:r>
          </w:p>
        </w:tc>
        <w:tc>
          <w:tcPr>
            <w:tcW w:w="680" w:type="dxa"/>
            <w:vAlign w:val="bottom"/>
          </w:tcPr>
          <w:p>
            <w:pPr>
              <w:jc w:val="right"/>
              <w:ind w:right="190"/>
              <w:spacing w:after="0"/>
              <w:rPr>
                <w:sz w:val="20"/>
                <w:szCs w:val="20"/>
                <w:color w:val="auto"/>
              </w:rPr>
            </w:pPr>
            <w:r>
              <w:rPr>
                <w:rFonts w:ascii="Arial" w:cs="Arial" w:eastAsia="Arial" w:hAnsi="Arial"/>
                <w:sz w:val="18"/>
                <w:szCs w:val="18"/>
                <w:color w:val="auto"/>
              </w:rPr>
              <w:t>22</w:t>
            </w:r>
          </w:p>
        </w:tc>
      </w:tr>
      <w:tr>
        <w:trPr>
          <w:trHeight w:val="243"/>
        </w:trPr>
        <w:tc>
          <w:tcPr>
            <w:tcW w:w="3040" w:type="dxa"/>
            <w:vAlign w:val="bottom"/>
          </w:tcPr>
          <w:p>
            <w:pPr>
              <w:ind w:left="180"/>
              <w:spacing w:after="0"/>
              <w:rPr>
                <w:sz w:val="20"/>
                <w:szCs w:val="20"/>
                <w:color w:val="auto"/>
              </w:rPr>
            </w:pPr>
            <w:r>
              <w:rPr>
                <w:rFonts w:ascii="Arial" w:cs="Arial" w:eastAsia="Arial" w:hAnsi="Arial"/>
                <w:sz w:val="18"/>
                <w:szCs w:val="18"/>
                <w:color w:val="auto"/>
              </w:rPr>
              <w:t>Metals</w:t>
            </w:r>
          </w:p>
        </w:tc>
        <w:tc>
          <w:tcPr>
            <w:tcW w:w="280" w:type="dxa"/>
            <w:vAlign w:val="bottom"/>
          </w:tcPr>
          <w:p>
            <w:pPr>
              <w:spacing w:after="0"/>
              <w:rPr>
                <w:sz w:val="21"/>
                <w:szCs w:val="21"/>
                <w:color w:val="auto"/>
              </w:rPr>
            </w:pPr>
          </w:p>
        </w:tc>
        <w:tc>
          <w:tcPr>
            <w:tcW w:w="700" w:type="dxa"/>
            <w:vAlign w:val="bottom"/>
          </w:tcPr>
          <w:p>
            <w:pPr>
              <w:jc w:val="right"/>
              <w:ind w:right="150"/>
              <w:spacing w:after="0"/>
              <w:rPr>
                <w:sz w:val="20"/>
                <w:szCs w:val="20"/>
                <w:color w:val="auto"/>
              </w:rPr>
            </w:pPr>
            <w:r>
              <w:rPr>
                <w:rFonts w:ascii="Arial" w:cs="Arial" w:eastAsia="Arial" w:hAnsi="Arial"/>
                <w:sz w:val="18"/>
                <w:szCs w:val="18"/>
                <w:color w:val="auto"/>
              </w:rPr>
              <w:t>292</w:t>
            </w:r>
          </w:p>
        </w:tc>
        <w:tc>
          <w:tcPr>
            <w:tcW w:w="660" w:type="dxa"/>
            <w:vAlign w:val="bottom"/>
          </w:tcPr>
          <w:p>
            <w:pPr>
              <w:jc w:val="right"/>
              <w:ind w:right="190"/>
              <w:spacing w:after="0"/>
              <w:rPr>
                <w:sz w:val="20"/>
                <w:szCs w:val="20"/>
                <w:color w:val="auto"/>
              </w:rPr>
            </w:pPr>
            <w:r>
              <w:rPr>
                <w:rFonts w:ascii="Arial" w:cs="Arial" w:eastAsia="Arial" w:hAnsi="Arial"/>
                <w:sz w:val="18"/>
                <w:szCs w:val="18"/>
                <w:color w:val="auto"/>
              </w:rPr>
              <w:t>19</w:t>
            </w:r>
          </w:p>
        </w:tc>
        <w:tc>
          <w:tcPr>
            <w:tcW w:w="460" w:type="dxa"/>
            <w:vAlign w:val="bottom"/>
          </w:tcPr>
          <w:p>
            <w:pPr>
              <w:spacing w:after="0"/>
              <w:rPr>
                <w:sz w:val="21"/>
                <w:szCs w:val="21"/>
                <w:color w:val="auto"/>
              </w:rPr>
            </w:pP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138</w:t>
            </w:r>
          </w:p>
        </w:tc>
        <w:tc>
          <w:tcPr>
            <w:tcW w:w="1020" w:type="dxa"/>
            <w:vAlign w:val="bottom"/>
          </w:tcPr>
          <w:p>
            <w:pPr>
              <w:jc w:val="right"/>
              <w:ind w:right="530"/>
              <w:spacing w:after="0"/>
              <w:rPr>
                <w:sz w:val="20"/>
                <w:szCs w:val="20"/>
                <w:color w:val="auto"/>
              </w:rPr>
            </w:pPr>
            <w:r>
              <w:rPr>
                <w:rFonts w:ascii="Arial" w:cs="Arial" w:eastAsia="Arial" w:hAnsi="Arial"/>
                <w:sz w:val="18"/>
                <w:szCs w:val="18"/>
                <w:color w:val="auto"/>
              </w:rPr>
              <w:t>8</w:t>
            </w:r>
          </w:p>
        </w:tc>
        <w:tc>
          <w:tcPr>
            <w:tcW w:w="300" w:type="dxa"/>
            <w:vAlign w:val="bottom"/>
          </w:tcPr>
          <w:p>
            <w:pPr>
              <w:spacing w:after="0"/>
              <w:rPr>
                <w:sz w:val="21"/>
                <w:szCs w:val="21"/>
                <w:color w:val="auto"/>
              </w:rPr>
            </w:pP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54</w:t>
            </w:r>
          </w:p>
        </w:tc>
        <w:tc>
          <w:tcPr>
            <w:tcW w:w="680" w:type="dxa"/>
            <w:vAlign w:val="bottom"/>
          </w:tcPr>
          <w:p>
            <w:pPr>
              <w:jc w:val="right"/>
              <w:ind w:right="190"/>
              <w:spacing w:after="0"/>
              <w:rPr>
                <w:sz w:val="20"/>
                <w:szCs w:val="20"/>
                <w:color w:val="auto"/>
              </w:rPr>
            </w:pPr>
            <w:r>
              <w:rPr>
                <w:rFonts w:ascii="Arial" w:cs="Arial" w:eastAsia="Arial" w:hAnsi="Arial"/>
                <w:sz w:val="18"/>
                <w:szCs w:val="18"/>
                <w:color w:val="auto"/>
              </w:rPr>
              <w:t>4</w:t>
            </w:r>
          </w:p>
        </w:tc>
      </w:tr>
      <w:tr>
        <w:trPr>
          <w:trHeight w:val="257"/>
        </w:trPr>
        <w:tc>
          <w:tcPr>
            <w:tcW w:w="3040" w:type="dxa"/>
            <w:vAlign w:val="bottom"/>
          </w:tcPr>
          <w:p>
            <w:pPr>
              <w:ind w:left="18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44</w:t>
            </w:r>
          </w:p>
        </w:tc>
        <w:tc>
          <w:tcPr>
            <w:tcW w:w="6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3</w:t>
            </w:r>
          </w:p>
        </w:tc>
        <w:tc>
          <w:tcPr>
            <w:tcW w:w="4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79</w:t>
            </w:r>
          </w:p>
        </w:tc>
        <w:tc>
          <w:tcPr>
            <w:tcW w:w="10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5</w:t>
            </w:r>
          </w:p>
        </w:tc>
        <w:tc>
          <w:tcPr>
            <w:tcW w:w="3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118</w:t>
            </w:r>
          </w:p>
        </w:tc>
        <w:tc>
          <w:tcPr>
            <w:tcW w:w="6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9</w:t>
            </w:r>
          </w:p>
        </w:tc>
      </w:tr>
      <w:tr>
        <w:trPr>
          <w:trHeight w:val="257"/>
        </w:trPr>
        <w:tc>
          <w:tcPr>
            <w:tcW w:w="304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7"/>
              </w:rPr>
              <w:t>1,561</w:t>
            </w:r>
          </w:p>
        </w:tc>
        <w:tc>
          <w:tcPr>
            <w:tcW w:w="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100 %</w:t>
            </w:r>
          </w:p>
        </w:tc>
        <w:tc>
          <w:tcPr>
            <w:tcW w:w="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1,638</w:t>
            </w: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100 %</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1,346</w:t>
            </w: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100 %</w:t>
            </w:r>
          </w:p>
        </w:tc>
      </w:tr>
    </w:tbl>
    <w:p>
      <w:pPr>
        <w:spacing w:after="0" w:line="213" w:lineRule="exact"/>
        <w:rPr>
          <w:sz w:val="20"/>
          <w:szCs w:val="20"/>
          <w:color w:val="auto"/>
        </w:rPr>
      </w:pPr>
    </w:p>
    <w:p>
      <w:pPr>
        <w:ind w:right="400"/>
        <w:spacing w:after="0" w:line="316" w:lineRule="auto"/>
        <w:rPr>
          <w:sz w:val="20"/>
          <w:szCs w:val="20"/>
          <w:color w:val="auto"/>
        </w:rPr>
      </w:pPr>
      <w:r>
        <w:rPr>
          <w:rFonts w:ascii="Arial" w:cs="Arial" w:eastAsia="Arial" w:hAnsi="Arial"/>
          <w:sz w:val="18"/>
          <w:szCs w:val="18"/>
          <w:color w:val="auto"/>
        </w:rPr>
        <w:t>For the years ended December 31, 2007, 2006 and 2005, "Other" included synthetic fuels credit operations of $31 million, $97 million and $110 million, respectively, which contributed $6 million, $31 million and $36 million to net income for the same periods, respectively.</w:t>
      </w:r>
    </w:p>
    <w:p>
      <w:pPr>
        <w:spacing w:after="0" w:line="157" w:lineRule="exact"/>
        <w:rPr>
          <w:sz w:val="20"/>
          <w:szCs w:val="20"/>
          <w:color w:val="auto"/>
        </w:rPr>
      </w:pPr>
    </w:p>
    <w:p>
      <w:pPr>
        <w:spacing w:after="0" w:line="257" w:lineRule="auto"/>
        <w:rPr>
          <w:sz w:val="20"/>
          <w:szCs w:val="20"/>
          <w:color w:val="auto"/>
        </w:rPr>
      </w:pPr>
      <w:r>
        <w:rPr>
          <w:rFonts w:ascii="Arial" w:cs="Arial" w:eastAsia="Arial" w:hAnsi="Arial"/>
          <w:sz w:val="19"/>
          <w:szCs w:val="19"/>
          <w:color w:val="auto"/>
        </w:rPr>
        <w:t>Margin is a non-GAAP financial measure and may be different from non-GAAP financial measures used by other companies (GAAP represents accounting principles generally accepted in the United States of America). Management believes this non-GAAP financial measure provides meaningful supplementary information regarding Sempra Commodities' results, as it presents the information used by management to evaluate its performance. As noted above, the calculation of margin is substantively the net of the GAAP financial measures of Revenues and Cost of Sales, adjusted for other transaction-related costs as noted above. Margin has limitations as an analytical tool, and should not be considered in isolation or as a substitute for analysis of the company's results under GAAP. Some of the limitations of margin are that it does not reflect other operating expenses and income taxes, and other companies in this industry may calculate this measure differently than presente d above. The company compensates for these limitations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1400"/>
          </w:cols>
          <w:pgMar w:left="240" w:top="122" w:right="259" w:bottom="1440" w:gutter="0" w:footer="0" w:header="0"/>
        </w:sectPr>
      </w:pPr>
    </w:p>
    <w:bookmarkStart w:id="80" w:name="page81"/>
    <w:bookmarkEnd w:id="80"/>
    <w:p>
      <w:pPr>
        <w:ind w:right="140"/>
        <w:spacing w:after="0" w:line="262" w:lineRule="auto"/>
        <w:rPr>
          <w:sz w:val="20"/>
          <w:szCs w:val="20"/>
          <w:color w:val="auto"/>
        </w:rPr>
      </w:pPr>
      <w:r>
        <w:rPr>
          <w:rFonts w:ascii="Arial" w:cs="Arial" w:eastAsia="Arial" w:hAnsi="Arial"/>
          <w:sz w:val="20"/>
          <w:szCs w:val="20"/>
          <w:color w:val="auto"/>
        </w:rPr>
        <w:t>by relying primarily on GAAP results and by using margin only supplementally. A reconciliation of GAAP information to margin for Sempra Commodities is as follows:</w:t>
      </w:r>
    </w:p>
    <w:p>
      <w:pPr>
        <w:spacing w:after="0" w:line="244" w:lineRule="exact"/>
        <w:rPr>
          <w:sz w:val="20"/>
          <w:szCs w:val="20"/>
          <w:color w:val="auto"/>
        </w:rPr>
      </w:pPr>
    </w:p>
    <w:tbl>
      <w:tblPr>
        <w:tblLayout w:type="fixed"/>
        <w:tblInd w:w="1800" w:type="dxa"/>
        <w:tblCellMar>
          <w:top w:w="0" w:type="dxa"/>
          <w:left w:w="0" w:type="dxa"/>
          <w:bottom w:w="0" w:type="dxa"/>
          <w:right w:w="0" w:type="dxa"/>
        </w:tblCellMar>
      </w:tblPr>
      <w:tr>
        <w:trPr>
          <w:trHeight w:val="237"/>
        </w:trPr>
        <w:tc>
          <w:tcPr>
            <w:tcW w:w="30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8"/>
                <w:szCs w:val="18"/>
                <w:color w:val="auto"/>
                <w:w w:val="97"/>
              </w:rPr>
              <w:t>Years ended December 31,</w:t>
            </w:r>
          </w:p>
        </w:tc>
        <w:tc>
          <w:tcPr>
            <w:tcW w:w="4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r>
      <w:tr>
        <w:trPr>
          <w:trHeight w:val="237"/>
        </w:trPr>
        <w:tc>
          <w:tcPr>
            <w:tcW w:w="3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(Dollars in millions)</w:t>
            </w:r>
          </w:p>
        </w:tc>
        <w:tc>
          <w:tcPr>
            <w:tcW w:w="3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2007</w:t>
            </w:r>
          </w:p>
        </w:tc>
        <w:tc>
          <w:tcPr>
            <w:tcW w:w="10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color w:val="auto"/>
                <w:w w:val="99"/>
              </w:rPr>
              <w:t>2006</w:t>
            </w:r>
          </w:p>
        </w:tc>
        <w:tc>
          <w:tcPr>
            <w:tcW w:w="1160" w:type="dxa"/>
            <w:vAlign w:val="bottom"/>
            <w:tcBorders>
              <w:bottom w:val="single" w:sz="8" w:color="auto"/>
            </w:tcBorders>
            <w:gridSpan w:val="2"/>
          </w:tcPr>
          <w:p>
            <w:pPr>
              <w:ind w:left="280"/>
              <w:spacing w:after="0"/>
              <w:rPr>
                <w:sz w:val="20"/>
                <w:szCs w:val="20"/>
                <w:color w:val="auto"/>
              </w:rPr>
            </w:pPr>
            <w:r>
              <w:rPr>
                <w:rFonts w:ascii="Arial" w:cs="Arial" w:eastAsia="Arial" w:hAnsi="Arial"/>
                <w:sz w:val="18"/>
                <w:szCs w:val="18"/>
                <w:color w:val="auto"/>
              </w:rPr>
              <w:t>2005</w:t>
            </w:r>
          </w:p>
        </w:tc>
      </w:tr>
      <w:tr>
        <w:trPr>
          <w:trHeight w:val="230"/>
        </w:trPr>
        <w:tc>
          <w:tcPr>
            <w:tcW w:w="3040" w:type="dxa"/>
            <w:vAlign w:val="bottom"/>
          </w:tcPr>
          <w:p>
            <w:pPr>
              <w:ind w:left="20"/>
              <w:spacing w:after="0"/>
              <w:rPr>
                <w:sz w:val="20"/>
                <w:szCs w:val="20"/>
                <w:color w:val="auto"/>
              </w:rPr>
            </w:pPr>
            <w:r>
              <w:rPr>
                <w:rFonts w:ascii="Arial" w:cs="Arial" w:eastAsia="Arial" w:hAnsi="Arial"/>
                <w:sz w:val="18"/>
                <w:szCs w:val="18"/>
                <w:color w:val="auto"/>
              </w:rPr>
              <w:t>Revenues</w:t>
            </w: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210"/>
              <w:spacing w:after="0"/>
              <w:rPr>
                <w:sz w:val="20"/>
                <w:szCs w:val="20"/>
                <w:color w:val="auto"/>
              </w:rPr>
            </w:pPr>
            <w:r>
              <w:rPr>
                <w:rFonts w:ascii="Arial" w:cs="Arial" w:eastAsia="Arial" w:hAnsi="Arial"/>
                <w:sz w:val="18"/>
                <w:szCs w:val="18"/>
                <w:color w:val="auto"/>
              </w:rPr>
              <w:t>2,674</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790"/>
              <w:spacing w:after="0"/>
              <w:rPr>
                <w:sz w:val="20"/>
                <w:szCs w:val="20"/>
                <w:color w:val="auto"/>
              </w:rPr>
            </w:pPr>
            <w:r>
              <w:rPr>
                <w:rFonts w:ascii="Arial" w:cs="Arial" w:eastAsia="Arial" w:hAnsi="Arial"/>
                <w:sz w:val="18"/>
                <w:szCs w:val="18"/>
                <w:color w:val="auto"/>
              </w:rPr>
              <w:t>3,256</w:t>
            </w:r>
          </w:p>
        </w:tc>
        <w:tc>
          <w:tcPr>
            <w:tcW w:w="440" w:type="dxa"/>
            <w:vAlign w:val="bottom"/>
          </w:tcPr>
          <w:p>
            <w:pPr>
              <w:ind w:left="26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90"/>
              <w:spacing w:after="0"/>
              <w:rPr>
                <w:sz w:val="20"/>
                <w:szCs w:val="20"/>
                <w:color w:val="auto"/>
              </w:rPr>
            </w:pPr>
            <w:r>
              <w:rPr>
                <w:rFonts w:ascii="Arial" w:cs="Arial" w:eastAsia="Arial" w:hAnsi="Arial"/>
                <w:sz w:val="18"/>
                <w:szCs w:val="18"/>
                <w:color w:val="auto"/>
              </w:rPr>
              <w:t>2,724</w:t>
            </w:r>
          </w:p>
        </w:tc>
      </w:tr>
      <w:tr>
        <w:trPr>
          <w:trHeight w:val="249"/>
        </w:trPr>
        <w:tc>
          <w:tcPr>
            <w:tcW w:w="304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3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(988 )</w:t>
            </w:r>
          </w:p>
        </w:tc>
        <w:tc>
          <w:tcPr>
            <w:tcW w:w="10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w w:val="96"/>
              </w:rPr>
              <w:t>(1,468 )</w:t>
            </w:r>
          </w:p>
        </w:tc>
        <w:tc>
          <w:tcPr>
            <w:tcW w:w="4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6"/>
              </w:rPr>
              <w:t>(1,267 )</w:t>
            </w:r>
          </w:p>
        </w:tc>
      </w:tr>
      <w:tr>
        <w:trPr>
          <w:trHeight w:val="230"/>
        </w:trPr>
        <w:tc>
          <w:tcPr>
            <w:tcW w:w="30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jc w:val="right"/>
              <w:ind w:right="210"/>
              <w:spacing w:after="0"/>
              <w:rPr>
                <w:sz w:val="20"/>
                <w:szCs w:val="20"/>
                <w:color w:val="auto"/>
              </w:rPr>
            </w:pPr>
            <w:r>
              <w:rPr>
                <w:rFonts w:ascii="Arial" w:cs="Arial" w:eastAsia="Arial" w:hAnsi="Arial"/>
                <w:sz w:val="18"/>
                <w:szCs w:val="18"/>
                <w:color w:val="auto"/>
              </w:rPr>
              <w:t>1,686</w:t>
            </w:r>
          </w:p>
        </w:tc>
        <w:tc>
          <w:tcPr>
            <w:tcW w:w="1000" w:type="dxa"/>
            <w:vAlign w:val="bottom"/>
          </w:tcPr>
          <w:p>
            <w:pPr>
              <w:spacing w:after="0"/>
              <w:rPr>
                <w:sz w:val="20"/>
                <w:szCs w:val="20"/>
                <w:color w:val="auto"/>
              </w:rPr>
            </w:pPr>
          </w:p>
        </w:tc>
        <w:tc>
          <w:tcPr>
            <w:tcW w:w="1420" w:type="dxa"/>
            <w:vAlign w:val="bottom"/>
          </w:tcPr>
          <w:p>
            <w:pPr>
              <w:jc w:val="right"/>
              <w:ind w:right="790"/>
              <w:spacing w:after="0"/>
              <w:rPr>
                <w:sz w:val="20"/>
                <w:szCs w:val="20"/>
                <w:color w:val="auto"/>
              </w:rPr>
            </w:pPr>
            <w:r>
              <w:rPr>
                <w:rFonts w:ascii="Arial" w:cs="Arial" w:eastAsia="Arial" w:hAnsi="Arial"/>
                <w:sz w:val="18"/>
                <w:szCs w:val="18"/>
                <w:color w:val="auto"/>
              </w:rPr>
              <w:t>1,788</w:t>
            </w:r>
          </w:p>
        </w:tc>
        <w:tc>
          <w:tcPr>
            <w:tcW w:w="440" w:type="dxa"/>
            <w:vAlign w:val="bottom"/>
          </w:tcPr>
          <w:p>
            <w:pPr>
              <w:spacing w:after="0"/>
              <w:rPr>
                <w:sz w:val="20"/>
                <w:szCs w:val="20"/>
                <w:color w:val="auto"/>
              </w:rPr>
            </w:pPr>
          </w:p>
        </w:tc>
        <w:tc>
          <w:tcPr>
            <w:tcW w:w="720" w:type="dxa"/>
            <w:vAlign w:val="bottom"/>
          </w:tcPr>
          <w:p>
            <w:pPr>
              <w:jc w:val="right"/>
              <w:ind w:right="90"/>
              <w:spacing w:after="0"/>
              <w:rPr>
                <w:sz w:val="20"/>
                <w:szCs w:val="20"/>
                <w:color w:val="auto"/>
              </w:rPr>
            </w:pPr>
            <w:r>
              <w:rPr>
                <w:rFonts w:ascii="Arial" w:cs="Arial" w:eastAsia="Arial" w:hAnsi="Arial"/>
                <w:sz w:val="18"/>
                <w:szCs w:val="18"/>
                <w:color w:val="auto"/>
              </w:rPr>
              <w:t>1,457</w:t>
            </w:r>
          </w:p>
        </w:tc>
      </w:tr>
      <w:tr>
        <w:trPr>
          <w:trHeight w:val="249"/>
        </w:trPr>
        <w:tc>
          <w:tcPr>
            <w:tcW w:w="3040" w:type="dxa"/>
            <w:vAlign w:val="bottom"/>
          </w:tcPr>
          <w:p>
            <w:pPr>
              <w:ind w:left="20"/>
              <w:spacing w:after="0"/>
              <w:rPr>
                <w:sz w:val="20"/>
                <w:szCs w:val="20"/>
                <w:color w:val="auto"/>
              </w:rPr>
            </w:pPr>
            <w:r>
              <w:rPr>
                <w:rFonts w:ascii="Arial" w:cs="Arial" w:eastAsia="Arial" w:hAnsi="Arial"/>
                <w:sz w:val="18"/>
                <w:szCs w:val="18"/>
                <w:color w:val="auto"/>
              </w:rPr>
              <w:t>Other related costs</w:t>
            </w:r>
          </w:p>
        </w:tc>
        <w:tc>
          <w:tcPr>
            <w:tcW w:w="3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(125 )</w:t>
            </w:r>
          </w:p>
        </w:tc>
        <w:tc>
          <w:tcPr>
            <w:tcW w:w="10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rPr>
              <w:t>(150 )</w:t>
            </w:r>
          </w:p>
        </w:tc>
        <w:tc>
          <w:tcPr>
            <w:tcW w:w="4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(111 )</w:t>
            </w:r>
          </w:p>
        </w:tc>
      </w:tr>
      <w:tr>
        <w:trPr>
          <w:trHeight w:val="264"/>
        </w:trPr>
        <w:tc>
          <w:tcPr>
            <w:tcW w:w="3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Margin</w:t>
            </w:r>
          </w:p>
        </w:tc>
        <w:tc>
          <w:tcPr>
            <w:tcW w:w="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1,561</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rPr>
              <w:t>1,638</w:t>
            </w:r>
          </w:p>
        </w:tc>
        <w:tc>
          <w:tcPr>
            <w:tcW w:w="44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1,346</w:t>
            </w:r>
          </w:p>
        </w:tc>
      </w:tr>
    </w:tbl>
    <w:p>
      <w:pPr>
        <w:spacing w:after="0" w:line="226" w:lineRule="exact"/>
        <w:rPr>
          <w:sz w:val="20"/>
          <w:szCs w:val="20"/>
          <w:color w:val="auto"/>
        </w:rPr>
      </w:pPr>
    </w:p>
    <w:p>
      <w:pPr>
        <w:spacing w:after="0"/>
        <w:rPr>
          <w:sz w:val="20"/>
          <w:szCs w:val="20"/>
          <w:color w:val="auto"/>
        </w:rPr>
      </w:pPr>
      <w:r>
        <w:rPr>
          <w:rFonts w:ascii="Arial" w:cs="Arial" w:eastAsia="Arial" w:hAnsi="Arial"/>
          <w:sz w:val="20"/>
          <w:szCs w:val="20"/>
          <w:color w:val="auto"/>
        </w:rPr>
        <w:t>A summary of Sempra Commodities' unrealized revenues for trading activities follows:</w:t>
      </w:r>
    </w:p>
    <w:p>
      <w:pPr>
        <w:spacing w:after="0" w:line="286" w:lineRule="exact"/>
        <w:rPr>
          <w:sz w:val="20"/>
          <w:szCs w:val="20"/>
          <w:color w:val="auto"/>
        </w:rPr>
      </w:pPr>
    </w:p>
    <w:tbl>
      <w:tblPr>
        <w:tblLayout w:type="fixed"/>
        <w:tblInd w:w="1640" w:type="dxa"/>
        <w:tblCellMar>
          <w:top w:w="0" w:type="dxa"/>
          <w:left w:w="0" w:type="dxa"/>
          <w:bottom w:w="0" w:type="dxa"/>
          <w:right w:w="0" w:type="dxa"/>
        </w:tblCellMar>
      </w:tblPr>
      <w:tr>
        <w:trPr>
          <w:trHeight w:val="237"/>
        </w:trPr>
        <w:tc>
          <w:tcPr>
            <w:tcW w:w="310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88"/>
              </w:rPr>
              <w:t>Years ended December 31,</w:t>
            </w:r>
          </w:p>
        </w:tc>
        <w:tc>
          <w:tcPr>
            <w:tcW w:w="3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r>
      <w:tr>
        <w:trPr>
          <w:trHeight w:val="237"/>
        </w:trPr>
        <w:tc>
          <w:tcPr>
            <w:tcW w:w="3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(Dollars in millions)</w:t>
            </w:r>
          </w:p>
        </w:tc>
        <w:tc>
          <w:tcPr>
            <w:tcW w:w="6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2007</w:t>
            </w:r>
          </w:p>
        </w:tc>
        <w:tc>
          <w:tcPr>
            <w:tcW w:w="7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rPr>
              <w:t>2006</w:t>
            </w:r>
          </w:p>
        </w:tc>
        <w:tc>
          <w:tcPr>
            <w:tcW w:w="3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2005</w:t>
            </w:r>
          </w:p>
        </w:tc>
      </w:tr>
      <w:tr>
        <w:trPr>
          <w:trHeight w:val="230"/>
        </w:trPr>
        <w:tc>
          <w:tcPr>
            <w:tcW w:w="3100" w:type="dxa"/>
            <w:vAlign w:val="bottom"/>
          </w:tcPr>
          <w:p>
            <w:pPr>
              <w:spacing w:after="0"/>
              <w:rPr>
                <w:sz w:val="20"/>
                <w:szCs w:val="20"/>
                <w:color w:val="auto"/>
              </w:rPr>
            </w:pPr>
            <w:r>
              <w:rPr>
                <w:rFonts w:ascii="Arial" w:cs="Arial" w:eastAsia="Arial" w:hAnsi="Arial"/>
                <w:sz w:val="18"/>
                <w:szCs w:val="18"/>
                <w:color w:val="auto"/>
              </w:rPr>
              <w:t>Balance at January 1</w:t>
            </w: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1,913</w:t>
            </w: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450"/>
              <w:spacing w:after="0"/>
              <w:rPr>
                <w:sz w:val="20"/>
                <w:szCs w:val="20"/>
                <w:color w:val="auto"/>
              </w:rPr>
            </w:pPr>
            <w:r>
              <w:rPr>
                <w:rFonts w:ascii="Arial" w:cs="Arial" w:eastAsia="Arial" w:hAnsi="Arial"/>
                <w:sz w:val="18"/>
                <w:szCs w:val="18"/>
                <w:color w:val="auto"/>
              </w:rPr>
              <w:t>1,488</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1,193</w:t>
            </w:r>
          </w:p>
        </w:tc>
      </w:tr>
      <w:tr>
        <w:trPr>
          <w:trHeight w:val="242"/>
        </w:trPr>
        <w:tc>
          <w:tcPr>
            <w:tcW w:w="3100" w:type="dxa"/>
            <w:vAlign w:val="bottom"/>
          </w:tcPr>
          <w:p>
            <w:pPr>
              <w:spacing w:after="0"/>
              <w:rPr>
                <w:sz w:val="20"/>
                <w:szCs w:val="20"/>
                <w:color w:val="auto"/>
              </w:rPr>
            </w:pPr>
            <w:r>
              <w:rPr>
                <w:rFonts w:ascii="Arial" w:cs="Arial" w:eastAsia="Arial" w:hAnsi="Arial"/>
                <w:sz w:val="18"/>
                <w:szCs w:val="18"/>
                <w:color w:val="auto"/>
              </w:rPr>
              <w:t>Additions</w:t>
            </w:r>
          </w:p>
        </w:tc>
        <w:tc>
          <w:tcPr>
            <w:tcW w:w="6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2,252</w:t>
            </w:r>
          </w:p>
        </w:tc>
        <w:tc>
          <w:tcPr>
            <w:tcW w:w="740" w:type="dxa"/>
            <w:vAlign w:val="bottom"/>
          </w:tcPr>
          <w:p>
            <w:pPr>
              <w:spacing w:after="0"/>
              <w:rPr>
                <w:sz w:val="21"/>
                <w:szCs w:val="21"/>
                <w:color w:val="auto"/>
              </w:rPr>
            </w:pPr>
          </w:p>
        </w:tc>
        <w:tc>
          <w:tcPr>
            <w:tcW w:w="1380" w:type="dxa"/>
            <w:vAlign w:val="bottom"/>
          </w:tcPr>
          <w:p>
            <w:pPr>
              <w:jc w:val="right"/>
              <w:ind w:right="450"/>
              <w:spacing w:after="0"/>
              <w:rPr>
                <w:sz w:val="20"/>
                <w:szCs w:val="20"/>
                <w:color w:val="auto"/>
              </w:rPr>
            </w:pPr>
            <w:r>
              <w:rPr>
                <w:rFonts w:ascii="Arial" w:cs="Arial" w:eastAsia="Arial" w:hAnsi="Arial"/>
                <w:sz w:val="18"/>
                <w:szCs w:val="18"/>
                <w:color w:val="auto"/>
              </w:rPr>
              <w:t>3,069</w:t>
            </w:r>
          </w:p>
        </w:tc>
        <w:tc>
          <w:tcPr>
            <w:tcW w:w="380" w:type="dxa"/>
            <w:vAlign w:val="bottom"/>
          </w:tcPr>
          <w:p>
            <w:pPr>
              <w:spacing w:after="0"/>
              <w:rPr>
                <w:sz w:val="21"/>
                <w:szCs w:val="21"/>
                <w:color w:val="auto"/>
              </w:rPr>
            </w:pP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1,241</w:t>
            </w:r>
          </w:p>
        </w:tc>
      </w:tr>
      <w:tr>
        <w:trPr>
          <w:trHeight w:val="243"/>
        </w:trPr>
        <w:tc>
          <w:tcPr>
            <w:tcW w:w="3100" w:type="dxa"/>
            <w:vAlign w:val="bottom"/>
          </w:tcPr>
          <w:p>
            <w:pPr>
              <w:spacing w:after="0"/>
              <w:rPr>
                <w:sz w:val="20"/>
                <w:szCs w:val="20"/>
                <w:color w:val="auto"/>
              </w:rPr>
            </w:pPr>
            <w:r>
              <w:rPr>
                <w:rFonts w:ascii="Arial" w:cs="Arial" w:eastAsia="Arial" w:hAnsi="Arial"/>
                <w:sz w:val="18"/>
                <w:szCs w:val="18"/>
                <w:color w:val="auto"/>
              </w:rPr>
              <w:t>Realized</w:t>
            </w:r>
          </w:p>
        </w:tc>
        <w:tc>
          <w:tcPr>
            <w:tcW w:w="6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(2,981 )</w:t>
            </w:r>
          </w:p>
        </w:tc>
        <w:tc>
          <w:tcPr>
            <w:tcW w:w="740" w:type="dxa"/>
            <w:vAlign w:val="bottom"/>
          </w:tcPr>
          <w:p>
            <w:pPr>
              <w:spacing w:after="0"/>
              <w:rPr>
                <w:sz w:val="21"/>
                <w:szCs w:val="21"/>
                <w:color w:val="auto"/>
              </w:rPr>
            </w:pPr>
          </w:p>
        </w:tc>
        <w:tc>
          <w:tcPr>
            <w:tcW w:w="1380" w:type="dxa"/>
            <w:vAlign w:val="bottom"/>
          </w:tcPr>
          <w:p>
            <w:pPr>
              <w:jc w:val="right"/>
              <w:ind w:right="370"/>
              <w:spacing w:after="0"/>
              <w:rPr>
                <w:sz w:val="20"/>
                <w:szCs w:val="20"/>
                <w:color w:val="auto"/>
              </w:rPr>
            </w:pPr>
            <w:r>
              <w:rPr>
                <w:rFonts w:ascii="Arial" w:cs="Arial" w:eastAsia="Arial" w:hAnsi="Arial"/>
                <w:sz w:val="18"/>
                <w:szCs w:val="18"/>
                <w:color w:val="auto"/>
              </w:rPr>
              <w:t>(2,644 )</w:t>
            </w:r>
          </w:p>
        </w:tc>
        <w:tc>
          <w:tcPr>
            <w:tcW w:w="38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(946 )</w:t>
            </w:r>
          </w:p>
        </w:tc>
      </w:tr>
      <w:tr>
        <w:trPr>
          <w:trHeight w:val="257"/>
        </w:trPr>
        <w:tc>
          <w:tcPr>
            <w:tcW w:w="3100" w:type="dxa"/>
            <w:vAlign w:val="bottom"/>
          </w:tcPr>
          <w:p>
            <w:pPr>
              <w:spacing w:after="0"/>
              <w:rPr>
                <w:sz w:val="20"/>
                <w:szCs w:val="20"/>
                <w:color w:val="auto"/>
              </w:rPr>
            </w:pPr>
            <w:r>
              <w:rPr>
                <w:rFonts w:ascii="Arial" w:cs="Arial" w:eastAsia="Arial" w:hAnsi="Arial"/>
                <w:sz w:val="18"/>
                <w:szCs w:val="18"/>
                <w:color w:val="auto"/>
              </w:rPr>
              <w:t>SFAS 157 cumulative effect*</w:t>
            </w:r>
          </w:p>
        </w:tc>
        <w:tc>
          <w:tcPr>
            <w:tcW w:w="6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w:t>
            </w:r>
          </w:p>
        </w:tc>
        <w:tc>
          <w:tcPr>
            <w:tcW w:w="7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r>
      <w:tr>
        <w:trPr>
          <w:trHeight w:val="224"/>
        </w:trPr>
        <w:tc>
          <w:tcPr>
            <w:tcW w:w="3100" w:type="dxa"/>
            <w:vAlign w:val="bottom"/>
          </w:tcPr>
          <w:p>
            <w:pPr>
              <w:spacing w:after="0"/>
              <w:rPr>
                <w:sz w:val="20"/>
                <w:szCs w:val="20"/>
                <w:color w:val="auto"/>
              </w:rPr>
            </w:pPr>
            <w:r>
              <w:rPr>
                <w:rFonts w:ascii="Arial" w:cs="Arial" w:eastAsia="Arial" w:hAnsi="Arial"/>
                <w:sz w:val="18"/>
                <w:szCs w:val="18"/>
                <w:color w:val="auto"/>
              </w:rPr>
              <w:t>Balance at December 31</w:t>
            </w: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1,203</w:t>
            </w: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450"/>
              <w:spacing w:after="0"/>
              <w:rPr>
                <w:sz w:val="20"/>
                <w:szCs w:val="20"/>
                <w:color w:val="auto"/>
              </w:rPr>
            </w:pPr>
            <w:r>
              <w:rPr>
                <w:rFonts w:ascii="Arial" w:cs="Arial" w:eastAsia="Arial" w:hAnsi="Arial"/>
                <w:sz w:val="18"/>
                <w:szCs w:val="18"/>
                <w:color w:val="auto"/>
              </w:rPr>
              <w:t>1,913</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1,488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1042670</wp:posOffset>
            </wp:positionH>
            <wp:positionV relativeFrom="paragraph">
              <wp:posOffset>8255</wp:posOffset>
            </wp:positionV>
            <wp:extent cx="517969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79695" cy="26035"/>
                    </a:xfrm>
                    <a:prstGeom prst="rect">
                      <a:avLst/>
                    </a:prstGeom>
                    <a:noFill/>
                  </pic:spPr>
                </pic:pic>
              </a:graphicData>
            </a:graphic>
          </wp:anchor>
        </w:drawing>
      </w:r>
    </w:p>
    <w:p>
      <w:pPr>
        <w:spacing w:after="0" w:line="32" w:lineRule="exact"/>
        <w:rPr>
          <w:sz w:val="20"/>
          <w:szCs w:val="20"/>
          <w:color w:val="auto"/>
        </w:rPr>
      </w:pPr>
    </w:p>
    <w:p>
      <w:pPr>
        <w:ind w:left="1940" w:right="2220" w:hanging="291"/>
        <w:spacing w:after="0" w:line="277" w:lineRule="auto"/>
        <w:tabs>
          <w:tab w:leader="none" w:pos="19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Notes 2 and 11 of the Notes to Consolidated Financial Statements provide additional information on Statement of Financial Accounting Standards (SFAS) 157.</w:t>
      </w:r>
    </w:p>
    <w:p>
      <w:pPr>
        <w:spacing w:after="0" w:line="208" w:lineRule="exact"/>
        <w:rPr>
          <w:sz w:val="20"/>
          <w:szCs w:val="20"/>
          <w:color w:val="auto"/>
        </w:rPr>
      </w:pPr>
    </w:p>
    <w:p>
      <w:pPr>
        <w:ind w:right="1120"/>
        <w:spacing w:after="0" w:line="260" w:lineRule="auto"/>
        <w:rPr>
          <w:sz w:val="20"/>
          <w:szCs w:val="20"/>
          <w:color w:val="auto"/>
        </w:rPr>
      </w:pPr>
      <w:r>
        <w:rPr>
          <w:rFonts w:ascii="Arial" w:cs="Arial" w:eastAsia="Arial" w:hAnsi="Arial"/>
          <w:sz w:val="20"/>
          <w:szCs w:val="20"/>
          <w:color w:val="auto"/>
        </w:rPr>
        <w:t>The estimated fair values as of December 31, 2007, and the scheduled maturities related to the unrealized revenues are (dollars in millions):</w:t>
      </w:r>
    </w:p>
    <w:p>
      <w:pPr>
        <w:spacing w:after="0" w:line="247" w:lineRule="exact"/>
        <w:rPr>
          <w:sz w:val="20"/>
          <w:szCs w:val="20"/>
          <w:color w:val="auto"/>
        </w:rPr>
      </w:pPr>
    </w:p>
    <w:tbl>
      <w:tblPr>
        <w:tblLayout w:type="fixed"/>
        <w:tblInd w:w="1240" w:type="dxa"/>
        <w:tblCellMar>
          <w:top w:w="0" w:type="dxa"/>
          <w:left w:w="0" w:type="dxa"/>
          <w:bottom w:w="0" w:type="dxa"/>
          <w:right w:w="0" w:type="dxa"/>
        </w:tblCellMar>
      </w:tblPr>
      <w:tr>
        <w:trPr>
          <w:trHeight w:val="244"/>
        </w:trPr>
        <w:tc>
          <w:tcPr>
            <w:tcW w:w="3000" w:type="dxa"/>
            <w:vAlign w:val="bottom"/>
          </w:tcPr>
          <w:p>
            <w:pPr>
              <w:spacing w:after="0"/>
              <w:rPr>
                <w:sz w:val="21"/>
                <w:szCs w:val="21"/>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color w:val="auto"/>
              </w:rPr>
              <w:t>Fair Market</w:t>
            </w:r>
          </w:p>
        </w:tc>
        <w:tc>
          <w:tcPr>
            <w:tcW w:w="4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252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8"/>
                <w:szCs w:val="18"/>
                <w:color w:val="auto"/>
                <w:w w:val="94"/>
              </w:rPr>
              <w:t>Scheduled Maturity (in months)</w:t>
            </w:r>
          </w:p>
        </w:tc>
        <w:tc>
          <w:tcPr>
            <w:tcW w:w="3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r>
      <w:tr>
        <w:trPr>
          <w:trHeight w:val="230"/>
        </w:trPr>
        <w:tc>
          <w:tcPr>
            <w:tcW w:w="3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Source of fair value</w:t>
            </w: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Value</w:t>
            </w:r>
          </w:p>
        </w:tc>
        <w:tc>
          <w:tcPr>
            <w:tcW w:w="4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0-12</w:t>
            </w:r>
          </w:p>
        </w:tc>
        <w:tc>
          <w:tcPr>
            <w:tcW w:w="4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13-24</w:t>
            </w:r>
          </w:p>
        </w:tc>
        <w:tc>
          <w:tcPr>
            <w:tcW w:w="3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25-36</w:t>
            </w:r>
          </w:p>
        </w:tc>
        <w:tc>
          <w:tcPr>
            <w:tcW w:w="3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&gt;36</w:t>
            </w:r>
          </w:p>
        </w:tc>
      </w:tr>
      <w:tr>
        <w:trPr>
          <w:trHeight w:val="215"/>
        </w:trPr>
        <w:tc>
          <w:tcPr>
            <w:tcW w:w="3000" w:type="dxa"/>
            <w:vAlign w:val="bottom"/>
          </w:tcPr>
          <w:p>
            <w:pPr>
              <w:ind w:left="20"/>
              <w:spacing w:after="0"/>
              <w:rPr>
                <w:sz w:val="20"/>
                <w:szCs w:val="20"/>
                <w:color w:val="auto"/>
              </w:rPr>
            </w:pPr>
            <w:r>
              <w:rPr>
                <w:rFonts w:ascii="Arial" w:cs="Arial" w:eastAsia="Arial" w:hAnsi="Arial"/>
                <w:sz w:val="18"/>
                <w:szCs w:val="18"/>
                <w:color w:val="auto"/>
              </w:rPr>
              <w:t>Over-the-counter (OTC) fair</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3000" w:type="dxa"/>
            <w:vAlign w:val="bottom"/>
          </w:tcPr>
          <w:p>
            <w:pPr>
              <w:ind w:left="120"/>
              <w:spacing w:after="0"/>
              <w:rPr>
                <w:sz w:val="20"/>
                <w:szCs w:val="20"/>
                <w:color w:val="auto"/>
              </w:rPr>
            </w:pPr>
            <w:r>
              <w:rPr>
                <w:rFonts w:ascii="Arial" w:cs="Arial" w:eastAsia="Arial" w:hAnsi="Arial"/>
                <w:sz w:val="18"/>
                <w:szCs w:val="18"/>
                <w:color w:val="auto"/>
              </w:rPr>
              <w:t>value of forwards, swaps and</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0"/>
        </w:trPr>
        <w:tc>
          <w:tcPr>
            <w:tcW w:w="3000" w:type="dxa"/>
            <w:vAlign w:val="bottom"/>
          </w:tcPr>
          <w:p>
            <w:pPr>
              <w:ind w:left="120"/>
              <w:spacing w:after="0"/>
              <w:rPr>
                <w:sz w:val="20"/>
                <w:szCs w:val="20"/>
                <w:color w:val="auto"/>
              </w:rPr>
            </w:pPr>
            <w:r>
              <w:rPr>
                <w:rFonts w:ascii="Arial" w:cs="Arial" w:eastAsia="Arial" w:hAnsi="Arial"/>
                <w:sz w:val="18"/>
                <w:szCs w:val="18"/>
                <w:color w:val="auto"/>
              </w:rPr>
              <w:t>options*</w:t>
            </w:r>
          </w:p>
        </w:tc>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1,381</w:t>
            </w:r>
          </w:p>
        </w:tc>
        <w:tc>
          <w:tcPr>
            <w:tcW w:w="4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1,074</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90"/>
              <w:spacing w:after="0"/>
              <w:rPr>
                <w:sz w:val="20"/>
                <w:szCs w:val="20"/>
                <w:color w:val="auto"/>
              </w:rPr>
            </w:pPr>
            <w:r>
              <w:rPr>
                <w:rFonts w:ascii="Arial" w:cs="Arial" w:eastAsia="Arial" w:hAnsi="Arial"/>
                <w:sz w:val="18"/>
                <w:szCs w:val="18"/>
                <w:color w:val="auto"/>
              </w:rPr>
              <w:t>95</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90"/>
              <w:spacing w:after="0"/>
              <w:rPr>
                <w:sz w:val="20"/>
                <w:szCs w:val="20"/>
                <w:color w:val="auto"/>
              </w:rPr>
            </w:pPr>
            <w:r>
              <w:rPr>
                <w:rFonts w:ascii="Arial" w:cs="Arial" w:eastAsia="Arial" w:hAnsi="Arial"/>
                <w:sz w:val="18"/>
                <w:szCs w:val="18"/>
                <w:color w:val="auto"/>
              </w:rPr>
              <w:t>23</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30"/>
              <w:spacing w:after="0"/>
              <w:rPr>
                <w:sz w:val="20"/>
                <w:szCs w:val="20"/>
                <w:color w:val="auto"/>
              </w:rPr>
            </w:pPr>
            <w:r>
              <w:rPr>
                <w:rFonts w:ascii="Arial" w:cs="Arial" w:eastAsia="Arial" w:hAnsi="Arial"/>
                <w:sz w:val="18"/>
                <w:szCs w:val="18"/>
                <w:color w:val="auto"/>
              </w:rPr>
              <w:t>189</w:t>
            </w:r>
          </w:p>
        </w:tc>
      </w:tr>
      <w:tr>
        <w:trPr>
          <w:trHeight w:val="257"/>
        </w:trPr>
        <w:tc>
          <w:tcPr>
            <w:tcW w:w="3000" w:type="dxa"/>
            <w:vAlign w:val="bottom"/>
          </w:tcPr>
          <w:p>
            <w:pPr>
              <w:ind w:left="20"/>
              <w:spacing w:after="0"/>
              <w:rPr>
                <w:sz w:val="20"/>
                <w:szCs w:val="20"/>
                <w:color w:val="auto"/>
              </w:rPr>
            </w:pPr>
            <w:r>
              <w:rPr>
                <w:rFonts w:ascii="Arial" w:cs="Arial" w:eastAsia="Arial" w:hAnsi="Arial"/>
                <w:sz w:val="18"/>
                <w:szCs w:val="18"/>
                <w:color w:val="auto"/>
              </w:rPr>
              <w:t>Exchange contracts**</w:t>
            </w: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(178 )</w:t>
            </w:r>
          </w:p>
        </w:tc>
        <w:tc>
          <w:tcPr>
            <w:tcW w:w="4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(274 )</w:t>
            </w:r>
          </w:p>
        </w:tc>
        <w:tc>
          <w:tcPr>
            <w:tcW w:w="4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118</w:t>
            </w:r>
          </w:p>
        </w:tc>
        <w:tc>
          <w:tcPr>
            <w:tcW w:w="3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(7 )</w:t>
            </w:r>
          </w:p>
        </w:tc>
        <w:tc>
          <w:tcPr>
            <w:tcW w:w="3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(15 )</w:t>
            </w:r>
          </w:p>
        </w:tc>
      </w:tr>
      <w:tr>
        <w:trPr>
          <w:trHeight w:val="224"/>
        </w:trPr>
        <w:tc>
          <w:tcPr>
            <w:tcW w:w="3000" w:type="dxa"/>
            <w:vAlign w:val="bottom"/>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1,203</w:t>
            </w:r>
          </w:p>
        </w:tc>
        <w:tc>
          <w:tcPr>
            <w:tcW w:w="4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800</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90"/>
              <w:spacing w:after="0"/>
              <w:rPr>
                <w:sz w:val="20"/>
                <w:szCs w:val="20"/>
                <w:color w:val="auto"/>
              </w:rPr>
            </w:pPr>
            <w:r>
              <w:rPr>
                <w:rFonts w:ascii="Arial" w:cs="Arial" w:eastAsia="Arial" w:hAnsi="Arial"/>
                <w:sz w:val="18"/>
                <w:szCs w:val="18"/>
                <w:color w:val="auto"/>
              </w:rPr>
              <w:t>213</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90"/>
              <w:spacing w:after="0"/>
              <w:rPr>
                <w:sz w:val="20"/>
                <w:szCs w:val="20"/>
                <w:color w:val="auto"/>
              </w:rPr>
            </w:pPr>
            <w:r>
              <w:rPr>
                <w:rFonts w:ascii="Arial" w:cs="Arial" w:eastAsia="Arial" w:hAnsi="Arial"/>
                <w:sz w:val="18"/>
                <w:szCs w:val="18"/>
                <w:color w:val="auto"/>
              </w:rPr>
              <w:t>16</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30"/>
              <w:spacing w:after="0"/>
              <w:rPr>
                <w:sz w:val="20"/>
                <w:szCs w:val="20"/>
                <w:color w:val="auto"/>
              </w:rPr>
            </w:pPr>
            <w:r>
              <w:rPr>
                <w:rFonts w:ascii="Arial" w:cs="Arial" w:eastAsia="Arial" w:hAnsi="Arial"/>
                <w:sz w:val="18"/>
                <w:szCs w:val="18"/>
                <w:color w:val="auto"/>
              </w:rPr>
              <w:t>174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785495</wp:posOffset>
            </wp:positionH>
            <wp:positionV relativeFrom="paragraph">
              <wp:posOffset>8255</wp:posOffset>
            </wp:positionV>
            <wp:extent cx="568579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85790" cy="26035"/>
                    </a:xfrm>
                    <a:prstGeom prst="rect">
                      <a:avLst/>
                    </a:prstGeom>
                    <a:noFill/>
                  </pic:spPr>
                </pic:pic>
              </a:graphicData>
            </a:graphic>
          </wp:anchor>
        </w:drawing>
      </w:r>
    </w:p>
    <w:p>
      <w:pPr>
        <w:spacing w:after="0" w:line="32" w:lineRule="exact"/>
        <w:rPr>
          <w:sz w:val="20"/>
          <w:szCs w:val="20"/>
          <w:color w:val="auto"/>
        </w:rPr>
      </w:pPr>
    </w:p>
    <w:p>
      <w:pPr>
        <w:ind w:left="1600" w:hanging="115"/>
        <w:spacing w:after="0"/>
        <w:tabs>
          <w:tab w:leader="none" w:pos="16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present value of unrealized revenue to be received from outstanding OTC contracts.</w:t>
      </w:r>
    </w:p>
    <w:p>
      <w:pPr>
        <w:spacing w:after="0" w:line="36" w:lineRule="exact"/>
        <w:rPr>
          <w:rFonts w:ascii="Arial" w:cs="Arial" w:eastAsia="Arial" w:hAnsi="Arial"/>
          <w:sz w:val="18"/>
          <w:szCs w:val="18"/>
          <w:color w:val="auto"/>
        </w:rPr>
      </w:pPr>
    </w:p>
    <w:p>
      <w:pPr>
        <w:ind w:left="1600" w:hanging="205"/>
        <w:spacing w:after="0"/>
        <w:tabs>
          <w:tab w:leader="none" w:pos="16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Cash received (paid) associated with open exchange contracts.</w:t>
      </w:r>
    </w:p>
    <w:p>
      <w:pPr>
        <w:spacing w:after="0" w:line="26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Generation</w:t>
      </w:r>
    </w:p>
    <w:p>
      <w:pPr>
        <w:spacing w:after="0" w:line="243"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Sempra Generation recorded net income of $162 million, $375 million and $149 million in 2007, 2006 and 2005, respectively. Results for 2006 included a $204 million gain from the sale of the Topaz power plants and $6 million of related operational earnings, and $16 million of earnings related to the construction of the Palomar generating facility for SDG&amp;E, offset by $18 million of litigation expense primarily related to the April 2006 DWR arbitration decision, which is discussed in Note 16 of the Notes to Consolidated Financial Statements.</w:t>
      </w:r>
    </w:p>
    <w:p>
      <w:pPr>
        <w:spacing w:after="0" w:line="189" w:lineRule="exact"/>
        <w:rPr>
          <w:sz w:val="20"/>
          <w:szCs w:val="20"/>
          <w:color w:val="auto"/>
        </w:rPr>
      </w:pPr>
    </w:p>
    <w:p>
      <w:pPr>
        <w:ind w:right="40"/>
        <w:spacing w:after="0" w:line="246" w:lineRule="auto"/>
        <w:rPr>
          <w:sz w:val="20"/>
          <w:szCs w:val="20"/>
          <w:color w:val="auto"/>
        </w:rPr>
      </w:pPr>
      <w:r>
        <w:rPr>
          <w:rFonts w:ascii="Arial" w:cs="Arial" w:eastAsia="Arial" w:hAnsi="Arial"/>
          <w:sz w:val="20"/>
          <w:szCs w:val="20"/>
          <w:color w:val="auto"/>
        </w:rPr>
        <w:t>In addition to the gain on the sale of the Topaz power plants and the litigation reserves related to the DWR arbitration decision, the change in 2006 compared to 2005 was also due to a 2005 impairment loss of $38 million related to the write-down of unused gas and steam turbines, and in 2006, $23 million of higher interest income, offset by a $35 million decrease in mark-to-market earnings on long-term forward contracts with Sempra Commodities for the sale of power during 2007 to 2012.</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1380"/>
          </w:cols>
          <w:pgMar w:left="240" w:top="121" w:right="279" w:bottom="1440" w:gutter="0" w:footer="0" w:header="0"/>
        </w:sectPr>
      </w:pPr>
    </w:p>
    <w:bookmarkStart w:id="81" w:name="page82"/>
    <w:bookmarkEnd w:id="81"/>
    <w:p>
      <w:pPr>
        <w:spacing w:after="0"/>
        <w:rPr>
          <w:sz w:val="20"/>
          <w:szCs w:val="20"/>
          <w:color w:val="auto"/>
        </w:rPr>
      </w:pPr>
      <w:r>
        <w:rPr>
          <w:rFonts w:ascii="Arial" w:cs="Arial" w:eastAsia="Arial" w:hAnsi="Arial"/>
          <w:sz w:val="20"/>
          <w:szCs w:val="20"/>
          <w:b w:val="1"/>
          <w:bCs w:val="1"/>
          <w:i w:val="1"/>
          <w:iCs w:val="1"/>
          <w:color w:val="auto"/>
        </w:rPr>
        <w:t>Sempra Pipelines &amp; Storage</w:t>
      </w:r>
    </w:p>
    <w:p>
      <w:pPr>
        <w:spacing w:after="0" w:line="244" w:lineRule="exact"/>
        <w:rPr>
          <w:sz w:val="20"/>
          <w:szCs w:val="20"/>
          <w:color w:val="auto"/>
        </w:rPr>
      </w:pPr>
    </w:p>
    <w:p>
      <w:pPr>
        <w:ind w:right="180"/>
        <w:spacing w:after="0" w:line="250" w:lineRule="auto"/>
        <w:rPr>
          <w:sz w:val="20"/>
          <w:szCs w:val="20"/>
          <w:color w:val="auto"/>
        </w:rPr>
      </w:pPr>
      <w:r>
        <w:rPr>
          <w:rFonts w:ascii="Arial" w:cs="Arial" w:eastAsia="Arial" w:hAnsi="Arial"/>
          <w:sz w:val="20"/>
          <w:szCs w:val="20"/>
          <w:color w:val="auto"/>
        </w:rPr>
        <w:t>Net income (loss) for Sempra Pipelines &amp; Storage was $64 million, $(165) million and $64 million in 2007, 2006 and 2005, respectively. The decrease in 2006 was primarily due to a $221 million impairment loss associated with the decision to sell its Argentine investments and $24 million of income tax expense related to repatriation of foreign earnings.</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LNG</w:t>
      </w:r>
    </w:p>
    <w:p>
      <w:pPr>
        <w:spacing w:after="0" w:line="243" w:lineRule="exact"/>
        <w:rPr>
          <w:sz w:val="20"/>
          <w:szCs w:val="20"/>
          <w:color w:val="auto"/>
        </w:rPr>
      </w:pPr>
    </w:p>
    <w:p>
      <w:pPr>
        <w:ind w:right="60"/>
        <w:spacing w:after="0" w:line="328" w:lineRule="auto"/>
        <w:rPr>
          <w:sz w:val="20"/>
          <w:szCs w:val="20"/>
          <w:color w:val="auto"/>
        </w:rPr>
      </w:pPr>
      <w:r>
        <w:rPr>
          <w:rFonts w:ascii="Arial" w:cs="Arial" w:eastAsia="Arial" w:hAnsi="Arial"/>
          <w:sz w:val="16"/>
          <w:szCs w:val="16"/>
          <w:color w:val="auto"/>
        </w:rPr>
        <w:t>Sempra LNG recorded net losses of $46 million, $42 million and $25 million in 2007, 2006 and 2005, respectively. The increased loss in 2007 compared to 2006 was due to a $2 million increase in mark-to-market loss related to a natural gas marketing agreement with Sempra Commodities and higher development and general and administrative expenses. The increased loss in 2006 compared to 2005 was due to a $13 million mark-to-market loss related to the natural gas marketing agreement and higher development and general and administrative expenses.</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Parent and Other</w:t>
      </w:r>
    </w:p>
    <w:p>
      <w:pPr>
        <w:spacing w:after="0" w:line="243" w:lineRule="exact"/>
        <w:rPr>
          <w:sz w:val="20"/>
          <w:szCs w:val="20"/>
          <w:color w:val="auto"/>
        </w:rPr>
      </w:pPr>
    </w:p>
    <w:p>
      <w:pPr>
        <w:ind w:right="60"/>
        <w:spacing w:after="0" w:line="272" w:lineRule="auto"/>
        <w:rPr>
          <w:sz w:val="20"/>
          <w:szCs w:val="20"/>
          <w:color w:val="auto"/>
        </w:rPr>
      </w:pPr>
      <w:r>
        <w:rPr>
          <w:rFonts w:ascii="Arial" w:cs="Arial" w:eastAsia="Arial" w:hAnsi="Arial"/>
          <w:sz w:val="18"/>
          <w:szCs w:val="18"/>
          <w:color w:val="auto"/>
        </w:rPr>
        <w:t>Net losses for Parent and Other were $67 million, $41 million and $208 million in 2007, 2006 and 2005, respectively. Net losses consist primarily of interest expense, litigation expense and tax-related adjustments. Interest expense was $82 million, $101 million and $104 million for 2007, 2006 and 2005, respectively. The increase in net loss for 2007 was due to a $38 million favorable resolution of a state income tax matter in 2006, $12 million for contributions to fund the Sempra Energy Foundation (a private charitable foundation) in 2007 and $8 million in interest income related to an insurance claim in 2006, partially offset by $26 million lower net interest expense in 2007 primarily due to the 2006 Sempra Generation asset sales and a $14 million net gain from interest-rate swaps. The decrease in net losses in 2006 compared to 2005 was due to $193 million of California energy crisis litigation reserves recorded in 2005, the favorable resolution of a s tate income tax matter in 2006 and interest income from the insurance claim at PE in 2006, offset by the $42 million favorable resolution of prior years' income tax issues in 2005 and $24 million lower 2006 affordable-housing credits at Sempra Financial.</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Book Value Per Share</w:t>
      </w:r>
    </w:p>
    <w:p>
      <w:pPr>
        <w:spacing w:after="0" w:line="249"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Book value per share was $31.93, $28.67 and $23.95, at December 31, 2007, 2006 and 2005, respectively. The increases in 2007 and 2006 were primarily the result of comprehensive income exceeding dividends.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CAPITAL RESOURCES AND LIQUIDITY</w:t>
      </w:r>
    </w:p>
    <w:p>
      <w:pPr>
        <w:spacing w:after="0" w:line="249" w:lineRule="exact"/>
        <w:rPr>
          <w:sz w:val="20"/>
          <w:szCs w:val="20"/>
          <w:color w:val="auto"/>
        </w:rPr>
      </w:pPr>
    </w:p>
    <w:p>
      <w:pPr>
        <w:ind w:right="60"/>
        <w:spacing w:after="0" w:line="260" w:lineRule="auto"/>
        <w:rPr>
          <w:sz w:val="20"/>
          <w:szCs w:val="20"/>
          <w:color w:val="auto"/>
        </w:rPr>
      </w:pPr>
      <w:r>
        <w:rPr>
          <w:rFonts w:ascii="Arial" w:cs="Arial" w:eastAsia="Arial" w:hAnsi="Arial"/>
          <w:sz w:val="19"/>
          <w:szCs w:val="19"/>
          <w:color w:val="auto"/>
        </w:rPr>
        <w:t>A substantial portion of the funding of the company's capital expenditures and its ability to pay dividends is dependent on the relatively stable pattern of earnings by the Sempra Utilities and Sempra Generation's long-term power sale contracts. However, in order to fund a significant capital expenditures program, SDG&amp;E is not expected to pay common dividends to Sempra Energy over the next few years. The availability of capital for other business operations is also greatly affected by Sempra Commodities' liquidity and margin requirements, which fluctuate substantially. The company's expansion also requires the issuances of securities from time to time.</w:t>
      </w:r>
    </w:p>
    <w:p>
      <w:pPr>
        <w:spacing w:after="0" w:line="208"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At December 31, 2007, the company had $668 million in unrestricted cash and cash equivalents, and $5.2 billion in available unused, committed lines of credit to provide liquidity and support commercial paper. Management believes that these amounts and cash flows from operations and security issuances, combined with current cash balances, will be adequate to finance capital expenditures and meet liquidity</w:t>
      </w:r>
    </w:p>
    <w:p>
      <w:pPr>
        <w:spacing w:after="0" w:line="388" w:lineRule="exact"/>
        <w:rPr>
          <w:sz w:val="20"/>
          <w:szCs w:val="20"/>
          <w:color w:val="auto"/>
        </w:rPr>
      </w:pPr>
    </w:p>
    <w:p>
      <w:pPr>
        <w:spacing w:after="0"/>
        <w:rPr>
          <w:sz w:val="20"/>
          <w:szCs w:val="20"/>
          <w:color w:val="auto"/>
        </w:rPr>
      </w:pPr>
      <w:r>
        <w:rPr>
          <w:rFonts w:ascii="Arial" w:cs="Arial" w:eastAsia="Arial" w:hAnsi="Arial"/>
          <w:sz w:val="20"/>
          <w:szCs w:val="20"/>
          <w:color w:val="auto"/>
        </w:rPr>
        <w:t>14</w:t>
      </w:r>
    </w:p>
    <w:p>
      <w:pPr>
        <w:sectPr>
          <w:pgSz w:w="11900" w:h="16838" w:orient="portrait"/>
          <w:cols w:equalWidth="0" w:num="1">
            <w:col w:w="11420"/>
          </w:cols>
          <w:pgMar w:left="240" w:top="121" w:right="239" w:bottom="1440" w:gutter="0" w:footer="0" w:header="0"/>
        </w:sectPr>
      </w:pPr>
    </w:p>
    <w:bookmarkStart w:id="82" w:name="page83"/>
    <w:bookmarkEnd w:id="82"/>
    <w:p>
      <w:pPr>
        <w:ind w:right="60"/>
        <w:spacing w:after="0" w:line="276" w:lineRule="auto"/>
        <w:rPr>
          <w:sz w:val="20"/>
          <w:szCs w:val="20"/>
          <w:color w:val="auto"/>
        </w:rPr>
      </w:pPr>
      <w:r>
        <w:rPr>
          <w:rFonts w:ascii="Arial" w:cs="Arial" w:eastAsia="Arial" w:hAnsi="Arial"/>
          <w:sz w:val="18"/>
          <w:szCs w:val="18"/>
          <w:color w:val="auto"/>
        </w:rPr>
        <w:t>requirements and to fund shareholder dividends and anticipated share repurchases, any new business acquisitions or start-ups, and other commitments. Forecasted capital expenditures for the next five years are discussed in "Future Construction Expenditures and Investments." If cash flows from operations were to be significantly reduced or the company were to be unable to raise funds under acceptable terms, neither of which is considered likely, the company would be required to reduce non-utility capital expenditures, share repurchases, trading operations and/or investments in new businesses. Management continues to regularly monitor the company's ability to finance the needs of its operating, investing and financing activities in a manner consistent with its intention to maintain strong, investment-quality credit ratings.</w:t>
      </w:r>
    </w:p>
    <w:p>
      <w:pPr>
        <w:spacing w:after="0" w:line="194" w:lineRule="exact"/>
        <w:rPr>
          <w:sz w:val="20"/>
          <w:szCs w:val="20"/>
          <w:color w:val="auto"/>
        </w:rPr>
      </w:pPr>
    </w:p>
    <w:p>
      <w:pPr>
        <w:ind w:right="100"/>
        <w:spacing w:after="0" w:line="255" w:lineRule="auto"/>
        <w:rPr>
          <w:sz w:val="20"/>
          <w:szCs w:val="20"/>
          <w:color w:val="auto"/>
        </w:rPr>
      </w:pPr>
      <w:r>
        <w:rPr>
          <w:rFonts w:ascii="Arial" w:cs="Arial" w:eastAsia="Arial" w:hAnsi="Arial"/>
          <w:sz w:val="19"/>
          <w:szCs w:val="19"/>
          <w:color w:val="auto"/>
        </w:rPr>
        <w:t>As discussed above and in "Factors Influencing Future Performance," the company has entered into an agreement with RBS to form RBS Sempra Commodities LLP (RBS Sempra Commodities), a partnership which will absorb the operations of Sempra Commodities. RBS will provide the joint venture with all growth capital, working-capital requirements and credit support. Accordingly, following the closing of the transaction, the company intends to reduce the amount of available credit under its existing facilities to a level consistent with its reduced liquidity requirements. Also following the closing, the company expects that its board of directors will increase the company’s quarterly common stock dividend to $0.35 per share ($1.40 annually), an increase of $0.03 per share ($0.12 annually) from the $0.32 per share ($1.28 annually) authorized in February 2008, and target an annual dividend payout ratio of 35 percent to 40 percent of net income. As a r esult of the transaction, the company expects to receive proceeds of approximately $1 billion in cash upon closing, net of its investment in the partnership, and to begin a $1 billion purchase program of the company’s common stock. Following the expected completion of this program in 2008, the company intends to continue purchasing common shares in 2009, up to a total of $1.5 billion to $2 billion in purchases, which may require additional borrowings, including a hybrid capital issuance.</w:t>
      </w:r>
    </w:p>
    <w:p>
      <w:pPr>
        <w:spacing w:after="0" w:line="215"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Until completion of the transaction with RBS, Sempra Commodities will continue to provide or require cash as the level of its net trading assets fluctuates with prices, volumes, margin requirements (which are substantially affected by commodity price fluctuations and are dependent on credit ratings) and the length of its various trading positions. At December 31, 2007, Sempra Commodities' intercompany borrowings were $95 million, down from $376 million at December 31, 2006. Sempra Commodities' external debt was $443 million and $201 million at December 31, 2007 and 2006, respectively. Company management continuously monitors the level of Sempra Commodities' cash requirements in light of the company's overall liquidity.</w:t>
      </w:r>
    </w:p>
    <w:p>
      <w:pPr>
        <w:spacing w:after="0" w:line="224" w:lineRule="exact"/>
        <w:rPr>
          <w:sz w:val="20"/>
          <w:szCs w:val="20"/>
          <w:color w:val="auto"/>
        </w:rPr>
      </w:pPr>
    </w:p>
    <w:p>
      <w:pPr>
        <w:ind w:right="20"/>
        <w:spacing w:after="0" w:line="244" w:lineRule="auto"/>
        <w:rPr>
          <w:sz w:val="20"/>
          <w:szCs w:val="20"/>
          <w:color w:val="auto"/>
        </w:rPr>
      </w:pPr>
      <w:r>
        <w:rPr>
          <w:rFonts w:ascii="Arial" w:cs="Arial" w:eastAsia="Arial" w:hAnsi="Arial"/>
          <w:sz w:val="20"/>
          <w:szCs w:val="20"/>
          <w:color w:val="auto"/>
        </w:rPr>
        <w:t>At the Sempra Utilities, cash flows from operations, security issuances and/or capital contributions by Sempra Energy are expected to continue to be adequate to meet utility capital expenditure requirements. As a result of SDG&amp;E's projected capital expenditure program, SDG&amp;E has elected to suspend the payment of dividends on its common stock to Sempra Energy, and the level of future common dividends may be affected during periods of increased capital expenditures. In connection with SDG&amp;E’s purchase of the Palomar generating facility in 2006, the company made a capital contribution of $200 million to SDG&amp;E.</w:t>
      </w:r>
    </w:p>
    <w:p>
      <w:pPr>
        <w:spacing w:after="0" w:line="222"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Sempra Generation's projects have been financed through a combination of operating cash flow, project financing, funds from the company and external borrowings. Its 2006 asset sales provided funds to assist in financing company projects.</w:t>
      </w:r>
    </w:p>
    <w:p>
      <w:pPr>
        <w:spacing w:after="0" w:line="204" w:lineRule="exact"/>
        <w:rPr>
          <w:sz w:val="20"/>
          <w:szCs w:val="20"/>
          <w:color w:val="auto"/>
        </w:rPr>
      </w:pPr>
    </w:p>
    <w:p>
      <w:pPr>
        <w:ind w:right="40"/>
        <w:spacing w:after="0" w:line="291" w:lineRule="auto"/>
        <w:rPr>
          <w:sz w:val="20"/>
          <w:szCs w:val="20"/>
          <w:color w:val="auto"/>
        </w:rPr>
      </w:pPr>
      <w:r>
        <w:rPr>
          <w:rFonts w:ascii="Arial" w:cs="Arial" w:eastAsia="Arial" w:hAnsi="Arial"/>
          <w:sz w:val="18"/>
          <w:szCs w:val="18"/>
          <w:color w:val="auto"/>
        </w:rPr>
        <w:t>Sempra Generation's long-term power sale contracts may contain collateral requirements. The DWR contracts do not contain such requirements. The collateral arrangements provide for Sempra Generation and/or the counterparty to post cash, guarantees or letters of credit to the other party for exposure in excess of established thresholds. Sempra Generation may be required to provide collateral when market</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15</w:t>
      </w:r>
    </w:p>
    <w:p>
      <w:pPr>
        <w:sectPr>
          <w:pgSz w:w="11900" w:h="16838" w:orient="portrait"/>
          <w:cols w:equalWidth="0" w:num="1">
            <w:col w:w="11400"/>
          </w:cols>
          <w:pgMar w:left="240" w:top="121" w:right="259" w:bottom="1440" w:gutter="0" w:footer="0" w:header="0"/>
        </w:sectPr>
      </w:pPr>
    </w:p>
    <w:bookmarkStart w:id="83" w:name="page84"/>
    <w:bookmarkEnd w:id="83"/>
    <w:p>
      <w:pPr>
        <w:ind w:right="460"/>
        <w:spacing w:after="0" w:line="387" w:lineRule="auto"/>
        <w:rPr>
          <w:sz w:val="20"/>
          <w:szCs w:val="20"/>
          <w:color w:val="auto"/>
        </w:rPr>
      </w:pPr>
      <w:r>
        <w:rPr>
          <w:rFonts w:ascii="Arial" w:cs="Arial" w:eastAsia="Arial" w:hAnsi="Arial"/>
          <w:sz w:val="16"/>
          <w:szCs w:val="16"/>
          <w:color w:val="auto"/>
        </w:rPr>
        <w:t>price movements adversely affect the counterparty's cost of replacement energy supplies were Sempra Generation to fail to deliver the contracted amounts. Sempra Generation had no outstanding collateral requirements under these contracts at December 31, 2007 and 2006.</w:t>
      </w:r>
    </w:p>
    <w:p>
      <w:pPr>
        <w:spacing w:after="0" w:line="110" w:lineRule="exact"/>
        <w:rPr>
          <w:sz w:val="20"/>
          <w:szCs w:val="20"/>
          <w:color w:val="auto"/>
        </w:rPr>
      </w:pPr>
    </w:p>
    <w:p>
      <w:pPr>
        <w:spacing w:after="0" w:line="278" w:lineRule="auto"/>
        <w:rPr>
          <w:sz w:val="20"/>
          <w:szCs w:val="20"/>
          <w:color w:val="auto"/>
        </w:rPr>
      </w:pPr>
      <w:r>
        <w:rPr>
          <w:rFonts w:ascii="Arial" w:cs="Arial" w:eastAsia="Arial" w:hAnsi="Arial"/>
          <w:sz w:val="18"/>
          <w:szCs w:val="18"/>
          <w:color w:val="auto"/>
        </w:rPr>
        <w:t>Sempra Pipelines &amp; Storage is expected to require funding from the company or external sources, or both, to continue the expansion of its existing natural gas operations in Mexico, its Liberty Gas Storage (Liberty) facility and other natural gas storage projects, its participation in the development of REX, a natural gas pipeline, and its planned development of pipelines to serve Sempra LNG facilities being developed in Baja California, Mexico; Louisiana and Texas, as discussed in "Capital Expenditures and Investments." The sale of interests in Argentina, as discussed in Note 4 of the Notes to Consolidated Financial Statements, is expected to provide cash for company projects.</w:t>
      </w:r>
    </w:p>
    <w:p>
      <w:pPr>
        <w:spacing w:after="0" w:line="192" w:lineRule="exact"/>
        <w:rPr>
          <w:sz w:val="20"/>
          <w:szCs w:val="20"/>
          <w:color w:val="auto"/>
        </w:rPr>
      </w:pPr>
    </w:p>
    <w:p>
      <w:pPr>
        <w:ind w:right="280"/>
        <w:spacing w:after="0" w:line="246" w:lineRule="auto"/>
        <w:rPr>
          <w:sz w:val="20"/>
          <w:szCs w:val="20"/>
          <w:color w:val="auto"/>
        </w:rPr>
      </w:pPr>
      <w:r>
        <w:rPr>
          <w:rFonts w:ascii="Arial" w:cs="Arial" w:eastAsia="Arial" w:hAnsi="Arial"/>
          <w:sz w:val="20"/>
          <w:szCs w:val="20"/>
          <w:color w:val="auto"/>
        </w:rPr>
        <w:t>Sempra LNG requires funding for its development of LNG receiving facilities. While Sempra LNG's $1.25 billion credit facility and other Sempra Energy sources are expected to be adequate for these requirements, the company may decide to use project financing if management determines its use to be advantageous. As the projects currently under construction are put in service, Sempra LNG is expected to provide operating cash flow for further development.</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color w:val="auto"/>
        </w:rPr>
        <w:t>CASH FLOWS FROM OPERATING ACTIVITIES</w:t>
      </w:r>
    </w:p>
    <w:p>
      <w:pPr>
        <w:spacing w:after="0" w:line="243" w:lineRule="exact"/>
        <w:rPr>
          <w:sz w:val="20"/>
          <w:szCs w:val="20"/>
          <w:color w:val="auto"/>
        </w:rPr>
      </w:pPr>
    </w:p>
    <w:p>
      <w:pPr>
        <w:ind w:right="60"/>
        <w:spacing w:after="0" w:line="243" w:lineRule="auto"/>
        <w:rPr>
          <w:sz w:val="20"/>
          <w:szCs w:val="20"/>
          <w:color w:val="auto"/>
        </w:rPr>
      </w:pPr>
      <w:r>
        <w:rPr>
          <w:rFonts w:ascii="Arial" w:cs="Arial" w:eastAsia="Arial" w:hAnsi="Arial"/>
          <w:sz w:val="20"/>
          <w:szCs w:val="20"/>
          <w:color w:val="auto"/>
        </w:rPr>
        <w:t>Net cash provided by operating activities totaled $2.1 billion, $1.6 billion and $524 million for 2007, 2006 and 2005, respectively. Cash provided by operating activities in 2007 increased by $459 million (28%). The change was primarily due to a $303 million decrease in net trading assets in 2007 compared to a $543 million increase in 2006 and a $190 million increase in income from continuing operations (adjusted for noncash items), offset by an $82 million decrease in accounts payable in 2007 compared to an increase of $227 million in 2006, a $63 million increase in accounts and notes receivable in 2007 compared to a $94 million decrease in 2006 and a $107 million higher increase in other current assets in 2007 compared to 2006.</w:t>
      </w:r>
    </w:p>
    <w:p>
      <w:pPr>
        <w:spacing w:after="0" w:line="224" w:lineRule="exact"/>
        <w:rPr>
          <w:sz w:val="20"/>
          <w:szCs w:val="20"/>
          <w:color w:val="auto"/>
        </w:rPr>
      </w:pPr>
    </w:p>
    <w:p>
      <w:pPr>
        <w:ind w:right="180"/>
        <w:spacing w:after="0" w:line="278" w:lineRule="auto"/>
        <w:rPr>
          <w:sz w:val="20"/>
          <w:szCs w:val="20"/>
          <w:color w:val="auto"/>
        </w:rPr>
      </w:pPr>
      <w:r>
        <w:rPr>
          <w:rFonts w:ascii="Arial" w:cs="Arial" w:eastAsia="Arial" w:hAnsi="Arial"/>
          <w:sz w:val="18"/>
          <w:szCs w:val="18"/>
          <w:color w:val="auto"/>
        </w:rPr>
        <w:t>The increase in cash provided by operating activities in 2006 compared to 2005 was primarily due to a $562 million lower increase in net trading assets in 2006, a $170 million increase in overcollected regulatory balancing accounts in 2006 compared to a $321 million decrease in 2005, a $565 million increase in income from continuing operations (adjusted for noncash items) and a $94 million reduction in accounts receivable in 2006 compared to a $79 million increase in 2005. The increases were offset by a $416 million higher increase in other liabilities in 2005, and a $79 million decrease in current liabilities in 2006 compared to a $189 million increase in 2005.</w:t>
      </w:r>
    </w:p>
    <w:p>
      <w:pPr>
        <w:spacing w:after="0" w:line="192" w:lineRule="exact"/>
        <w:rPr>
          <w:sz w:val="20"/>
          <w:szCs w:val="20"/>
          <w:color w:val="auto"/>
        </w:rPr>
      </w:pPr>
    </w:p>
    <w:p>
      <w:pPr>
        <w:ind w:right="80"/>
        <w:spacing w:after="0" w:line="260" w:lineRule="auto"/>
        <w:rPr>
          <w:sz w:val="20"/>
          <w:szCs w:val="20"/>
          <w:color w:val="auto"/>
        </w:rPr>
      </w:pPr>
      <w:r>
        <w:rPr>
          <w:rFonts w:ascii="Arial" w:cs="Arial" w:eastAsia="Arial" w:hAnsi="Arial"/>
          <w:sz w:val="20"/>
          <w:szCs w:val="20"/>
          <w:color w:val="auto"/>
        </w:rPr>
        <w:t>The company made pension plan and other postretirement benefit plan contributions of $35 million and $45 million, respectively, during 2007, $35 million and $32 million, respectively, during 2006 and $24 million and $45 million, respectively, during 2005.</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CASH FLOWS FROM INVESTING ACTIVITIES</w:t>
      </w:r>
    </w:p>
    <w:p>
      <w:pPr>
        <w:spacing w:after="0" w:line="243" w:lineRule="exact"/>
        <w:rPr>
          <w:sz w:val="20"/>
          <w:szCs w:val="20"/>
          <w:color w:val="auto"/>
        </w:rPr>
      </w:pPr>
    </w:p>
    <w:p>
      <w:pPr>
        <w:ind w:right="140"/>
        <w:spacing w:after="0" w:line="328" w:lineRule="auto"/>
        <w:rPr>
          <w:sz w:val="20"/>
          <w:szCs w:val="20"/>
          <w:color w:val="auto"/>
        </w:rPr>
      </w:pPr>
      <w:r>
        <w:rPr>
          <w:rFonts w:ascii="Arial" w:cs="Arial" w:eastAsia="Arial" w:hAnsi="Arial"/>
          <w:sz w:val="16"/>
          <w:szCs w:val="16"/>
          <w:color w:val="auto"/>
        </w:rPr>
        <w:t>Net cash used in investing activities totaled $2.1 billion, $866 million and $1.2 billion for 2007, 2006 and 2005, respectively. Cash used in investing activities in 2007 increased by $1.2 billion (139%). The change was primarily attributable to activity in 2006, which included $789 million in proceeds from asset sales, primarily the sales of Twin Oaks, the Energy Services and Facilities Management businesses and SEPCO at Sempra Generation, and $404 million in dividends received from unconsolidated affiliates related to the sale of the Topaz power plants.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color w:val="auto"/>
        </w:rPr>
        <w:t>16</w:t>
      </w:r>
    </w:p>
    <w:p>
      <w:pPr>
        <w:sectPr>
          <w:pgSz w:w="11900" w:h="16838" w:orient="portrait"/>
          <w:cols w:equalWidth="0" w:num="1">
            <w:col w:w="11420"/>
          </w:cols>
          <w:pgMar w:left="240" w:top="121" w:right="239" w:bottom="1440" w:gutter="0" w:footer="0" w:header="0"/>
        </w:sectPr>
      </w:pPr>
    </w:p>
    <w:bookmarkStart w:id="84" w:name="page85"/>
    <w:bookmarkEnd w:id="84"/>
    <w:p>
      <w:pPr>
        <w:spacing w:after="0"/>
        <w:rPr>
          <w:sz w:val="20"/>
          <w:szCs w:val="20"/>
          <w:color w:val="auto"/>
        </w:rPr>
      </w:pPr>
      <w:r>
        <w:rPr>
          <w:rFonts w:ascii="Arial" w:cs="Arial" w:eastAsia="Arial" w:hAnsi="Arial"/>
          <w:sz w:val="18"/>
          <w:szCs w:val="18"/>
          <w:color w:val="auto"/>
        </w:rPr>
        <w:t>The decrease in cash used in investing activities in 2006 compared to 2005 was primarily attributable to the proceeds from the asset sales and</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dividends received from unconsolidated subsidiaries in 2006 discussed above, offset by a $530 million increase in capital expenditures and</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$247 million in proceeds from the sale in 2005 of the Bluewater Gas Storage and Pine Prairie Energy Center natural gas storage sites at Sempra</w:t>
      </w:r>
    </w:p>
    <w:p>
      <w:pPr>
        <w:spacing w:after="0" w:line="46" w:lineRule="exact"/>
        <w:rPr>
          <w:sz w:val="20"/>
          <w:szCs w:val="20"/>
          <w:color w:val="auto"/>
        </w:rPr>
      </w:pPr>
    </w:p>
    <w:p>
      <w:pPr>
        <w:spacing w:after="0"/>
        <w:rPr>
          <w:sz w:val="20"/>
          <w:szCs w:val="20"/>
          <w:color w:val="auto"/>
        </w:rPr>
      </w:pPr>
      <w:r>
        <w:rPr>
          <w:rFonts w:ascii="Arial" w:cs="Arial" w:eastAsia="Arial" w:hAnsi="Arial"/>
          <w:sz w:val="20"/>
          <w:szCs w:val="20"/>
          <w:color w:val="auto"/>
        </w:rPr>
        <w:t>Commodities.</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Capital Expenditures and Investments</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Expenditures for property, plant and equipment and for investments are presented in the following table.</w:t>
      </w:r>
    </w:p>
    <w:p>
      <w:pPr>
        <w:spacing w:after="0" w:line="286" w:lineRule="exact"/>
        <w:rPr>
          <w:sz w:val="20"/>
          <w:szCs w:val="20"/>
          <w:color w:val="auto"/>
        </w:rPr>
      </w:pPr>
    </w:p>
    <w:tbl>
      <w:tblPr>
        <w:tblLayout w:type="fixed"/>
        <w:tblInd w:w="2560" w:type="dxa"/>
        <w:tblCellMar>
          <w:top w:w="0" w:type="dxa"/>
          <w:left w:w="0" w:type="dxa"/>
          <w:bottom w:w="0" w:type="dxa"/>
          <w:right w:w="0" w:type="dxa"/>
        </w:tblCellMar>
      </w:tblPr>
      <w:tr>
        <w:trPr>
          <w:trHeight w:val="216"/>
        </w:trPr>
        <w:tc>
          <w:tcPr>
            <w:tcW w:w="24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58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Investments in and</w:t>
            </w:r>
          </w:p>
        </w:tc>
      </w:tr>
      <w:tr>
        <w:trPr>
          <w:trHeight w:val="216"/>
        </w:trPr>
        <w:tc>
          <w:tcPr>
            <w:tcW w:w="2440" w:type="dxa"/>
            <w:vAlign w:val="bottom"/>
          </w:tcPr>
          <w:p>
            <w:pPr>
              <w:spacing w:after="0"/>
              <w:rPr>
                <w:sz w:val="18"/>
                <w:szCs w:val="18"/>
                <w:color w:val="auto"/>
              </w:rPr>
            </w:pPr>
          </w:p>
        </w:tc>
        <w:tc>
          <w:tcPr>
            <w:tcW w:w="2280" w:type="dxa"/>
            <w:vAlign w:val="bottom"/>
            <w:gridSpan w:val="2"/>
          </w:tcPr>
          <w:p>
            <w:pPr>
              <w:jc w:val="right"/>
              <w:ind w:right="190"/>
              <w:spacing w:after="0"/>
              <w:rPr>
                <w:sz w:val="20"/>
                <w:szCs w:val="20"/>
                <w:color w:val="auto"/>
              </w:rPr>
            </w:pPr>
            <w:r>
              <w:rPr>
                <w:rFonts w:ascii="Arial" w:cs="Arial" w:eastAsia="Arial" w:hAnsi="Arial"/>
                <w:sz w:val="18"/>
                <w:szCs w:val="18"/>
                <w:color w:val="auto"/>
              </w:rPr>
              <w:t>Property, plant</w:t>
            </w:r>
          </w:p>
        </w:tc>
        <w:tc>
          <w:tcPr>
            <w:tcW w:w="1580" w:type="dxa"/>
            <w:vAlign w:val="bottom"/>
            <w:gridSpan w:val="2"/>
          </w:tcPr>
          <w:p>
            <w:pPr>
              <w:jc w:val="center"/>
              <w:spacing w:after="0"/>
              <w:rPr>
                <w:sz w:val="20"/>
                <w:szCs w:val="20"/>
                <w:color w:val="auto"/>
              </w:rPr>
            </w:pPr>
            <w:r>
              <w:rPr>
                <w:rFonts w:ascii="Arial" w:cs="Arial" w:eastAsia="Arial" w:hAnsi="Arial"/>
                <w:sz w:val="18"/>
                <w:szCs w:val="18"/>
                <w:color w:val="auto"/>
                <w:w w:val="92"/>
              </w:rPr>
              <w:t>acquisitions of</w:t>
            </w:r>
          </w:p>
        </w:tc>
      </w:tr>
      <w:tr>
        <w:trPr>
          <w:trHeight w:val="237"/>
        </w:trPr>
        <w:tc>
          <w:tcPr>
            <w:tcW w:w="2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(Dollars in millions)</w:t>
            </w:r>
          </w:p>
        </w:tc>
        <w:tc>
          <w:tcPr>
            <w:tcW w:w="228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8"/>
                <w:szCs w:val="18"/>
                <w:color w:val="auto"/>
              </w:rPr>
              <w:t>and equipment</w:t>
            </w:r>
          </w:p>
        </w:tc>
        <w:tc>
          <w:tcPr>
            <w:tcW w:w="1280" w:type="dxa"/>
            <w:vAlign w:val="bottom"/>
            <w:tcBorders>
              <w:bottom w:val="single" w:sz="8" w:color="auto"/>
            </w:tcBorders>
          </w:tcPr>
          <w:p>
            <w:pPr>
              <w:jc w:val="center"/>
              <w:ind w:left="290"/>
              <w:spacing w:after="0"/>
              <w:rPr>
                <w:sz w:val="20"/>
                <w:szCs w:val="20"/>
                <w:color w:val="auto"/>
              </w:rPr>
            </w:pPr>
            <w:r>
              <w:rPr>
                <w:rFonts w:ascii="Arial" w:cs="Arial" w:eastAsia="Arial" w:hAnsi="Arial"/>
                <w:sz w:val="18"/>
                <w:szCs w:val="18"/>
                <w:color w:val="auto"/>
                <w:w w:val="90"/>
              </w:rPr>
              <w:t>subsidiaries</w:t>
            </w:r>
          </w:p>
        </w:tc>
        <w:tc>
          <w:tcPr>
            <w:tcW w:w="300" w:type="dxa"/>
            <w:vAlign w:val="bottom"/>
            <w:tcBorders>
              <w:bottom w:val="single" w:sz="8" w:color="auto"/>
            </w:tcBorders>
          </w:tcPr>
          <w:p>
            <w:pPr>
              <w:spacing w:after="0"/>
              <w:rPr>
                <w:sz w:val="20"/>
                <w:szCs w:val="20"/>
                <w:color w:val="auto"/>
              </w:rPr>
            </w:pPr>
          </w:p>
        </w:tc>
      </w:tr>
      <w:tr>
        <w:trPr>
          <w:trHeight w:val="230"/>
        </w:trPr>
        <w:tc>
          <w:tcPr>
            <w:tcW w:w="2440" w:type="dxa"/>
            <w:vAlign w:val="bottom"/>
          </w:tcPr>
          <w:p>
            <w:pPr>
              <w:ind w:left="20"/>
              <w:spacing w:after="0"/>
              <w:rPr>
                <w:sz w:val="20"/>
                <w:szCs w:val="20"/>
                <w:color w:val="auto"/>
              </w:rPr>
            </w:pPr>
            <w:r>
              <w:rPr>
                <w:rFonts w:ascii="Arial" w:cs="Arial" w:eastAsia="Arial" w:hAnsi="Arial"/>
                <w:sz w:val="18"/>
                <w:szCs w:val="18"/>
                <w:color w:val="auto"/>
              </w:rPr>
              <w:t>2007</w:t>
            </w:r>
          </w:p>
        </w:tc>
        <w:tc>
          <w:tcPr>
            <w:tcW w:w="15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2,011</w:t>
            </w:r>
          </w:p>
        </w:tc>
        <w:tc>
          <w:tcPr>
            <w:tcW w:w="12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93"/>
              </w:rPr>
              <w:t>121</w:t>
            </w:r>
          </w:p>
        </w:tc>
      </w:tr>
      <w:tr>
        <w:trPr>
          <w:trHeight w:val="242"/>
        </w:trPr>
        <w:tc>
          <w:tcPr>
            <w:tcW w:w="2440" w:type="dxa"/>
            <w:vAlign w:val="bottom"/>
          </w:tcPr>
          <w:p>
            <w:pPr>
              <w:ind w:left="20"/>
              <w:spacing w:after="0"/>
              <w:rPr>
                <w:sz w:val="20"/>
                <w:szCs w:val="20"/>
                <w:color w:val="auto"/>
              </w:rPr>
            </w:pPr>
            <w:r>
              <w:rPr>
                <w:rFonts w:ascii="Arial" w:cs="Arial" w:eastAsia="Arial" w:hAnsi="Arial"/>
                <w:sz w:val="18"/>
                <w:szCs w:val="18"/>
                <w:color w:val="auto"/>
              </w:rPr>
              <w:t>2006</w:t>
            </w:r>
          </w:p>
        </w:tc>
        <w:tc>
          <w:tcPr>
            <w:tcW w:w="15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1,907</w:t>
            </w:r>
          </w:p>
        </w:tc>
        <w:tc>
          <w:tcPr>
            <w:tcW w:w="12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93"/>
              </w:rPr>
              <w:t>257</w:t>
            </w:r>
          </w:p>
        </w:tc>
      </w:tr>
      <w:tr>
        <w:trPr>
          <w:trHeight w:val="243"/>
        </w:trPr>
        <w:tc>
          <w:tcPr>
            <w:tcW w:w="2440" w:type="dxa"/>
            <w:vAlign w:val="bottom"/>
          </w:tcPr>
          <w:p>
            <w:pPr>
              <w:ind w:left="20"/>
              <w:spacing w:after="0"/>
              <w:rPr>
                <w:sz w:val="20"/>
                <w:szCs w:val="20"/>
                <w:color w:val="auto"/>
              </w:rPr>
            </w:pPr>
            <w:r>
              <w:rPr>
                <w:rFonts w:ascii="Arial" w:cs="Arial" w:eastAsia="Arial" w:hAnsi="Arial"/>
                <w:sz w:val="18"/>
                <w:szCs w:val="18"/>
                <w:color w:val="auto"/>
              </w:rPr>
              <w:t>2005</w:t>
            </w:r>
          </w:p>
        </w:tc>
        <w:tc>
          <w:tcPr>
            <w:tcW w:w="15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1,377</w:t>
            </w:r>
          </w:p>
        </w:tc>
        <w:tc>
          <w:tcPr>
            <w:tcW w:w="12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43"/>
        </w:trPr>
        <w:tc>
          <w:tcPr>
            <w:tcW w:w="2440" w:type="dxa"/>
            <w:vAlign w:val="bottom"/>
          </w:tcPr>
          <w:p>
            <w:pPr>
              <w:ind w:left="20"/>
              <w:spacing w:after="0"/>
              <w:rPr>
                <w:sz w:val="20"/>
                <w:szCs w:val="20"/>
                <w:color w:val="auto"/>
              </w:rPr>
            </w:pPr>
            <w:r>
              <w:rPr>
                <w:rFonts w:ascii="Arial" w:cs="Arial" w:eastAsia="Arial" w:hAnsi="Arial"/>
                <w:sz w:val="18"/>
                <w:szCs w:val="18"/>
                <w:color w:val="auto"/>
              </w:rPr>
              <w:t>2004</w:t>
            </w:r>
          </w:p>
        </w:tc>
        <w:tc>
          <w:tcPr>
            <w:tcW w:w="15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1,065</w:t>
            </w:r>
          </w:p>
        </w:tc>
        <w:tc>
          <w:tcPr>
            <w:tcW w:w="12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77"/>
        </w:trPr>
        <w:tc>
          <w:tcPr>
            <w:tcW w:w="2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2003</w:t>
            </w:r>
          </w:p>
        </w:tc>
        <w:tc>
          <w:tcPr>
            <w:tcW w:w="15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1,012</w:t>
            </w:r>
          </w:p>
        </w:tc>
        <w:tc>
          <w:tcPr>
            <w:tcW w:w="12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192</w:t>
            </w:r>
          </w:p>
        </w:tc>
      </w:tr>
    </w:tbl>
    <w:p>
      <w:pPr>
        <w:spacing w:after="0" w:line="226" w:lineRule="exact"/>
        <w:rPr>
          <w:sz w:val="20"/>
          <w:szCs w:val="20"/>
          <w:color w:val="auto"/>
        </w:rPr>
      </w:pPr>
    </w:p>
    <w:p>
      <w:pPr>
        <w:spacing w:after="0"/>
        <w:rPr>
          <w:sz w:val="20"/>
          <w:szCs w:val="20"/>
          <w:color w:val="auto"/>
        </w:rPr>
      </w:pPr>
      <w:r>
        <w:rPr>
          <w:rFonts w:ascii="Arial" w:cs="Arial" w:eastAsia="Arial" w:hAnsi="Arial"/>
          <w:sz w:val="20"/>
          <w:szCs w:val="20"/>
          <w:color w:val="auto"/>
        </w:rPr>
        <w:t>Capital expenditure information by segment is provided in Note 17 of the Notes to Consolidated Financial Statements.</w:t>
      </w:r>
    </w:p>
    <w:p>
      <w:pPr>
        <w:spacing w:after="0" w:line="243" w:lineRule="exact"/>
        <w:rPr>
          <w:sz w:val="20"/>
          <w:szCs w:val="20"/>
          <w:color w:val="auto"/>
        </w:rPr>
      </w:pPr>
    </w:p>
    <w:p>
      <w:pPr>
        <w:spacing w:after="0" w:line="242" w:lineRule="auto"/>
        <w:rPr>
          <w:sz w:val="20"/>
          <w:szCs w:val="20"/>
          <w:color w:val="auto"/>
        </w:rPr>
      </w:pPr>
      <w:r>
        <w:rPr>
          <w:rFonts w:ascii="Arial" w:cs="Arial" w:eastAsia="Arial" w:hAnsi="Arial"/>
          <w:sz w:val="20"/>
          <w:szCs w:val="20"/>
          <w:color w:val="auto"/>
        </w:rPr>
        <w:t>Investment and acquisition costs were $121 million, $257 million and $86 million for 2007, 2006 and 2005, respectively. The 2007 amount included a contribution of $100 million to Rockies Express Pipeline LLC (Rockies Express) and $21 million for purchases of available-for-sale securities and other investments. The 2006 amount included a $128 million investment in industrial development bonds in connection with the Liberty project, discussed in Note 6 of the Notes to Consolidated Financial Statements, and a $104 million initial capital contribution to Rockies Express during the first half of 2006. The 2006 contribution was returned to Sempra Pipelines &amp; Storage later that year in connection with financing received by Rockies Express during the second quarter of 2006 and was reported in Distributions from Investments on the Statements of Consolidated Cash Flows. The 2005 amount included Sempra Generation's purchase of Reliant Energy's 50-percent inter est in El Dorado, discussed below.</w:t>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Utilities</w:t>
      </w:r>
    </w:p>
    <w:p>
      <w:pPr>
        <w:spacing w:after="0" w:line="243"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color w:val="auto"/>
        </w:rPr>
        <w:t>Capital expenditures for property, plant and equipment by the Sempra Utilities were $1.2 billion in 2007 compared to $1.5 billion in 2006 and $825 million in 2005. The larger amount in 2006 compared to 2007 and 2005 was primarily due to the addition of the Palomar generating facility in 2006. This purchase is substantially eliminated in consolidation in 2006, as the capital expenditures were recorded by Sempra Energy over the construction period from 2004 through the first quarter of 2006.</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Generation</w:t>
      </w:r>
    </w:p>
    <w:p>
      <w:pPr>
        <w:spacing w:after="0" w:line="243" w:lineRule="exact"/>
        <w:rPr>
          <w:sz w:val="20"/>
          <w:szCs w:val="20"/>
          <w:color w:val="auto"/>
        </w:rPr>
      </w:pPr>
    </w:p>
    <w:p>
      <w:pPr>
        <w:ind w:right="280"/>
        <w:spacing w:after="0" w:line="246" w:lineRule="auto"/>
        <w:rPr>
          <w:sz w:val="20"/>
          <w:szCs w:val="20"/>
          <w:color w:val="auto"/>
        </w:rPr>
      </w:pPr>
      <w:r>
        <w:rPr>
          <w:rFonts w:ascii="Arial" w:cs="Arial" w:eastAsia="Arial" w:hAnsi="Arial"/>
          <w:sz w:val="20"/>
          <w:szCs w:val="20"/>
          <w:color w:val="auto"/>
        </w:rPr>
        <w:t>Sempra Generation develops, owns and operates generation facilities in the Pacific Southwest and Mexico, which sell electricity under long-term contracts and into spot market and other competitive markets. It purchases natural gas to fuel its power plants and may also purchase electricity in the open market to satisfy its contractual obligations. The following table lists the megawatt (MW) capacity of each operating power plant.</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20"/>
          <w:szCs w:val="20"/>
          <w:color w:val="auto"/>
        </w:rPr>
        <w:t>17</w:t>
      </w:r>
    </w:p>
    <w:p>
      <w:pPr>
        <w:sectPr>
          <w:pgSz w:w="11900" w:h="16838" w:orient="portrait"/>
          <w:cols w:equalWidth="0" w:num="1">
            <w:col w:w="11420"/>
          </w:cols>
          <w:pgMar w:left="240" w:top="121" w:right="239" w:bottom="1440" w:gutter="0" w:footer="0" w:header="0"/>
        </w:sectPr>
      </w:pPr>
    </w:p>
    <w:bookmarkStart w:id="85" w:name="page86"/>
    <w:bookmarkEnd w:id="85"/>
    <w:tbl>
      <w:tblPr>
        <w:tblLayout w:type="fixed"/>
        <w:tblInd w:w="1920" w:type="dxa"/>
        <w:tblCellMar>
          <w:top w:w="0" w:type="dxa"/>
          <w:left w:w="0" w:type="dxa"/>
          <w:bottom w:w="0" w:type="dxa"/>
          <w:right w:w="0" w:type="dxa"/>
        </w:tblCellMar>
      </w:tblPr>
      <w:tr>
        <w:trPr>
          <w:trHeight w:val="216"/>
        </w:trPr>
        <w:tc>
          <w:tcPr>
            <w:tcW w:w="35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Maximum</w:t>
            </w:r>
          </w:p>
        </w:tc>
        <w:tc>
          <w:tcPr>
            <w:tcW w:w="18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216"/>
        </w:trPr>
        <w:tc>
          <w:tcPr>
            <w:tcW w:w="35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Generating</w:t>
            </w:r>
          </w:p>
        </w:tc>
        <w:tc>
          <w:tcPr>
            <w:tcW w:w="180" w:type="dxa"/>
            <w:vAlign w:val="bottom"/>
          </w:tcPr>
          <w:p>
            <w:pPr>
              <w:spacing w:after="0"/>
              <w:rPr>
                <w:sz w:val="18"/>
                <w:szCs w:val="18"/>
                <w:color w:val="auto"/>
              </w:rPr>
            </w:pPr>
          </w:p>
        </w:tc>
        <w:tc>
          <w:tcPr>
            <w:tcW w:w="2640" w:type="dxa"/>
            <w:vAlign w:val="bottom"/>
          </w:tcPr>
          <w:p>
            <w:pPr>
              <w:spacing w:after="0"/>
              <w:rPr>
                <w:sz w:val="18"/>
                <w:szCs w:val="18"/>
                <w:color w:val="auto"/>
              </w:rPr>
            </w:pPr>
          </w:p>
        </w:tc>
      </w:tr>
      <w:tr>
        <w:trPr>
          <w:trHeight w:val="237"/>
        </w:trPr>
        <w:tc>
          <w:tcPr>
            <w:tcW w:w="3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Power Plant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Capacity (MW)</w:t>
            </w:r>
          </w:p>
        </w:tc>
        <w:tc>
          <w:tcPr>
            <w:tcW w:w="18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Location</w:t>
            </w: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Mesquite Power</w:t>
            </w:r>
          </w:p>
        </w:tc>
        <w:tc>
          <w:tcPr>
            <w:tcW w:w="1240" w:type="dxa"/>
            <w:vAlign w:val="bottom"/>
          </w:tcPr>
          <w:p>
            <w:pPr>
              <w:jc w:val="right"/>
              <w:spacing w:after="0"/>
              <w:rPr>
                <w:sz w:val="20"/>
                <w:szCs w:val="20"/>
                <w:color w:val="auto"/>
              </w:rPr>
            </w:pPr>
            <w:r>
              <w:rPr>
                <w:rFonts w:ascii="Arial" w:cs="Arial" w:eastAsia="Arial" w:hAnsi="Arial"/>
                <w:sz w:val="18"/>
                <w:szCs w:val="18"/>
                <w:color w:val="auto"/>
              </w:rPr>
              <w:t>1,250</w:t>
            </w:r>
          </w:p>
        </w:tc>
        <w:tc>
          <w:tcPr>
            <w:tcW w:w="180" w:type="dxa"/>
            <w:vAlign w:val="bottom"/>
          </w:tcPr>
          <w:p>
            <w:pPr>
              <w:spacing w:after="0"/>
              <w:rPr>
                <w:sz w:val="20"/>
                <w:szCs w:val="20"/>
                <w:color w:val="auto"/>
              </w:rPr>
            </w:pPr>
          </w:p>
        </w:tc>
        <w:tc>
          <w:tcPr>
            <w:tcW w:w="2640" w:type="dxa"/>
            <w:vAlign w:val="bottom"/>
          </w:tcPr>
          <w:p>
            <w:pPr>
              <w:ind w:left="100"/>
              <w:spacing w:after="0"/>
              <w:rPr>
                <w:sz w:val="20"/>
                <w:szCs w:val="20"/>
                <w:color w:val="auto"/>
              </w:rPr>
            </w:pPr>
            <w:r>
              <w:rPr>
                <w:rFonts w:ascii="Arial" w:cs="Arial" w:eastAsia="Arial" w:hAnsi="Arial"/>
                <w:sz w:val="18"/>
                <w:szCs w:val="18"/>
                <w:color w:val="auto"/>
              </w:rPr>
              <w:t>Arlington, AZ</w:t>
            </w:r>
          </w:p>
        </w:tc>
      </w:tr>
      <w:tr>
        <w:trPr>
          <w:trHeight w:val="242"/>
        </w:trPr>
        <w:tc>
          <w:tcPr>
            <w:tcW w:w="3540" w:type="dxa"/>
            <w:vAlign w:val="bottom"/>
          </w:tcPr>
          <w:p>
            <w:pPr>
              <w:spacing w:after="0"/>
              <w:rPr>
                <w:sz w:val="20"/>
                <w:szCs w:val="20"/>
                <w:color w:val="auto"/>
              </w:rPr>
            </w:pPr>
            <w:r>
              <w:rPr>
                <w:rFonts w:ascii="Arial" w:cs="Arial" w:eastAsia="Arial" w:hAnsi="Arial"/>
                <w:sz w:val="18"/>
                <w:szCs w:val="18"/>
                <w:color w:val="auto"/>
              </w:rPr>
              <w:t>Termoeléctrica de Mexicali</w:t>
            </w:r>
          </w:p>
        </w:tc>
        <w:tc>
          <w:tcPr>
            <w:tcW w:w="1240" w:type="dxa"/>
            <w:vAlign w:val="bottom"/>
          </w:tcPr>
          <w:p>
            <w:pPr>
              <w:jc w:val="right"/>
              <w:spacing w:after="0"/>
              <w:rPr>
                <w:sz w:val="20"/>
                <w:szCs w:val="20"/>
                <w:color w:val="auto"/>
              </w:rPr>
            </w:pPr>
            <w:r>
              <w:rPr>
                <w:rFonts w:ascii="Arial" w:cs="Arial" w:eastAsia="Arial" w:hAnsi="Arial"/>
                <w:sz w:val="18"/>
                <w:szCs w:val="18"/>
                <w:color w:val="auto"/>
              </w:rPr>
              <w:t>625</w:t>
            </w:r>
          </w:p>
        </w:tc>
        <w:tc>
          <w:tcPr>
            <w:tcW w:w="180" w:type="dxa"/>
            <w:vAlign w:val="bottom"/>
          </w:tcPr>
          <w:p>
            <w:pPr>
              <w:spacing w:after="0"/>
              <w:rPr>
                <w:sz w:val="21"/>
                <w:szCs w:val="21"/>
                <w:color w:val="auto"/>
              </w:rPr>
            </w:pPr>
          </w:p>
        </w:tc>
        <w:tc>
          <w:tcPr>
            <w:tcW w:w="2640" w:type="dxa"/>
            <w:vAlign w:val="bottom"/>
          </w:tcPr>
          <w:p>
            <w:pPr>
              <w:ind w:left="100"/>
              <w:spacing w:after="0"/>
              <w:rPr>
                <w:sz w:val="20"/>
                <w:szCs w:val="20"/>
                <w:color w:val="auto"/>
              </w:rPr>
            </w:pPr>
            <w:r>
              <w:rPr>
                <w:rFonts w:ascii="Arial" w:cs="Arial" w:eastAsia="Arial" w:hAnsi="Arial"/>
                <w:sz w:val="18"/>
                <w:szCs w:val="18"/>
                <w:color w:val="auto"/>
                <w:w w:val="97"/>
              </w:rPr>
              <w:t>Mexicali, Baja California, Mexico</w:t>
            </w:r>
          </w:p>
        </w:tc>
      </w:tr>
      <w:tr>
        <w:trPr>
          <w:trHeight w:val="243"/>
        </w:trPr>
        <w:tc>
          <w:tcPr>
            <w:tcW w:w="3540" w:type="dxa"/>
            <w:vAlign w:val="bottom"/>
          </w:tcPr>
          <w:p>
            <w:pPr>
              <w:spacing w:after="0"/>
              <w:rPr>
                <w:sz w:val="20"/>
                <w:szCs w:val="20"/>
                <w:color w:val="auto"/>
              </w:rPr>
            </w:pPr>
            <w:r>
              <w:rPr>
                <w:rFonts w:ascii="Arial" w:cs="Arial" w:eastAsia="Arial" w:hAnsi="Arial"/>
                <w:sz w:val="18"/>
                <w:szCs w:val="18"/>
                <w:color w:val="auto"/>
              </w:rPr>
              <w:t>El Dorado</w:t>
            </w:r>
          </w:p>
        </w:tc>
        <w:tc>
          <w:tcPr>
            <w:tcW w:w="1240" w:type="dxa"/>
            <w:vAlign w:val="bottom"/>
          </w:tcPr>
          <w:p>
            <w:pPr>
              <w:jc w:val="right"/>
              <w:spacing w:after="0"/>
              <w:rPr>
                <w:sz w:val="20"/>
                <w:szCs w:val="20"/>
                <w:color w:val="auto"/>
              </w:rPr>
            </w:pPr>
            <w:r>
              <w:rPr>
                <w:rFonts w:ascii="Arial" w:cs="Arial" w:eastAsia="Arial" w:hAnsi="Arial"/>
                <w:sz w:val="18"/>
                <w:szCs w:val="18"/>
                <w:color w:val="auto"/>
              </w:rPr>
              <w:t>480</w:t>
            </w:r>
          </w:p>
        </w:tc>
        <w:tc>
          <w:tcPr>
            <w:tcW w:w="180" w:type="dxa"/>
            <w:vAlign w:val="bottom"/>
          </w:tcPr>
          <w:p>
            <w:pPr>
              <w:spacing w:after="0"/>
              <w:rPr>
                <w:sz w:val="21"/>
                <w:szCs w:val="21"/>
                <w:color w:val="auto"/>
              </w:rPr>
            </w:pPr>
          </w:p>
        </w:tc>
        <w:tc>
          <w:tcPr>
            <w:tcW w:w="2640" w:type="dxa"/>
            <w:vAlign w:val="bottom"/>
          </w:tcPr>
          <w:p>
            <w:pPr>
              <w:ind w:left="100"/>
              <w:spacing w:after="0"/>
              <w:rPr>
                <w:sz w:val="20"/>
                <w:szCs w:val="20"/>
                <w:color w:val="auto"/>
              </w:rPr>
            </w:pPr>
            <w:r>
              <w:rPr>
                <w:rFonts w:ascii="Arial" w:cs="Arial" w:eastAsia="Arial" w:hAnsi="Arial"/>
                <w:sz w:val="18"/>
                <w:szCs w:val="18"/>
                <w:color w:val="auto"/>
              </w:rPr>
              <w:t>Boulder City, NV</w:t>
            </w:r>
          </w:p>
        </w:tc>
      </w:tr>
      <w:tr>
        <w:trPr>
          <w:trHeight w:val="250"/>
        </w:trPr>
        <w:tc>
          <w:tcPr>
            <w:tcW w:w="3540" w:type="dxa"/>
            <w:vAlign w:val="bottom"/>
          </w:tcPr>
          <w:p>
            <w:pPr>
              <w:spacing w:after="0"/>
              <w:rPr>
                <w:sz w:val="20"/>
                <w:szCs w:val="20"/>
                <w:color w:val="auto"/>
              </w:rPr>
            </w:pPr>
            <w:r>
              <w:rPr>
                <w:rFonts w:ascii="Arial" w:cs="Arial" w:eastAsia="Arial" w:hAnsi="Arial"/>
                <w:sz w:val="18"/>
                <w:szCs w:val="18"/>
                <w:color w:val="auto"/>
              </w:rPr>
              <w:t>Elk Hills (50% owned)</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w:t>
            </w:r>
          </w:p>
        </w:tc>
        <w:tc>
          <w:tcPr>
            <w:tcW w:w="180" w:type="dxa"/>
            <w:vAlign w:val="bottom"/>
          </w:tcPr>
          <w:p>
            <w:pPr>
              <w:jc w:val="right"/>
              <w:ind w:right="10"/>
              <w:spacing w:after="0"/>
              <w:rPr>
                <w:sz w:val="20"/>
                <w:szCs w:val="20"/>
                <w:color w:val="auto"/>
              </w:rPr>
            </w:pPr>
            <w:r>
              <w:rPr>
                <w:rFonts w:ascii="Arial" w:cs="Arial" w:eastAsia="Arial" w:hAnsi="Arial"/>
                <w:sz w:val="18"/>
                <w:szCs w:val="18"/>
                <w:color w:val="auto"/>
                <w:w w:val="84"/>
              </w:rPr>
              <w:t>*</w:t>
            </w:r>
          </w:p>
        </w:tc>
        <w:tc>
          <w:tcPr>
            <w:tcW w:w="2640" w:type="dxa"/>
            <w:vAlign w:val="bottom"/>
          </w:tcPr>
          <w:p>
            <w:pPr>
              <w:ind w:left="100"/>
              <w:spacing w:after="0"/>
              <w:rPr>
                <w:sz w:val="20"/>
                <w:szCs w:val="20"/>
                <w:color w:val="auto"/>
              </w:rPr>
            </w:pPr>
            <w:r>
              <w:rPr>
                <w:rFonts w:ascii="Arial" w:cs="Arial" w:eastAsia="Arial" w:hAnsi="Arial"/>
                <w:sz w:val="18"/>
                <w:szCs w:val="18"/>
                <w:color w:val="auto"/>
              </w:rPr>
              <w:t>Bakersfield, CA</w:t>
            </w:r>
          </w:p>
        </w:tc>
      </w:tr>
      <w:tr>
        <w:trPr>
          <w:trHeight w:val="264"/>
        </w:trPr>
        <w:tc>
          <w:tcPr>
            <w:tcW w:w="35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Total MW in operation</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2,630</w:t>
            </w:r>
          </w:p>
        </w:tc>
        <w:tc>
          <w:tcPr>
            <w:tcW w:w="180" w:type="dxa"/>
            <w:vAlign w:val="bottom"/>
            <w:tcBorders>
              <w:bottom w:val="single" w:sz="8" w:color="auto"/>
            </w:tcBorders>
          </w:tcPr>
          <w:p>
            <w:pPr>
              <w:spacing w:after="0"/>
              <w:rPr>
                <w:sz w:val="22"/>
                <w:szCs w:val="22"/>
                <w:color w:val="auto"/>
              </w:rPr>
            </w:pPr>
          </w:p>
        </w:tc>
        <w:tc>
          <w:tcPr>
            <w:tcW w:w="2640" w:type="dxa"/>
            <w:vAlign w:val="bottom"/>
            <w:tcBorders>
              <w:bottom w:val="single" w:sz="8" w:color="auto"/>
            </w:tcBorders>
          </w:tcPr>
          <w:p>
            <w:pPr>
              <w:spacing w:after="0"/>
              <w:rPr>
                <w:sz w:val="22"/>
                <w:szCs w:val="22"/>
                <w:color w:val="auto"/>
              </w:rPr>
            </w:pP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  Sempra Generation's share</w:t>
            </w: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40" w:type="dxa"/>
            <w:vAlign w:val="bottom"/>
          </w:tcPr>
          <w:p>
            <w:pPr>
              <w:spacing w:after="0"/>
              <w:rPr>
                <w:sz w:val="20"/>
                <w:szCs w:val="20"/>
                <w:color w:val="auto"/>
              </w:rPr>
            </w:pPr>
          </w:p>
        </w:tc>
      </w:tr>
    </w:tbl>
    <w:p>
      <w:pPr>
        <w:spacing w:after="0" w:line="239"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During 2006, Sempra Generation sold its Texas-based power plants and other assets due to the increased market valuation of coal-fired power plants in Texas. The coal-fired assets included the company’s wholly owned Twin Oaks power plant and Coleto Creek, which the company co-owned in the Topaz joint venture with Riverstone Holdings. The joint venture also owned three operating natural gas and oil-fired plants in Laredo, San Benito and Corpus Christi, Texas, that it sold in 2006. Notes 4 and 5 of the Notes to Consolidated Financial Statements provide detailed information about the sales.</w:t>
      </w:r>
    </w:p>
    <w:p>
      <w:pPr>
        <w:spacing w:after="0" w:line="222" w:lineRule="exact"/>
        <w:rPr>
          <w:sz w:val="20"/>
          <w:szCs w:val="20"/>
          <w:color w:val="auto"/>
        </w:rPr>
      </w:pPr>
    </w:p>
    <w:p>
      <w:pPr>
        <w:ind w:right="440"/>
        <w:spacing w:after="0" w:line="260" w:lineRule="auto"/>
        <w:rPr>
          <w:sz w:val="20"/>
          <w:szCs w:val="20"/>
          <w:color w:val="auto"/>
        </w:rPr>
      </w:pPr>
      <w:r>
        <w:rPr>
          <w:rFonts w:ascii="Arial" w:cs="Arial" w:eastAsia="Arial" w:hAnsi="Arial"/>
          <w:sz w:val="20"/>
          <w:szCs w:val="20"/>
          <w:color w:val="auto"/>
        </w:rPr>
        <w:t>In July 2005, Sempra Generation purchased Reliant Energy's 50-percent interest in El Dorado for $132 million (including assumed debt), resulting in its having full ownership of the plant.</w:t>
      </w:r>
    </w:p>
    <w:p>
      <w:pPr>
        <w:spacing w:after="0" w:line="204" w:lineRule="exact"/>
        <w:rPr>
          <w:sz w:val="20"/>
          <w:szCs w:val="20"/>
          <w:color w:val="auto"/>
        </w:rPr>
      </w:pPr>
    </w:p>
    <w:p>
      <w:pPr>
        <w:ind w:right="240"/>
        <w:spacing w:after="0" w:line="260" w:lineRule="auto"/>
        <w:rPr>
          <w:sz w:val="20"/>
          <w:szCs w:val="20"/>
          <w:color w:val="auto"/>
        </w:rPr>
      </w:pPr>
      <w:r>
        <w:rPr>
          <w:rFonts w:ascii="Arial" w:cs="Arial" w:eastAsia="Arial" w:hAnsi="Arial"/>
          <w:sz w:val="20"/>
          <w:szCs w:val="20"/>
          <w:color w:val="auto"/>
        </w:rPr>
        <w:t>Additional information concerning Sempra Generation's facilities is provided in Notes 3, 4, 5 and 16 of the Notes to Consolidated Financial Statements.</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LNG</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Sempra LNG develops and builds, and will operate LNG receipt terminals and sell regasified LNG.</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Energía Costa Azul LNG receipt terminal</w:t>
      </w:r>
    </w:p>
    <w:p>
      <w:pPr>
        <w:spacing w:after="0" w:line="243" w:lineRule="exact"/>
        <w:rPr>
          <w:sz w:val="20"/>
          <w:szCs w:val="20"/>
          <w:color w:val="auto"/>
        </w:rPr>
      </w:pPr>
    </w:p>
    <w:p>
      <w:pPr>
        <w:ind w:right="100"/>
        <w:spacing w:after="0" w:line="242" w:lineRule="auto"/>
        <w:rPr>
          <w:sz w:val="20"/>
          <w:szCs w:val="20"/>
          <w:color w:val="auto"/>
        </w:rPr>
      </w:pPr>
      <w:r>
        <w:rPr>
          <w:rFonts w:ascii="Arial" w:cs="Arial" w:eastAsia="Arial" w:hAnsi="Arial"/>
          <w:sz w:val="20"/>
          <w:szCs w:val="20"/>
          <w:color w:val="auto"/>
        </w:rPr>
        <w:t>In early 2005, Sempra LNG began construction of the Energía Costa Azul LNG receipt terminal in Baja California, Mexico, which will be capable of processing 1 billion cubic feet (Bcf) of natural gas per day and is expected to begin operations in the second quarter of 2008. The estimated costs of this project, including capitalized interest, are approximately $975 million (excluding pre-expansion costs, which are $66 million to date) for the base facility and approximately $125 million for a nitrogen-injection facility. The nitrogen-injection facility will allow the terminal to process LNG cargoes from a wider variety of sources and will provide additional revenue from long-term firm capacity payments for the injection service. Through December 31, 2007, Sempra LNG has made expenditures of $936 million related to the terminal (including breakwater) and proposed expansion project, including $298 million, $302 million and $273 million in 2007, 2006 and 2005,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Cameron LNG receipt terminal</w:t>
      </w:r>
    </w:p>
    <w:p>
      <w:pPr>
        <w:spacing w:after="0" w:line="243" w:lineRule="exact"/>
        <w:rPr>
          <w:sz w:val="20"/>
          <w:szCs w:val="20"/>
          <w:color w:val="auto"/>
        </w:rPr>
      </w:pPr>
    </w:p>
    <w:p>
      <w:pPr>
        <w:ind w:right="120"/>
        <w:spacing w:after="0" w:line="244" w:lineRule="auto"/>
        <w:rPr>
          <w:sz w:val="20"/>
          <w:szCs w:val="20"/>
          <w:color w:val="auto"/>
        </w:rPr>
      </w:pPr>
      <w:r>
        <w:rPr>
          <w:rFonts w:ascii="Arial" w:cs="Arial" w:eastAsia="Arial" w:hAnsi="Arial"/>
          <w:sz w:val="20"/>
          <w:szCs w:val="20"/>
          <w:color w:val="auto"/>
        </w:rPr>
        <w:t>Sempra LNG’s Cameron LNG receipt terminal is currently under construction in Hackberry, Louisiana. The estimated costs of this project, including capitalized interest, are approximately $800 million (excluding pre-expansion costs, which are $41 million to date). Construction is expected to be completed in late 2008, with capacity revenues starting in early 2009. Through December 31, 2007, Sempra LNG has made expenditures of $641 million related to the terminal and proposed expansion project, including $224 million, $279 million and $60 million in 2007, 2006 and 2005, respectively.</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20"/>
          <w:szCs w:val="20"/>
          <w:color w:val="auto"/>
        </w:rPr>
        <w:t>18</w:t>
      </w:r>
    </w:p>
    <w:p>
      <w:pPr>
        <w:sectPr>
          <w:pgSz w:w="11900" w:h="16838" w:orient="portrait"/>
          <w:cols w:equalWidth="0" w:num="1">
            <w:col w:w="11320"/>
          </w:cols>
          <w:pgMar w:left="240" w:top="895" w:right="339" w:bottom="1440" w:gutter="0" w:footer="0" w:header="0"/>
        </w:sectPr>
      </w:pPr>
    </w:p>
    <w:bookmarkStart w:id="86" w:name="page87"/>
    <w:bookmarkEnd w:id="86"/>
    <w:p>
      <w:pPr>
        <w:spacing w:after="0"/>
        <w:rPr>
          <w:sz w:val="20"/>
          <w:szCs w:val="20"/>
          <w:color w:val="auto"/>
        </w:rPr>
      </w:pPr>
      <w:r>
        <w:rPr>
          <w:rFonts w:ascii="Arial" w:cs="Arial" w:eastAsia="Arial" w:hAnsi="Arial"/>
          <w:sz w:val="20"/>
          <w:szCs w:val="20"/>
          <w:color w:val="auto"/>
        </w:rPr>
        <w:t>Additional information concerning Sempra LNG's projects is provided in "Factors Influencing Future Performance" below.</w:t>
      </w:r>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Pipelines &amp; Storage</w:t>
      </w:r>
    </w:p>
    <w:p>
      <w:pPr>
        <w:spacing w:after="0" w:line="243"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color w:val="auto"/>
        </w:rPr>
        <w:t>Sempra Pipelines &amp; Storage, Kinder Morgan Energy Partners, L.P. (KMP) and ConocoPhillips are jointly pursuing through Rockies Express the development of a natural gas pipeline, the REX, that would link producing areas in the Rocky Mountain region to the upper Midwest and the eastern United States. The project cost is estimated to be $4.9 billion. A subsidiary of Sempra Global entered into an agreement with Rockies Express for 200 million cubic feet per day of capacity on the REX, which will have capacity of 1.8 Bcf per day.</w:t>
      </w:r>
    </w:p>
    <w:p>
      <w:pPr>
        <w:spacing w:after="0" w:line="189" w:lineRule="exact"/>
        <w:rPr>
          <w:sz w:val="20"/>
          <w:szCs w:val="20"/>
          <w:color w:val="auto"/>
        </w:rPr>
      </w:pPr>
    </w:p>
    <w:p>
      <w:pPr>
        <w:ind w:right="60"/>
        <w:spacing w:after="0" w:line="250" w:lineRule="auto"/>
        <w:rPr>
          <w:sz w:val="20"/>
          <w:szCs w:val="20"/>
          <w:color w:val="auto"/>
        </w:rPr>
      </w:pPr>
      <w:r>
        <w:rPr>
          <w:rFonts w:ascii="Arial" w:cs="Arial" w:eastAsia="Arial" w:hAnsi="Arial"/>
          <w:sz w:val="20"/>
          <w:szCs w:val="20"/>
          <w:color w:val="auto"/>
        </w:rPr>
        <w:t>In connection with financing received by Rockies Express in 2006, Sempra Pipelines &amp; Storage and KMP were repaid their initial 2006 capital contributions. The company's 25-percent participation in the project required a contribution to the partnership of $100 million in 2007 and is expected to require cash outflows of approximately $150 million in 2008 and $300 million in 2009.</w:t>
      </w:r>
    </w:p>
    <w:p>
      <w:pPr>
        <w:spacing w:after="0" w:line="213" w:lineRule="exact"/>
        <w:rPr>
          <w:sz w:val="20"/>
          <w:szCs w:val="20"/>
          <w:color w:val="auto"/>
        </w:rPr>
      </w:pPr>
    </w:p>
    <w:p>
      <w:pPr>
        <w:spacing w:after="0" w:line="259" w:lineRule="auto"/>
        <w:rPr>
          <w:sz w:val="20"/>
          <w:szCs w:val="20"/>
          <w:color w:val="auto"/>
        </w:rPr>
      </w:pPr>
      <w:r>
        <w:rPr>
          <w:rFonts w:ascii="Arial" w:cs="Arial" w:eastAsia="Arial" w:hAnsi="Arial"/>
          <w:sz w:val="19"/>
          <w:szCs w:val="19"/>
          <w:color w:val="auto"/>
        </w:rPr>
        <w:t>Liberty, as currently permitted, is a 17 Bcf salt-cavern natural gas storage facility located in Calcasieu Parish, Louisiana. The facility has been under construction by the company and its 25-percent partner, Proliance Transportation and Storage, LLC, and will be connected to the Cameron and Port Arthur Pipelines under development by Sempra Pipelines &amp; Storage to connect area LNG regasification terminals to an interstate gas transmission system. The estimated project cost is approximately $250 million, of which $181 million has been expended through December 31, 2007. Pipeline and compressor systems are currently in operation and can provide transportation services. Liberty is expected to be able to provide 12 Bcf of storage beginning in the second quarter of 2008.</w:t>
      </w:r>
    </w:p>
    <w:p>
      <w:pPr>
        <w:spacing w:after="0" w:line="206" w:lineRule="exact"/>
        <w:rPr>
          <w:sz w:val="20"/>
          <w:szCs w:val="20"/>
          <w:color w:val="auto"/>
        </w:rPr>
      </w:pPr>
    </w:p>
    <w:p>
      <w:pPr>
        <w:jc w:val="both"/>
        <w:ind w:right="280"/>
        <w:spacing w:after="0" w:line="269" w:lineRule="auto"/>
        <w:rPr>
          <w:sz w:val="20"/>
          <w:szCs w:val="20"/>
          <w:color w:val="auto"/>
        </w:rPr>
      </w:pPr>
      <w:r>
        <w:rPr>
          <w:rFonts w:ascii="Arial" w:cs="Arial" w:eastAsia="Arial" w:hAnsi="Arial"/>
          <w:sz w:val="19"/>
          <w:szCs w:val="19"/>
          <w:color w:val="auto"/>
        </w:rPr>
        <w:t>In 2006, the company acquired additional property with 11 Bcf of existing salt dome caverns and the capability to add significant additional capacity by mining new caverns. The newly purchased caverns would allow Liberty to be expanded to at least 28 Bcf of total capacity. Total project costs for Liberty and its expansion are expected to be approximately $450 million to $500 million.</w:t>
      </w:r>
    </w:p>
    <w:p>
      <w:pPr>
        <w:spacing w:after="0" w:line="197" w:lineRule="exact"/>
        <w:rPr>
          <w:sz w:val="20"/>
          <w:szCs w:val="20"/>
          <w:color w:val="auto"/>
        </w:rPr>
      </w:pPr>
    </w:p>
    <w:p>
      <w:pPr>
        <w:ind w:right="80"/>
        <w:spacing w:after="0" w:line="244" w:lineRule="auto"/>
        <w:rPr>
          <w:sz w:val="20"/>
          <w:szCs w:val="20"/>
          <w:color w:val="auto"/>
        </w:rPr>
      </w:pPr>
      <w:r>
        <w:rPr>
          <w:rFonts w:ascii="Arial" w:cs="Arial" w:eastAsia="Arial" w:hAnsi="Arial"/>
          <w:sz w:val="20"/>
          <w:szCs w:val="20"/>
          <w:color w:val="auto"/>
        </w:rPr>
        <w:t>Sempra Pipelines &amp; Storage is currently expanding its existing pipelines in Baja California, Mexico, and adding a spur line to connect Sempra LNG’s Energía Costa Azul terminal to an existing Sempra Energy natural gas pipeline in Mexico with interconnections to the U.S. border. The estimated cost of this project is approximately $200 million. Expenditures were $204 million through December 31, 2007. The expansion is expected to be completed in early 2008, and commercial operation of the pipeline is expected to begin upon completion of Sempra LNG’s Energía Costa Azul terminal in the second quarter of 2008.</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Additional information regarding Sempra Pipeline’s projects is provided in "Factors Influencing Future Performance" below.</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20"/>
          <w:szCs w:val="20"/>
          <w:color w:val="auto"/>
        </w:rPr>
        <w:t>19</w:t>
      </w:r>
    </w:p>
    <w:p>
      <w:pPr>
        <w:sectPr>
          <w:pgSz w:w="11900" w:h="16838" w:orient="portrait"/>
          <w:cols w:equalWidth="0" w:num="1">
            <w:col w:w="11400"/>
          </w:cols>
          <w:pgMar w:left="240" w:top="122" w:right="259" w:bottom="1440" w:gutter="0" w:footer="0" w:header="0"/>
        </w:sectPr>
      </w:pPr>
    </w:p>
    <w:bookmarkStart w:id="87" w:name="page88"/>
    <w:bookmarkEnd w:id="87"/>
    <w:p>
      <w:pPr>
        <w:spacing w:after="0"/>
        <w:rPr>
          <w:sz w:val="20"/>
          <w:szCs w:val="20"/>
          <w:color w:val="auto"/>
        </w:rPr>
      </w:pPr>
      <w:r>
        <w:rPr>
          <w:rFonts w:ascii="Arial" w:cs="Arial" w:eastAsia="Arial" w:hAnsi="Arial"/>
          <w:sz w:val="20"/>
          <w:szCs w:val="20"/>
          <w:b w:val="1"/>
          <w:bCs w:val="1"/>
          <w:color w:val="auto"/>
        </w:rPr>
        <w:t>Future Construction Expenditures and Investments</w:t>
      </w:r>
    </w:p>
    <w:p>
      <w:pPr>
        <w:spacing w:after="0" w:line="250" w:lineRule="exact"/>
        <w:rPr>
          <w:sz w:val="20"/>
          <w:szCs w:val="20"/>
          <w:color w:val="auto"/>
        </w:rPr>
      </w:pPr>
    </w:p>
    <w:p>
      <w:pPr>
        <w:ind w:right="260"/>
        <w:spacing w:after="0" w:line="244" w:lineRule="auto"/>
        <w:rPr>
          <w:sz w:val="20"/>
          <w:szCs w:val="20"/>
          <w:color w:val="auto"/>
        </w:rPr>
      </w:pPr>
      <w:r>
        <w:rPr>
          <w:rFonts w:ascii="Arial" w:cs="Arial" w:eastAsia="Arial" w:hAnsi="Arial"/>
          <w:sz w:val="20"/>
          <w:szCs w:val="20"/>
          <w:color w:val="auto"/>
        </w:rPr>
        <w:t>The company expects to make capital expenditures and investments of $2.1 billion in 2008. Significant capital expenditures and investments are expected to include $1.1 billion for Sempra Utility plant improvements and $1 billion of capital expenditures at its other subsidiaries, including the development of LNG facilities and natural gas pipelines. The $2.1 billion does not include the expected investment in RBS Sempra Commodities. These expenditures and investments are expected to be financed by cash flows from operations, cash on hand and security issuances.</w:t>
      </w:r>
    </w:p>
    <w:p>
      <w:pPr>
        <w:spacing w:after="0" w:line="222" w:lineRule="exact"/>
        <w:rPr>
          <w:sz w:val="20"/>
          <w:szCs w:val="20"/>
          <w:color w:val="auto"/>
        </w:rPr>
      </w:pPr>
    </w:p>
    <w:p>
      <w:pPr>
        <w:ind w:right="300"/>
        <w:spacing w:after="0" w:line="316" w:lineRule="auto"/>
        <w:rPr>
          <w:sz w:val="20"/>
          <w:szCs w:val="20"/>
          <w:color w:val="auto"/>
        </w:rPr>
      </w:pPr>
      <w:r>
        <w:rPr>
          <w:rFonts w:ascii="Arial" w:cs="Arial" w:eastAsia="Arial" w:hAnsi="Arial"/>
          <w:sz w:val="18"/>
          <w:szCs w:val="18"/>
          <w:color w:val="auto"/>
        </w:rPr>
        <w:t>Over the next five years, the company expects to make capital expenditures and investments of $7.1 billion at the Sempra Utilities, and $4.3 billion of capital expenditures at the other subsidiaries, including the development of LNG facilities and natural gas pipelines.</w:t>
      </w:r>
    </w:p>
    <w:p>
      <w:pPr>
        <w:spacing w:after="0" w:line="157" w:lineRule="exact"/>
        <w:rPr>
          <w:sz w:val="20"/>
          <w:szCs w:val="20"/>
          <w:color w:val="auto"/>
        </w:rPr>
      </w:pPr>
    </w:p>
    <w:p>
      <w:pPr>
        <w:ind w:right="180"/>
        <w:spacing w:after="0" w:line="291" w:lineRule="auto"/>
        <w:rPr>
          <w:sz w:val="20"/>
          <w:szCs w:val="20"/>
          <w:color w:val="auto"/>
        </w:rPr>
      </w:pPr>
      <w:r>
        <w:rPr>
          <w:rFonts w:ascii="Arial" w:cs="Arial" w:eastAsia="Arial" w:hAnsi="Arial"/>
          <w:sz w:val="18"/>
          <w:szCs w:val="18"/>
          <w:color w:val="auto"/>
        </w:rPr>
        <w:t>SDG&amp;E has an application on file with the CPUC for the Sunrise Powerlink, a proposed new transmission power line between the San Diego region and the Imperial Valley of Southern California. The proposed line would be able to deliver 1,000 MW and is estimated to cost $1.2 billion. Additional information on the Sunrise Powerlink is provided in Note 14 of the Notes to Consolidated Financial Statements.</w:t>
      </w:r>
    </w:p>
    <w:p>
      <w:pPr>
        <w:spacing w:after="0" w:line="179" w:lineRule="exact"/>
        <w:rPr>
          <w:sz w:val="20"/>
          <w:szCs w:val="20"/>
          <w:color w:val="auto"/>
        </w:rPr>
      </w:pPr>
    </w:p>
    <w:p>
      <w:pPr>
        <w:jc w:val="both"/>
        <w:ind w:right="220"/>
        <w:spacing w:after="0" w:line="316" w:lineRule="auto"/>
        <w:rPr>
          <w:sz w:val="20"/>
          <w:szCs w:val="20"/>
          <w:color w:val="auto"/>
        </w:rPr>
      </w:pPr>
      <w:r>
        <w:rPr>
          <w:rFonts w:ascii="Arial" w:cs="Arial" w:eastAsia="Arial" w:hAnsi="Arial"/>
          <w:sz w:val="18"/>
          <w:szCs w:val="18"/>
          <w:color w:val="auto"/>
        </w:rPr>
        <w:t>Capital expenditure amounts include capitalized interest and the portion of AFUDC (allowance for funds used during construction) related to debt, and exclude the portion of AFUDC related to equity. AFUDC is discussed in Note 1 of the Notes to Consolidated Financial Statements.</w:t>
      </w:r>
    </w:p>
    <w:p>
      <w:pPr>
        <w:spacing w:after="0" w:line="157" w:lineRule="exact"/>
        <w:rPr>
          <w:sz w:val="20"/>
          <w:szCs w:val="20"/>
          <w:color w:val="auto"/>
        </w:rPr>
      </w:pPr>
    </w:p>
    <w:p>
      <w:pPr>
        <w:ind w:right="60"/>
        <w:spacing w:after="0" w:line="250" w:lineRule="auto"/>
        <w:rPr>
          <w:sz w:val="20"/>
          <w:szCs w:val="20"/>
          <w:color w:val="auto"/>
        </w:rPr>
      </w:pPr>
      <w:r>
        <w:rPr>
          <w:rFonts w:ascii="Arial" w:cs="Arial" w:eastAsia="Arial" w:hAnsi="Arial"/>
          <w:sz w:val="20"/>
          <w:szCs w:val="20"/>
          <w:color w:val="auto"/>
        </w:rPr>
        <w:t>Construction, investment and financing programs are periodically reviewed and revised by the company in response to changes in regulation, economic conditions, competition, customer growth, inflation, customer rates, the cost of capital and environmental requirements, as discussed in Notes 14 and 16 of the Notes to Consolidated Financial Statements.</w:t>
      </w:r>
    </w:p>
    <w:p>
      <w:pPr>
        <w:spacing w:after="0" w:line="213"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The company's level of construction expenditures and investments in the next few years may vary substantially, and will depend on the availability of financing, regulatory approvals and business opportunities providing desirable rates of return. The company intends to finance its capital expenditures in a manner that will maintain its strong investment-grade ratings and capital structure.</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The amounts and timing of capital expenditures are subject to approvals by the CPUC, the FERC and other regulatory bodies.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CASH FLOWS FROM FINANCING ACTIVITIES</w:t>
      </w:r>
    </w:p>
    <w:p>
      <w:pPr>
        <w:spacing w:after="0" w:line="243" w:lineRule="exact"/>
        <w:rPr>
          <w:sz w:val="20"/>
          <w:szCs w:val="20"/>
          <w:color w:val="auto"/>
        </w:rPr>
      </w:pPr>
    </w:p>
    <w:p>
      <w:pPr>
        <w:ind w:right="200"/>
        <w:spacing w:after="0" w:line="276" w:lineRule="auto"/>
        <w:rPr>
          <w:sz w:val="20"/>
          <w:szCs w:val="20"/>
          <w:color w:val="auto"/>
        </w:rPr>
      </w:pPr>
      <w:r>
        <w:rPr>
          <w:rFonts w:ascii="Arial" w:cs="Arial" w:eastAsia="Arial" w:hAnsi="Arial"/>
          <w:sz w:val="18"/>
          <w:szCs w:val="18"/>
          <w:color w:val="auto"/>
        </w:rPr>
        <w:t>Net cash provided by (used in) financing activities totaled $(296) million, $(612) million and $1.0 billion for 2007, 2006 and 2005, respectively. Cash used in financing activities in 2007 decreased by $316 million (52%). The change was primarily due to an $812 million increase in short-term debt in 2007 compared to a $791 million decrease in 2006, offset by an $809 million increase in long-term debt payments, a $148 million decrease in issuances of long-term debt, a $148 million increase in common stock repurchases and an $83 million decrease due to proceeds in 2006 from the sale of the company’s interests in affordable-housing projects. The increase in short-term debt was primarily to fund the repayment of maturing long-term debt, and to a lesser extent, from increased borrowings at Sempra Commodities.</w:t>
      </w:r>
    </w:p>
    <w:p>
      <w:pPr>
        <w:spacing w:after="0" w:line="192" w:lineRule="exact"/>
        <w:rPr>
          <w:sz w:val="20"/>
          <w:szCs w:val="20"/>
          <w:color w:val="auto"/>
        </w:rPr>
      </w:pPr>
    </w:p>
    <w:p>
      <w:pPr>
        <w:jc w:val="both"/>
        <w:ind w:right="280"/>
        <w:spacing w:after="0" w:line="250" w:lineRule="auto"/>
        <w:rPr>
          <w:sz w:val="20"/>
          <w:szCs w:val="20"/>
          <w:color w:val="auto"/>
        </w:rPr>
      </w:pPr>
      <w:r>
        <w:rPr>
          <w:rFonts w:ascii="Arial" w:cs="Arial" w:eastAsia="Arial" w:hAnsi="Arial"/>
          <w:sz w:val="20"/>
          <w:szCs w:val="20"/>
          <w:color w:val="auto"/>
        </w:rPr>
        <w:t>The 2006 change from 2005 was due to a $600 million issuance of common stock in 2005 in connection with the Equity Units' $600 million purchase contract settlement, a $791 million reduction in short-term debt in 2006 compared to $659 million of net borrowings in 2005 and a $210 million decrease in</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color w:val="auto"/>
        </w:rPr>
        <w:t>20</w:t>
      </w:r>
    </w:p>
    <w:p>
      <w:pPr>
        <w:sectPr>
          <w:pgSz w:w="11900" w:h="16838" w:orient="portrait"/>
          <w:cols w:equalWidth="0" w:num="1">
            <w:col w:w="11400"/>
          </w:cols>
          <w:pgMar w:left="240" w:top="116" w:right="259" w:bottom="1440" w:gutter="0" w:footer="0" w:header="0"/>
        </w:sectPr>
      </w:pPr>
    </w:p>
    <w:bookmarkStart w:id="88" w:name="page89"/>
    <w:bookmarkEnd w:id="88"/>
    <w:p>
      <w:pPr>
        <w:ind w:right="40"/>
        <w:spacing w:after="0" w:line="244" w:lineRule="auto"/>
        <w:rPr>
          <w:sz w:val="20"/>
          <w:szCs w:val="20"/>
          <w:color w:val="auto"/>
        </w:rPr>
      </w:pPr>
      <w:r>
        <w:rPr>
          <w:rFonts w:ascii="Arial" w:cs="Arial" w:eastAsia="Arial" w:hAnsi="Arial"/>
          <w:sz w:val="20"/>
          <w:szCs w:val="20"/>
          <w:color w:val="auto"/>
        </w:rPr>
        <w:t>issuances of long-term debt in 2006, offset by the redemption of $200 million of mandatorily redeemable preferred securities in 2005, $266 million of higher payments on long-term debt in 2005 primarily from the retirement of El Dorado's project finance debt and an $88 million open-market repurchase of common stock in the first half of 2005. Further discussion of Equity Units is provided in Note 13 of the Notes to Consolidated Financial Statements. Additionally, in June 2006, Sempra Financial effectively sold the majority of its interests in affordable-housing projects to an unrelated party subject to certain guarantees. Because of the guarantees, the $83 million of proceeds from the transaction was recorded as a financing rather than as a sale.</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Long-Term Debt</w:t>
      </w:r>
    </w:p>
    <w:p>
      <w:pPr>
        <w:spacing w:after="0" w:line="249" w:lineRule="exact"/>
        <w:rPr>
          <w:sz w:val="20"/>
          <w:szCs w:val="20"/>
          <w:color w:val="auto"/>
        </w:rPr>
      </w:pPr>
    </w:p>
    <w:p>
      <w:pPr>
        <w:ind w:right="20"/>
        <w:spacing w:after="0" w:line="250" w:lineRule="auto"/>
        <w:rPr>
          <w:sz w:val="20"/>
          <w:szCs w:val="20"/>
          <w:color w:val="auto"/>
        </w:rPr>
      </w:pPr>
      <w:r>
        <w:rPr>
          <w:rFonts w:ascii="Arial" w:cs="Arial" w:eastAsia="Arial" w:hAnsi="Arial"/>
          <w:sz w:val="20"/>
          <w:szCs w:val="20"/>
          <w:color w:val="auto"/>
        </w:rPr>
        <w:t>During 2007, the company’s long-term debt decreased $646 million to $4.6 billion. At December 31, 2007, the company’s long-term debt had a weighted average life to maturity of 11.8 years and a weighted average interest rate of 5.47 percent. In 2007, the company repaid $1.1 billion and issued $404 million in long-term debt.</w:t>
      </w:r>
    </w:p>
    <w:p>
      <w:pPr>
        <w:spacing w:after="0" w:line="213" w:lineRule="exact"/>
        <w:rPr>
          <w:sz w:val="20"/>
          <w:szCs w:val="20"/>
          <w:color w:val="auto"/>
        </w:rPr>
      </w:pPr>
    </w:p>
    <w:p>
      <w:pPr>
        <w:ind w:right="600"/>
        <w:spacing w:after="0" w:line="260" w:lineRule="auto"/>
        <w:rPr>
          <w:sz w:val="20"/>
          <w:szCs w:val="20"/>
          <w:color w:val="auto"/>
        </w:rPr>
      </w:pPr>
      <w:r>
        <w:rPr>
          <w:rFonts w:ascii="Arial" w:cs="Arial" w:eastAsia="Arial" w:hAnsi="Arial"/>
          <w:sz w:val="20"/>
          <w:szCs w:val="20"/>
          <w:color w:val="auto"/>
        </w:rPr>
        <w:t>In September 2007, SDG&amp;E publicly offered and sold $250 million of 6.125-percent first mortgage bonds, maturing in 2037. SDG&amp;E’s variable interest entity, OMEC LLC, had construction loan borrowings of $63 million.</w:t>
      </w:r>
    </w:p>
    <w:p>
      <w:pPr>
        <w:spacing w:after="0" w:line="204" w:lineRule="exact"/>
        <w:rPr>
          <w:sz w:val="20"/>
          <w:szCs w:val="20"/>
          <w:color w:val="auto"/>
        </w:rPr>
      </w:pPr>
    </w:p>
    <w:p>
      <w:pPr>
        <w:ind w:right="60"/>
        <w:spacing w:after="0" w:line="244" w:lineRule="auto"/>
        <w:rPr>
          <w:sz w:val="20"/>
          <w:szCs w:val="20"/>
          <w:color w:val="auto"/>
        </w:rPr>
      </w:pPr>
      <w:r>
        <w:rPr>
          <w:rFonts w:ascii="Arial" w:cs="Arial" w:eastAsia="Arial" w:hAnsi="Arial"/>
          <w:sz w:val="20"/>
          <w:szCs w:val="20"/>
          <w:color w:val="auto"/>
        </w:rPr>
        <w:t>In September 2006, SDG&amp;E issued $161 million of variable-rate first mortgage bonds, maturing in 2018, and applied the proceeds in November 2006 to retire an identical amount of first mortgage bonds and related tax-exempt industrial development bonds of a similar weighted-average maturity. The bonds will secure the repayment of tax-exempt industrial development bonds of an identical amount, maturity and interest rate issued by the City of Chula Vista, the proceeds of which have been loaned to SDG&amp;E and will be repaid with payments on the first mortgage bonds.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In June 2006, SDG&amp;E publicly offered and sold $250 million of 6-percent first mortgage bonds, maturing in 2026.</w:t>
      </w:r>
    </w:p>
    <w:p>
      <w:pPr>
        <w:spacing w:after="0" w:line="243"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In 2006, Sempra Pipelines &amp; Storage incurred $128 million of long-term debt in order to reduce its property tax related to the Liberty facility in Calcasieu Parish, as discussed in Note 6 of the Notes to Consolidated Financial Statements. Related to the debt, Sempra Pipelines &amp; Storage recorded bonds receivable for the same amount.</w:t>
      </w:r>
    </w:p>
    <w:p>
      <w:pPr>
        <w:spacing w:after="0" w:line="213" w:lineRule="exact"/>
        <w:rPr>
          <w:sz w:val="20"/>
          <w:szCs w:val="20"/>
          <w:color w:val="auto"/>
        </w:rPr>
      </w:pPr>
    </w:p>
    <w:p>
      <w:pPr>
        <w:ind w:right="340"/>
        <w:spacing w:after="0" w:line="260" w:lineRule="auto"/>
        <w:rPr>
          <w:sz w:val="20"/>
          <w:szCs w:val="20"/>
          <w:color w:val="auto"/>
        </w:rPr>
      </w:pPr>
      <w:r>
        <w:rPr>
          <w:rFonts w:ascii="Arial" w:cs="Arial" w:eastAsia="Arial" w:hAnsi="Arial"/>
          <w:sz w:val="20"/>
          <w:szCs w:val="20"/>
          <w:color w:val="auto"/>
        </w:rPr>
        <w:t>In November 2005, SDG&amp;E and SoCalGas each publicly offered and sold $250 million of 5.30-percent and 5.75-percent, respectively, first mortgage bonds, maturing in 2015 and 2035, respectively.</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In May 2005, SDG&amp;E publicly offered and sold $250 million of 5.35-percent first mortgage bonds, maturing in 2035.</w:t>
      </w:r>
    </w:p>
    <w:p>
      <w:pPr>
        <w:spacing w:after="0" w:line="243" w:lineRule="exact"/>
        <w:rPr>
          <w:sz w:val="20"/>
          <w:szCs w:val="20"/>
          <w:color w:val="auto"/>
        </w:rPr>
      </w:pPr>
    </w:p>
    <w:p>
      <w:pPr>
        <w:ind w:right="400"/>
        <w:spacing w:after="0" w:line="250" w:lineRule="auto"/>
        <w:rPr>
          <w:sz w:val="20"/>
          <w:szCs w:val="20"/>
          <w:color w:val="auto"/>
        </w:rPr>
      </w:pPr>
      <w:r>
        <w:rPr>
          <w:rFonts w:ascii="Arial" w:cs="Arial" w:eastAsia="Arial" w:hAnsi="Arial"/>
          <w:sz w:val="20"/>
          <w:szCs w:val="20"/>
          <w:color w:val="auto"/>
        </w:rPr>
        <w:t>Payments on long-term debt in 2007 primarily consisted of $600 million of notes payable that matured in May 2007, $300 million of notes payable that were due in May 2008 but redeemed in August 2007 and $66 million, the remaining outstanding balance of SDG&amp;E’s rate-reduction bonds.</w:t>
      </w:r>
    </w:p>
    <w:p>
      <w:pPr>
        <w:spacing w:after="0" w:line="213" w:lineRule="exact"/>
        <w:rPr>
          <w:sz w:val="20"/>
          <w:szCs w:val="20"/>
          <w:color w:val="auto"/>
        </w:rPr>
      </w:pPr>
    </w:p>
    <w:p>
      <w:pPr>
        <w:ind w:right="500"/>
        <w:spacing w:after="0" w:line="287" w:lineRule="auto"/>
        <w:rPr>
          <w:sz w:val="20"/>
          <w:szCs w:val="20"/>
          <w:color w:val="auto"/>
        </w:rPr>
      </w:pPr>
      <w:r>
        <w:rPr>
          <w:rFonts w:ascii="Arial" w:cs="Arial" w:eastAsia="Arial" w:hAnsi="Arial"/>
          <w:sz w:val="19"/>
          <w:szCs w:val="19"/>
          <w:color w:val="auto"/>
        </w:rPr>
        <w:t>Payments on long-term debt in 2006 primarily included $161 million of SDG&amp;E's first mortgage bonds and $66 million of rate-reduction bonds. Also in 2006, Sempra Financial repaid $24 million of debt incurred to acquire limited partnership interests.</w:t>
      </w:r>
    </w:p>
    <w:p>
      <w:pPr>
        <w:spacing w:after="0" w:line="180" w:lineRule="exact"/>
        <w:rPr>
          <w:sz w:val="20"/>
          <w:szCs w:val="20"/>
          <w:color w:val="auto"/>
        </w:rPr>
      </w:pPr>
    </w:p>
    <w:p>
      <w:pPr>
        <w:ind w:right="720"/>
        <w:spacing w:after="0" w:line="260" w:lineRule="auto"/>
        <w:rPr>
          <w:sz w:val="20"/>
          <w:szCs w:val="20"/>
          <w:color w:val="auto"/>
        </w:rPr>
      </w:pPr>
      <w:r>
        <w:rPr>
          <w:rFonts w:ascii="Arial" w:cs="Arial" w:eastAsia="Arial" w:hAnsi="Arial"/>
          <w:sz w:val="20"/>
          <w:szCs w:val="20"/>
          <w:color w:val="auto"/>
        </w:rPr>
        <w:t>Payments on long-term debt in 2005 included $300 million of notes payable that matured in December 2005 and $66 million related to SDG&amp;E's rate-reduction bonds. Also in 2005, Sempra Generation repaid</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color w:val="auto"/>
        </w:rPr>
        <w:t>21</w:t>
      </w:r>
    </w:p>
    <w:p>
      <w:pPr>
        <w:sectPr>
          <w:pgSz w:w="11900" w:h="16838" w:orient="portrait"/>
          <w:cols w:equalWidth="0" w:num="1">
            <w:col w:w="11400"/>
          </w:cols>
          <w:pgMar w:left="240" w:top="121" w:right="259" w:bottom="1440" w:gutter="0" w:footer="0" w:header="0"/>
        </w:sectPr>
      </w:pPr>
    </w:p>
    <w:bookmarkStart w:id="89" w:name="page90"/>
    <w:bookmarkEnd w:id="89"/>
    <w:p>
      <w:pPr>
        <w:ind w:right="120"/>
        <w:spacing w:after="0" w:line="262" w:lineRule="auto"/>
        <w:rPr>
          <w:sz w:val="20"/>
          <w:szCs w:val="20"/>
          <w:color w:val="auto"/>
        </w:rPr>
      </w:pPr>
      <w:r>
        <w:rPr>
          <w:rFonts w:ascii="Arial" w:cs="Arial" w:eastAsia="Arial" w:hAnsi="Arial"/>
          <w:sz w:val="20"/>
          <w:szCs w:val="20"/>
          <w:color w:val="auto"/>
        </w:rPr>
        <w:t>$122 million of debt assumed in its purchase of the remaining interest in El Dorado, and Sempra Financial repaid $28 million of debt incurred to acquire limited partnership interests.</w:t>
      </w:r>
    </w:p>
    <w:p>
      <w:pPr>
        <w:spacing w:after="0" w:line="201" w:lineRule="exact"/>
        <w:rPr>
          <w:sz w:val="20"/>
          <w:szCs w:val="20"/>
          <w:color w:val="auto"/>
        </w:rPr>
      </w:pPr>
    </w:p>
    <w:p>
      <w:pPr>
        <w:ind w:right="640"/>
        <w:spacing w:after="0" w:line="260" w:lineRule="auto"/>
        <w:rPr>
          <w:sz w:val="20"/>
          <w:szCs w:val="20"/>
          <w:color w:val="auto"/>
        </w:rPr>
      </w:pPr>
      <w:r>
        <w:rPr>
          <w:rFonts w:ascii="Arial" w:cs="Arial" w:eastAsia="Arial" w:hAnsi="Arial"/>
          <w:sz w:val="20"/>
          <w:szCs w:val="20"/>
          <w:color w:val="auto"/>
        </w:rPr>
        <w:t>Note 6 of the Notes to Consolidated Financial Statements provides information concerning lines of credit and further discussion of debt activity.</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Capital Stock Transactions</w:t>
      </w:r>
    </w:p>
    <w:p>
      <w:pPr>
        <w:spacing w:after="0" w:line="249" w:lineRule="exact"/>
        <w:rPr>
          <w:sz w:val="20"/>
          <w:szCs w:val="20"/>
          <w:color w:val="auto"/>
        </w:rPr>
      </w:pPr>
    </w:p>
    <w:p>
      <w:pPr>
        <w:jc w:val="both"/>
        <w:ind w:right="400"/>
        <w:spacing w:after="0" w:line="269" w:lineRule="auto"/>
        <w:rPr>
          <w:sz w:val="20"/>
          <w:szCs w:val="20"/>
          <w:color w:val="auto"/>
        </w:rPr>
      </w:pPr>
      <w:r>
        <w:rPr>
          <w:rFonts w:ascii="Arial" w:cs="Arial" w:eastAsia="Arial" w:hAnsi="Arial"/>
          <w:sz w:val="19"/>
          <w:szCs w:val="19"/>
          <w:color w:val="auto"/>
        </w:rPr>
        <w:t>During 2007, the company repurchased almost 3 million shares of common stock for $161 million in connection with the share repurchase program authorized in 2005, as discussed in Note 13 of the Notes to Consolidated Financial Statements. Cash provided by employee stock option exercises was $32 million, $79 million and $90 million in 2007, 2006 and 2005, respectively.</w:t>
      </w:r>
    </w:p>
    <w:p>
      <w:pPr>
        <w:spacing w:after="0" w:line="197" w:lineRule="exact"/>
        <w:rPr>
          <w:sz w:val="20"/>
          <w:szCs w:val="20"/>
          <w:color w:val="auto"/>
        </w:rPr>
      </w:pPr>
    </w:p>
    <w:p>
      <w:pPr>
        <w:ind w:right="60"/>
        <w:spacing w:after="0" w:line="291" w:lineRule="auto"/>
        <w:rPr>
          <w:sz w:val="20"/>
          <w:szCs w:val="20"/>
          <w:color w:val="auto"/>
        </w:rPr>
      </w:pPr>
      <w:r>
        <w:rPr>
          <w:rFonts w:ascii="Arial" w:cs="Arial" w:eastAsia="Arial" w:hAnsi="Arial"/>
          <w:sz w:val="18"/>
          <w:szCs w:val="18"/>
          <w:color w:val="auto"/>
        </w:rPr>
        <w:t>During 2005, 19.7 million shares of common stock were issued at $30.52 per share in settlement of the 2002 share purchase contracts included in the company's $600 million of Equity Units. Also during 2005, the company repurchased common stock for $95 million, including 2.3 million shares of common stock at a cost of $88 million in connection with the share repurchase program authorized in 2005.</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Dividends</w:t>
      </w:r>
    </w:p>
    <w:p>
      <w:pPr>
        <w:spacing w:after="0" w:line="249" w:lineRule="exact"/>
        <w:rPr>
          <w:sz w:val="20"/>
          <w:szCs w:val="20"/>
          <w:color w:val="auto"/>
        </w:rPr>
      </w:pPr>
    </w:p>
    <w:p>
      <w:pPr>
        <w:spacing w:after="0" w:line="278" w:lineRule="auto"/>
        <w:rPr>
          <w:sz w:val="20"/>
          <w:szCs w:val="20"/>
          <w:color w:val="auto"/>
        </w:rPr>
      </w:pPr>
      <w:r>
        <w:rPr>
          <w:rFonts w:ascii="Arial" w:cs="Arial" w:eastAsia="Arial" w:hAnsi="Arial"/>
          <w:sz w:val="18"/>
          <w:szCs w:val="18"/>
          <w:color w:val="auto"/>
        </w:rPr>
        <w:t>Dividends paid on common stock were $316 million in 2007, $283 million in 2006 and $268 million in 2005. The increases were primarily due to increases in the per-share quarterly dividend from $0.29 in 2005 to $0.30 in 2006 and $0.31 in 2007. In February 2008, the company’s board of directors approved an increase in quarterly dividends from $0.31 per share to $0.32 per share. Following the expected closing of the transaction with RBS, the company expects that its board of directors will increase the company’s quarterly common stock dividend to $0.35 per share ($1.40 annually) and target an annual dividend payment ratio of 35 percent to 40 percent of net income.</w:t>
      </w:r>
    </w:p>
    <w:p>
      <w:pPr>
        <w:spacing w:after="0" w:line="192" w:lineRule="exact"/>
        <w:rPr>
          <w:sz w:val="20"/>
          <w:szCs w:val="20"/>
          <w:color w:val="auto"/>
        </w:rPr>
      </w:pPr>
    </w:p>
    <w:p>
      <w:pPr>
        <w:ind w:right="60"/>
        <w:spacing w:after="0" w:line="246" w:lineRule="auto"/>
        <w:rPr>
          <w:sz w:val="20"/>
          <w:szCs w:val="20"/>
          <w:color w:val="auto"/>
        </w:rPr>
      </w:pPr>
      <w:r>
        <w:rPr>
          <w:rFonts w:ascii="Arial" w:cs="Arial" w:eastAsia="Arial" w:hAnsi="Arial"/>
          <w:sz w:val="20"/>
          <w:szCs w:val="20"/>
          <w:color w:val="auto"/>
        </w:rPr>
        <w:t>The payment and amount of future dividends are at the discretion of the company's board of directors. The CPUC's regulation of the Sempra Utilities' capital structure limits the amounts that are available for loans and dividends to the company from the Sempra Utilities. At December 31, 2007, SoCalGas and SDG&amp;E could have provided a total (combined loans and dividends) of $30 million and $29 million, respectively, to Sempra Energy.</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Capitalization</w:t>
      </w:r>
    </w:p>
    <w:p>
      <w:pPr>
        <w:spacing w:after="0" w:line="249"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At December 31, 2007, total capitalization, including short-term debt and the current portion of long-term debt, was $14.3 billion. The debt-to-capitalization ratio was 39 percent at December 31, 2007. Significant changes affecting capitalization during 2007 included common stock issuances and repurchases, a net decrease in long-term debt, increases in short-term borrowings, an increase in minority interest, and comprehensive income exceeding dividends. Additional discussion related to the significant changes is provided in Notes 6 and 13 of the Notes to Consolidated Financial Statements and "Results of Operations" above.</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0"/>
          <w:szCs w:val="20"/>
          <w:color w:val="auto"/>
        </w:rPr>
        <w:t>22</w:t>
      </w:r>
    </w:p>
    <w:p>
      <w:pPr>
        <w:sectPr>
          <w:pgSz w:w="11900" w:h="16838" w:orient="portrait"/>
          <w:cols w:equalWidth="0" w:num="1">
            <w:col w:w="11380"/>
          </w:cols>
          <w:pgMar w:left="240" w:top="121" w:right="279" w:bottom="1440" w:gutter="0" w:footer="0" w:header="0"/>
        </w:sectPr>
      </w:pPr>
    </w:p>
    <w:bookmarkStart w:id="90" w:name="page91"/>
    <w:bookmarkEnd w:id="90"/>
    <w:p>
      <w:pPr>
        <w:spacing w:after="0"/>
        <w:rPr>
          <w:sz w:val="20"/>
          <w:szCs w:val="20"/>
          <w:color w:val="auto"/>
        </w:rPr>
      </w:pPr>
      <w:r>
        <w:rPr>
          <w:rFonts w:ascii="Arial" w:cs="Arial" w:eastAsia="Arial" w:hAnsi="Arial"/>
          <w:sz w:val="20"/>
          <w:szCs w:val="20"/>
          <w:b w:val="1"/>
          <w:bCs w:val="1"/>
          <w:color w:val="auto"/>
        </w:rPr>
        <w:t>Commitments</w:t>
      </w:r>
    </w:p>
    <w:p>
      <w:pPr>
        <w:spacing w:after="0" w:line="250" w:lineRule="exact"/>
        <w:rPr>
          <w:sz w:val="20"/>
          <w:szCs w:val="20"/>
          <w:color w:val="auto"/>
        </w:rPr>
      </w:pPr>
    </w:p>
    <w:p>
      <w:pPr>
        <w:spacing w:after="0" w:line="287" w:lineRule="auto"/>
        <w:rPr>
          <w:sz w:val="20"/>
          <w:szCs w:val="20"/>
          <w:color w:val="auto"/>
        </w:rPr>
      </w:pPr>
      <w:r>
        <w:rPr>
          <w:rFonts w:ascii="Arial" w:cs="Arial" w:eastAsia="Arial" w:hAnsi="Arial"/>
          <w:sz w:val="19"/>
          <w:szCs w:val="19"/>
          <w:color w:val="auto"/>
        </w:rPr>
        <w:t>The following is a summary of the company's principal contractual commitments at December 31, 2007. Additional information concerning commitments is provided above and in Notes 2, 6, 9, 12 and 16 of the Notes to Consolidated Financial Statements.</w:t>
      </w:r>
    </w:p>
    <w:p>
      <w:pPr>
        <w:spacing w:after="0" w:line="200" w:lineRule="exact"/>
        <w:rPr>
          <w:sz w:val="20"/>
          <w:szCs w:val="20"/>
          <w:color w:val="auto"/>
        </w:rPr>
      </w:pPr>
    </w:p>
    <w:p>
      <w:pPr>
        <w:spacing w:after="0" w:line="239" w:lineRule="exact"/>
        <w:rPr>
          <w:sz w:val="20"/>
          <w:szCs w:val="20"/>
          <w:color w:val="auto"/>
        </w:rPr>
      </w:pPr>
    </w:p>
    <w:tbl>
      <w:tblPr>
        <w:tblLayout w:type="fixed"/>
        <w:tblInd w:w="1700" w:type="dxa"/>
        <w:tblCellMar>
          <w:top w:w="0" w:type="dxa"/>
          <w:left w:w="0" w:type="dxa"/>
          <w:bottom w:w="0" w:type="dxa"/>
          <w:right w:w="0" w:type="dxa"/>
        </w:tblCellMar>
      </w:tblPr>
      <w:tr>
        <w:trPr>
          <w:trHeight w:val="216"/>
        </w:trPr>
        <w:tc>
          <w:tcPr>
            <w:tcW w:w="2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jc w:val="right"/>
              <w:ind w:right="110"/>
              <w:spacing w:after="0"/>
              <w:rPr>
                <w:sz w:val="20"/>
                <w:szCs w:val="20"/>
                <w:color w:val="auto"/>
              </w:rPr>
            </w:pPr>
            <w:r>
              <w:rPr>
                <w:rFonts w:ascii="Arial" w:cs="Arial" w:eastAsia="Arial" w:hAnsi="Arial"/>
                <w:sz w:val="18"/>
                <w:szCs w:val="18"/>
                <w:color w:val="auto"/>
              </w:rPr>
              <w:t>2009</w:t>
            </w:r>
          </w:p>
        </w:tc>
        <w:tc>
          <w:tcPr>
            <w:tcW w:w="360" w:type="dxa"/>
            <w:vAlign w:val="bottom"/>
          </w:tcPr>
          <w:p>
            <w:pPr>
              <w:spacing w:after="0"/>
              <w:rPr>
                <w:sz w:val="18"/>
                <w:szCs w:val="18"/>
                <w:color w:val="auto"/>
              </w:rPr>
            </w:pP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2011</w:t>
            </w: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37"/>
        </w:trPr>
        <w:tc>
          <w:tcPr>
            <w:tcW w:w="2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(Dollars in millions)</w:t>
            </w:r>
          </w:p>
        </w:tc>
        <w:tc>
          <w:tcPr>
            <w:tcW w:w="3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2008</w:t>
            </w:r>
          </w:p>
        </w:tc>
        <w:tc>
          <w:tcPr>
            <w:tcW w:w="1100" w:type="dxa"/>
            <w:vAlign w:val="bottom"/>
            <w:tcBorders>
              <w:bottom w:val="single" w:sz="8" w:color="auto"/>
            </w:tcBorders>
            <w:gridSpan w:val="2"/>
          </w:tcPr>
          <w:p>
            <w:pPr>
              <w:ind w:left="240"/>
              <w:spacing w:after="0"/>
              <w:rPr>
                <w:sz w:val="20"/>
                <w:szCs w:val="20"/>
                <w:color w:val="auto"/>
              </w:rPr>
            </w:pPr>
            <w:r>
              <w:rPr>
                <w:rFonts w:ascii="Arial" w:cs="Arial" w:eastAsia="Arial" w:hAnsi="Arial"/>
                <w:sz w:val="18"/>
                <w:szCs w:val="18"/>
                <w:color w:val="auto"/>
              </w:rPr>
              <w:t>and 2010</w:t>
            </w:r>
          </w:p>
        </w:tc>
        <w:tc>
          <w:tcPr>
            <w:tcW w:w="1040" w:type="dxa"/>
            <w:vAlign w:val="bottom"/>
            <w:tcBorders>
              <w:bottom w:val="single" w:sz="8" w:color="auto"/>
            </w:tcBorders>
            <w:gridSpan w:val="2"/>
          </w:tcPr>
          <w:p>
            <w:pPr>
              <w:ind w:left="200"/>
              <w:spacing w:after="0"/>
              <w:rPr>
                <w:sz w:val="20"/>
                <w:szCs w:val="20"/>
                <w:color w:val="auto"/>
              </w:rPr>
            </w:pPr>
            <w:r>
              <w:rPr>
                <w:rFonts w:ascii="Arial" w:cs="Arial" w:eastAsia="Arial" w:hAnsi="Arial"/>
                <w:sz w:val="18"/>
                <w:szCs w:val="18"/>
                <w:color w:val="auto"/>
              </w:rPr>
              <w:t>and 2012</w:t>
            </w:r>
          </w:p>
        </w:tc>
        <w:tc>
          <w:tcPr>
            <w:tcW w:w="1140" w:type="dxa"/>
            <w:vAlign w:val="bottom"/>
            <w:tcBorders>
              <w:bottom w:val="single" w:sz="8" w:color="auto"/>
            </w:tcBorders>
            <w:gridSpan w:val="2"/>
          </w:tcPr>
          <w:p>
            <w:pPr>
              <w:ind w:left="200"/>
              <w:spacing w:after="0"/>
              <w:rPr>
                <w:sz w:val="20"/>
                <w:szCs w:val="20"/>
                <w:color w:val="auto"/>
              </w:rPr>
            </w:pPr>
            <w:r>
              <w:rPr>
                <w:rFonts w:ascii="Arial" w:cs="Arial" w:eastAsia="Arial" w:hAnsi="Arial"/>
                <w:sz w:val="18"/>
                <w:szCs w:val="18"/>
                <w:color w:val="auto"/>
              </w:rPr>
              <w:t>Thereafter</w:t>
            </w:r>
          </w:p>
        </w:tc>
        <w:tc>
          <w:tcPr>
            <w:tcW w:w="3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Total</w:t>
            </w:r>
          </w:p>
        </w:tc>
      </w:tr>
      <w:tr>
        <w:trPr>
          <w:trHeight w:val="237"/>
        </w:trPr>
        <w:tc>
          <w:tcPr>
            <w:tcW w:w="2740" w:type="dxa"/>
            <w:vAlign w:val="bottom"/>
          </w:tcPr>
          <w:p>
            <w:pPr>
              <w:spacing w:after="0"/>
              <w:rPr>
                <w:sz w:val="20"/>
                <w:szCs w:val="20"/>
                <w:color w:val="auto"/>
              </w:rPr>
            </w:pPr>
            <w:r>
              <w:rPr>
                <w:rFonts w:ascii="Arial" w:cs="Arial" w:eastAsia="Arial" w:hAnsi="Arial"/>
                <w:sz w:val="18"/>
                <w:szCs w:val="18"/>
                <w:color w:val="auto"/>
              </w:rPr>
              <w:t>Short-term debt</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1,064</w:t>
            </w:r>
          </w:p>
        </w:tc>
        <w:tc>
          <w:tcPr>
            <w:tcW w:w="400" w:type="dxa"/>
            <w:vAlign w:val="bottom"/>
          </w:tcPr>
          <w:p>
            <w:pPr>
              <w:ind w:left="22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360" w:type="dxa"/>
            <w:vAlign w:val="bottom"/>
          </w:tcPr>
          <w:p>
            <w:pPr>
              <w:ind w:left="18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80" w:type="dxa"/>
            <w:vAlign w:val="bottom"/>
          </w:tcPr>
          <w:p>
            <w:pPr>
              <w:ind w:left="20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1,064</w:t>
            </w:r>
          </w:p>
        </w:tc>
      </w:tr>
      <w:tr>
        <w:trPr>
          <w:trHeight w:val="249"/>
        </w:trPr>
        <w:tc>
          <w:tcPr>
            <w:tcW w:w="2740" w:type="dxa"/>
            <w:vAlign w:val="bottom"/>
            <w:shd w:val="clear" w:color="auto" w:fill="CCFFCC"/>
          </w:tcPr>
          <w:p>
            <w:pPr>
              <w:spacing w:after="0"/>
              <w:rPr>
                <w:sz w:val="20"/>
                <w:szCs w:val="20"/>
                <w:color w:val="auto"/>
              </w:rPr>
            </w:pPr>
            <w:r>
              <w:rPr>
                <w:rFonts w:ascii="Arial" w:cs="Arial" w:eastAsia="Arial" w:hAnsi="Arial"/>
                <w:sz w:val="18"/>
                <w:szCs w:val="18"/>
                <w:color w:val="auto"/>
              </w:rPr>
              <w:t>Long-term debt</w:t>
            </w:r>
          </w:p>
        </w:tc>
        <w:tc>
          <w:tcPr>
            <w:tcW w:w="300" w:type="dxa"/>
            <w:vAlign w:val="bottom"/>
            <w:shd w:val="clear" w:color="auto" w:fill="CCFFCC"/>
          </w:tcPr>
          <w:p>
            <w:pPr>
              <w:spacing w:after="0"/>
              <w:rPr>
                <w:sz w:val="21"/>
                <w:szCs w:val="21"/>
                <w:color w:val="auto"/>
              </w:rPr>
            </w:pPr>
          </w:p>
        </w:tc>
        <w:tc>
          <w:tcPr>
            <w:tcW w:w="72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rPr>
              <w:t>7</w:t>
            </w:r>
          </w:p>
        </w:tc>
        <w:tc>
          <w:tcPr>
            <w:tcW w:w="400" w:type="dxa"/>
            <w:vAlign w:val="bottom"/>
            <w:shd w:val="clear" w:color="auto" w:fill="CCFFCC"/>
          </w:tcPr>
          <w:p>
            <w:pPr>
              <w:spacing w:after="0"/>
              <w:rPr>
                <w:sz w:val="21"/>
                <w:szCs w:val="21"/>
                <w:color w:val="auto"/>
              </w:rPr>
            </w:pPr>
          </w:p>
        </w:tc>
        <w:tc>
          <w:tcPr>
            <w:tcW w:w="70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936</w:t>
            </w:r>
          </w:p>
        </w:tc>
        <w:tc>
          <w:tcPr>
            <w:tcW w:w="360" w:type="dxa"/>
            <w:vAlign w:val="bottom"/>
            <w:shd w:val="clear" w:color="auto" w:fill="CCFFCC"/>
          </w:tcPr>
          <w:p>
            <w:pPr>
              <w:spacing w:after="0"/>
              <w:rPr>
                <w:sz w:val="21"/>
                <w:szCs w:val="21"/>
                <w:color w:val="auto"/>
              </w:rPr>
            </w:pPr>
          </w:p>
        </w:tc>
        <w:tc>
          <w:tcPr>
            <w:tcW w:w="68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528</w:t>
            </w:r>
          </w:p>
        </w:tc>
        <w:tc>
          <w:tcPr>
            <w:tcW w:w="380" w:type="dxa"/>
            <w:vAlign w:val="bottom"/>
            <w:shd w:val="clear" w:color="auto" w:fill="CCFFCC"/>
          </w:tcPr>
          <w:p>
            <w:pPr>
              <w:spacing w:after="0"/>
              <w:rPr>
                <w:sz w:val="21"/>
                <w:szCs w:val="21"/>
                <w:color w:val="auto"/>
              </w:rPr>
            </w:pPr>
          </w:p>
        </w:tc>
        <w:tc>
          <w:tcPr>
            <w:tcW w:w="76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3,089</w:t>
            </w:r>
          </w:p>
        </w:tc>
        <w:tc>
          <w:tcPr>
            <w:tcW w:w="380" w:type="dxa"/>
            <w:vAlign w:val="bottom"/>
            <w:shd w:val="clear" w:color="auto" w:fill="CCFFCC"/>
          </w:tcPr>
          <w:p>
            <w:pPr>
              <w:spacing w:after="0"/>
              <w:rPr>
                <w:sz w:val="21"/>
                <w:szCs w:val="21"/>
                <w:color w:val="auto"/>
              </w:rPr>
            </w:pPr>
          </w:p>
        </w:tc>
        <w:tc>
          <w:tcPr>
            <w:tcW w:w="6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4,560</w:t>
            </w:r>
          </w:p>
        </w:tc>
      </w:tr>
      <w:tr>
        <w:trPr>
          <w:trHeight w:val="237"/>
        </w:trPr>
        <w:tc>
          <w:tcPr>
            <w:tcW w:w="2740" w:type="dxa"/>
            <w:vAlign w:val="bottom"/>
          </w:tcPr>
          <w:p>
            <w:pPr>
              <w:spacing w:after="0"/>
              <w:rPr>
                <w:sz w:val="20"/>
                <w:szCs w:val="20"/>
                <w:color w:val="auto"/>
              </w:rPr>
            </w:pPr>
            <w:r>
              <w:rPr>
                <w:rFonts w:ascii="Arial" w:cs="Arial" w:eastAsia="Arial" w:hAnsi="Arial"/>
                <w:sz w:val="18"/>
                <w:szCs w:val="18"/>
                <w:color w:val="auto"/>
              </w:rPr>
              <w:t>Interest on debt (1)</w:t>
            </w:r>
          </w:p>
        </w:tc>
        <w:tc>
          <w:tcPr>
            <w:tcW w:w="300" w:type="dxa"/>
            <w:vAlign w:val="bottom"/>
          </w:tcPr>
          <w:p>
            <w:pPr>
              <w:spacing w:after="0"/>
              <w:rPr>
                <w:sz w:val="20"/>
                <w:szCs w:val="20"/>
                <w:color w:val="auto"/>
              </w:rPr>
            </w:pP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250</w:t>
            </w:r>
          </w:p>
        </w:tc>
        <w:tc>
          <w:tcPr>
            <w:tcW w:w="400" w:type="dxa"/>
            <w:vAlign w:val="bottom"/>
          </w:tcPr>
          <w:p>
            <w:pPr>
              <w:spacing w:after="0"/>
              <w:rPr>
                <w:sz w:val="20"/>
                <w:szCs w:val="20"/>
                <w:color w:val="auto"/>
              </w:rPr>
            </w:pPr>
          </w:p>
        </w:tc>
        <w:tc>
          <w:tcPr>
            <w:tcW w:w="700" w:type="dxa"/>
            <w:vAlign w:val="bottom"/>
          </w:tcPr>
          <w:p>
            <w:pPr>
              <w:jc w:val="right"/>
              <w:ind w:right="110"/>
              <w:spacing w:after="0"/>
              <w:rPr>
                <w:sz w:val="20"/>
                <w:szCs w:val="20"/>
                <w:color w:val="auto"/>
              </w:rPr>
            </w:pPr>
            <w:r>
              <w:rPr>
                <w:rFonts w:ascii="Arial" w:cs="Arial" w:eastAsia="Arial" w:hAnsi="Arial"/>
                <w:sz w:val="18"/>
                <w:szCs w:val="18"/>
                <w:color w:val="auto"/>
              </w:rPr>
              <w:t>439</w:t>
            </w:r>
          </w:p>
        </w:tc>
        <w:tc>
          <w:tcPr>
            <w:tcW w:w="360" w:type="dxa"/>
            <w:vAlign w:val="bottom"/>
          </w:tcPr>
          <w:p>
            <w:pPr>
              <w:spacing w:after="0"/>
              <w:rPr>
                <w:sz w:val="20"/>
                <w:szCs w:val="20"/>
                <w:color w:val="auto"/>
              </w:rPr>
            </w:pP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345</w:t>
            </w:r>
          </w:p>
        </w:tc>
        <w:tc>
          <w:tcPr>
            <w:tcW w:w="380" w:type="dxa"/>
            <w:vAlign w:val="bottom"/>
          </w:tcPr>
          <w:p>
            <w:pPr>
              <w:spacing w:after="0"/>
              <w:rPr>
                <w:sz w:val="20"/>
                <w:szCs w:val="20"/>
                <w:color w:val="auto"/>
              </w:rPr>
            </w:pPr>
          </w:p>
        </w:tc>
        <w:tc>
          <w:tcPr>
            <w:tcW w:w="760" w:type="dxa"/>
            <w:vAlign w:val="bottom"/>
          </w:tcPr>
          <w:p>
            <w:pPr>
              <w:jc w:val="right"/>
              <w:ind w:right="90"/>
              <w:spacing w:after="0"/>
              <w:rPr>
                <w:sz w:val="20"/>
                <w:szCs w:val="20"/>
                <w:color w:val="auto"/>
              </w:rPr>
            </w:pPr>
            <w:r>
              <w:rPr>
                <w:rFonts w:ascii="Arial" w:cs="Arial" w:eastAsia="Arial" w:hAnsi="Arial"/>
                <w:sz w:val="18"/>
                <w:szCs w:val="18"/>
                <w:color w:val="auto"/>
              </w:rPr>
              <w:t>1,864</w:t>
            </w:r>
          </w:p>
        </w:tc>
        <w:tc>
          <w:tcPr>
            <w:tcW w:w="3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2,898</w:t>
            </w:r>
          </w:p>
        </w:tc>
      </w:tr>
      <w:tr>
        <w:trPr>
          <w:trHeight w:val="249"/>
        </w:trPr>
        <w:tc>
          <w:tcPr>
            <w:tcW w:w="2740" w:type="dxa"/>
            <w:vAlign w:val="bottom"/>
            <w:shd w:val="clear" w:color="auto" w:fill="CCFFCC"/>
          </w:tcPr>
          <w:p>
            <w:pPr>
              <w:spacing w:after="0"/>
              <w:rPr>
                <w:sz w:val="20"/>
                <w:szCs w:val="20"/>
                <w:color w:val="auto"/>
              </w:rPr>
            </w:pPr>
            <w:r>
              <w:rPr>
                <w:rFonts w:ascii="Arial" w:cs="Arial" w:eastAsia="Arial" w:hAnsi="Arial"/>
                <w:sz w:val="18"/>
                <w:szCs w:val="18"/>
                <w:color w:val="auto"/>
              </w:rPr>
              <w:t>Due to unconsolidated affiliates</w:t>
            </w:r>
          </w:p>
        </w:tc>
        <w:tc>
          <w:tcPr>
            <w:tcW w:w="300" w:type="dxa"/>
            <w:vAlign w:val="bottom"/>
            <w:shd w:val="clear" w:color="auto" w:fill="CCFFCC"/>
          </w:tcPr>
          <w:p>
            <w:pPr>
              <w:spacing w:after="0"/>
              <w:rPr>
                <w:sz w:val="21"/>
                <w:szCs w:val="21"/>
                <w:color w:val="auto"/>
              </w:rPr>
            </w:pPr>
          </w:p>
        </w:tc>
        <w:tc>
          <w:tcPr>
            <w:tcW w:w="72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rPr>
              <w:t>60</w:t>
            </w:r>
          </w:p>
        </w:tc>
        <w:tc>
          <w:tcPr>
            <w:tcW w:w="400" w:type="dxa"/>
            <w:vAlign w:val="bottom"/>
            <w:shd w:val="clear" w:color="auto" w:fill="CCFFCC"/>
          </w:tcPr>
          <w:p>
            <w:pPr>
              <w:spacing w:after="0"/>
              <w:rPr>
                <w:sz w:val="21"/>
                <w:szCs w:val="21"/>
                <w:color w:val="auto"/>
              </w:rPr>
            </w:pPr>
          </w:p>
        </w:tc>
        <w:tc>
          <w:tcPr>
            <w:tcW w:w="70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FFCC"/>
          </w:tcPr>
          <w:p>
            <w:pPr>
              <w:spacing w:after="0"/>
              <w:rPr>
                <w:sz w:val="21"/>
                <w:szCs w:val="21"/>
                <w:color w:val="auto"/>
              </w:rPr>
            </w:pPr>
          </w:p>
        </w:tc>
        <w:tc>
          <w:tcPr>
            <w:tcW w:w="68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102</w:t>
            </w:r>
          </w:p>
        </w:tc>
        <w:tc>
          <w:tcPr>
            <w:tcW w:w="380" w:type="dxa"/>
            <w:vAlign w:val="bottom"/>
            <w:shd w:val="clear" w:color="auto" w:fill="CCFFCC"/>
          </w:tcPr>
          <w:p>
            <w:pPr>
              <w:spacing w:after="0"/>
              <w:rPr>
                <w:sz w:val="21"/>
                <w:szCs w:val="21"/>
                <w:color w:val="auto"/>
              </w:rPr>
            </w:pPr>
          </w:p>
        </w:tc>
        <w:tc>
          <w:tcPr>
            <w:tcW w:w="76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FFCC"/>
          </w:tcPr>
          <w:p>
            <w:pPr>
              <w:spacing w:after="0"/>
              <w:rPr>
                <w:sz w:val="21"/>
                <w:szCs w:val="21"/>
                <w:color w:val="auto"/>
              </w:rPr>
            </w:pPr>
          </w:p>
        </w:tc>
        <w:tc>
          <w:tcPr>
            <w:tcW w:w="6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162</w:t>
            </w:r>
          </w:p>
        </w:tc>
      </w:tr>
      <w:tr>
        <w:trPr>
          <w:trHeight w:val="215"/>
        </w:trPr>
        <w:tc>
          <w:tcPr>
            <w:tcW w:w="2740" w:type="dxa"/>
            <w:vAlign w:val="bottom"/>
          </w:tcPr>
          <w:p>
            <w:pPr>
              <w:spacing w:after="0"/>
              <w:rPr>
                <w:sz w:val="20"/>
                <w:szCs w:val="20"/>
                <w:color w:val="auto"/>
              </w:rPr>
            </w:pPr>
            <w:r>
              <w:rPr>
                <w:rFonts w:ascii="Arial" w:cs="Arial" w:eastAsia="Arial" w:hAnsi="Arial"/>
                <w:sz w:val="18"/>
                <w:szCs w:val="18"/>
                <w:color w:val="auto"/>
              </w:rPr>
              <w:t>Preferred stock of subsidiaries</w:t>
            </w: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37"/>
        </w:trPr>
        <w:tc>
          <w:tcPr>
            <w:tcW w:w="2740" w:type="dxa"/>
            <w:vAlign w:val="bottom"/>
          </w:tcPr>
          <w:p>
            <w:pPr>
              <w:ind w:left="120"/>
              <w:spacing w:after="0"/>
              <w:rPr>
                <w:sz w:val="20"/>
                <w:szCs w:val="20"/>
                <w:color w:val="auto"/>
              </w:rPr>
            </w:pPr>
            <w:r>
              <w:rPr>
                <w:rFonts w:ascii="Arial" w:cs="Arial" w:eastAsia="Arial" w:hAnsi="Arial"/>
                <w:sz w:val="18"/>
                <w:szCs w:val="18"/>
                <w:color w:val="auto"/>
                <w:w w:val="99"/>
              </w:rPr>
              <w:t>subject to mandatory redemption</w:t>
            </w:r>
          </w:p>
        </w:tc>
        <w:tc>
          <w:tcPr>
            <w:tcW w:w="300" w:type="dxa"/>
            <w:vAlign w:val="bottom"/>
          </w:tcPr>
          <w:p>
            <w:pPr>
              <w:spacing w:after="0"/>
              <w:rPr>
                <w:sz w:val="20"/>
                <w:szCs w:val="20"/>
                <w:color w:val="auto"/>
              </w:rPr>
            </w:pP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14</w:t>
            </w:r>
          </w:p>
        </w:tc>
        <w:tc>
          <w:tcPr>
            <w:tcW w:w="400" w:type="dxa"/>
            <w:vAlign w:val="bottom"/>
          </w:tcPr>
          <w:p>
            <w:pPr>
              <w:spacing w:after="0"/>
              <w:rPr>
                <w:sz w:val="20"/>
                <w:szCs w:val="20"/>
                <w:color w:val="auto"/>
              </w:rPr>
            </w:pPr>
          </w:p>
        </w:tc>
        <w:tc>
          <w:tcPr>
            <w:tcW w:w="7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7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50"/>
        </w:trPr>
        <w:tc>
          <w:tcPr>
            <w:tcW w:w="2740" w:type="dxa"/>
            <w:vAlign w:val="bottom"/>
            <w:shd w:val="clear" w:color="auto" w:fill="CCFFCC"/>
          </w:tcPr>
          <w:p>
            <w:pPr>
              <w:spacing w:after="0"/>
              <w:rPr>
                <w:sz w:val="20"/>
                <w:szCs w:val="20"/>
                <w:color w:val="auto"/>
              </w:rPr>
            </w:pPr>
            <w:r>
              <w:rPr>
                <w:rFonts w:ascii="Arial" w:cs="Arial" w:eastAsia="Arial" w:hAnsi="Arial"/>
                <w:sz w:val="18"/>
                <w:szCs w:val="18"/>
                <w:color w:val="auto"/>
              </w:rPr>
              <w:t>Operating leases</w:t>
            </w:r>
          </w:p>
        </w:tc>
        <w:tc>
          <w:tcPr>
            <w:tcW w:w="300" w:type="dxa"/>
            <w:vAlign w:val="bottom"/>
            <w:shd w:val="clear" w:color="auto" w:fill="CCFFCC"/>
          </w:tcPr>
          <w:p>
            <w:pPr>
              <w:spacing w:after="0"/>
              <w:rPr>
                <w:sz w:val="21"/>
                <w:szCs w:val="21"/>
                <w:color w:val="auto"/>
              </w:rPr>
            </w:pPr>
          </w:p>
        </w:tc>
        <w:tc>
          <w:tcPr>
            <w:tcW w:w="72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rPr>
              <w:t>120</w:t>
            </w:r>
          </w:p>
        </w:tc>
        <w:tc>
          <w:tcPr>
            <w:tcW w:w="400" w:type="dxa"/>
            <w:vAlign w:val="bottom"/>
            <w:shd w:val="clear" w:color="auto" w:fill="CCFFCC"/>
          </w:tcPr>
          <w:p>
            <w:pPr>
              <w:spacing w:after="0"/>
              <w:rPr>
                <w:sz w:val="21"/>
                <w:szCs w:val="21"/>
                <w:color w:val="auto"/>
              </w:rPr>
            </w:pPr>
          </w:p>
        </w:tc>
        <w:tc>
          <w:tcPr>
            <w:tcW w:w="70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214</w:t>
            </w:r>
          </w:p>
        </w:tc>
        <w:tc>
          <w:tcPr>
            <w:tcW w:w="360" w:type="dxa"/>
            <w:vAlign w:val="bottom"/>
            <w:shd w:val="clear" w:color="auto" w:fill="CCFFCC"/>
          </w:tcPr>
          <w:p>
            <w:pPr>
              <w:spacing w:after="0"/>
              <w:rPr>
                <w:sz w:val="21"/>
                <w:szCs w:val="21"/>
                <w:color w:val="auto"/>
              </w:rPr>
            </w:pPr>
          </w:p>
        </w:tc>
        <w:tc>
          <w:tcPr>
            <w:tcW w:w="68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121</w:t>
            </w:r>
          </w:p>
        </w:tc>
        <w:tc>
          <w:tcPr>
            <w:tcW w:w="380" w:type="dxa"/>
            <w:vAlign w:val="bottom"/>
            <w:shd w:val="clear" w:color="auto" w:fill="CCFFCC"/>
          </w:tcPr>
          <w:p>
            <w:pPr>
              <w:spacing w:after="0"/>
              <w:rPr>
                <w:sz w:val="21"/>
                <w:szCs w:val="21"/>
                <w:color w:val="auto"/>
              </w:rPr>
            </w:pPr>
          </w:p>
        </w:tc>
        <w:tc>
          <w:tcPr>
            <w:tcW w:w="76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223</w:t>
            </w:r>
          </w:p>
        </w:tc>
        <w:tc>
          <w:tcPr>
            <w:tcW w:w="380" w:type="dxa"/>
            <w:vAlign w:val="bottom"/>
            <w:shd w:val="clear" w:color="auto" w:fill="CCFFCC"/>
          </w:tcPr>
          <w:p>
            <w:pPr>
              <w:spacing w:after="0"/>
              <w:rPr>
                <w:sz w:val="21"/>
                <w:szCs w:val="21"/>
                <w:color w:val="auto"/>
              </w:rPr>
            </w:pPr>
          </w:p>
        </w:tc>
        <w:tc>
          <w:tcPr>
            <w:tcW w:w="6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678</w:t>
            </w:r>
          </w:p>
        </w:tc>
      </w:tr>
      <w:tr>
        <w:trPr>
          <w:trHeight w:val="237"/>
        </w:trPr>
        <w:tc>
          <w:tcPr>
            <w:tcW w:w="2740" w:type="dxa"/>
            <w:vAlign w:val="bottom"/>
          </w:tcPr>
          <w:p>
            <w:pPr>
              <w:spacing w:after="0"/>
              <w:rPr>
                <w:sz w:val="20"/>
                <w:szCs w:val="20"/>
                <w:color w:val="auto"/>
              </w:rPr>
            </w:pPr>
            <w:r>
              <w:rPr>
                <w:rFonts w:ascii="Arial" w:cs="Arial" w:eastAsia="Arial" w:hAnsi="Arial"/>
                <w:sz w:val="18"/>
                <w:szCs w:val="18"/>
                <w:color w:val="auto"/>
              </w:rPr>
              <w:t>Litigation reserves</w:t>
            </w:r>
          </w:p>
        </w:tc>
        <w:tc>
          <w:tcPr>
            <w:tcW w:w="300" w:type="dxa"/>
            <w:vAlign w:val="bottom"/>
          </w:tcPr>
          <w:p>
            <w:pPr>
              <w:spacing w:after="0"/>
              <w:rPr>
                <w:sz w:val="20"/>
                <w:szCs w:val="20"/>
                <w:color w:val="auto"/>
              </w:rPr>
            </w:pP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51</w:t>
            </w:r>
          </w:p>
        </w:tc>
        <w:tc>
          <w:tcPr>
            <w:tcW w:w="400" w:type="dxa"/>
            <w:vAlign w:val="bottom"/>
          </w:tcPr>
          <w:p>
            <w:pPr>
              <w:spacing w:after="0"/>
              <w:rPr>
                <w:sz w:val="20"/>
                <w:szCs w:val="20"/>
                <w:color w:val="auto"/>
              </w:rPr>
            </w:pPr>
          </w:p>
        </w:tc>
        <w:tc>
          <w:tcPr>
            <w:tcW w:w="700" w:type="dxa"/>
            <w:vAlign w:val="bottom"/>
          </w:tcPr>
          <w:p>
            <w:pPr>
              <w:jc w:val="right"/>
              <w:ind w:right="110"/>
              <w:spacing w:after="0"/>
              <w:rPr>
                <w:sz w:val="20"/>
                <w:szCs w:val="20"/>
                <w:color w:val="auto"/>
              </w:rPr>
            </w:pPr>
            <w:r>
              <w:rPr>
                <w:rFonts w:ascii="Arial" w:cs="Arial" w:eastAsia="Arial" w:hAnsi="Arial"/>
                <w:sz w:val="18"/>
                <w:szCs w:val="18"/>
                <w:color w:val="auto"/>
              </w:rPr>
              <w:t>53</w:t>
            </w:r>
          </w:p>
        </w:tc>
        <w:tc>
          <w:tcPr>
            <w:tcW w:w="360" w:type="dxa"/>
            <w:vAlign w:val="bottom"/>
          </w:tcPr>
          <w:p>
            <w:pPr>
              <w:spacing w:after="0"/>
              <w:rPr>
                <w:sz w:val="20"/>
                <w:szCs w:val="20"/>
                <w:color w:val="auto"/>
              </w:rPr>
            </w:pP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52</w:t>
            </w:r>
          </w:p>
        </w:tc>
        <w:tc>
          <w:tcPr>
            <w:tcW w:w="380" w:type="dxa"/>
            <w:vAlign w:val="bottom"/>
          </w:tcPr>
          <w:p>
            <w:pPr>
              <w:spacing w:after="0"/>
              <w:rPr>
                <w:sz w:val="20"/>
                <w:szCs w:val="20"/>
                <w:color w:val="auto"/>
              </w:rPr>
            </w:pPr>
          </w:p>
        </w:tc>
        <w:tc>
          <w:tcPr>
            <w:tcW w:w="760" w:type="dxa"/>
            <w:vAlign w:val="bottom"/>
          </w:tcPr>
          <w:p>
            <w:pPr>
              <w:jc w:val="right"/>
              <w:ind w:right="90"/>
              <w:spacing w:after="0"/>
              <w:rPr>
                <w:sz w:val="20"/>
                <w:szCs w:val="20"/>
                <w:color w:val="auto"/>
              </w:rPr>
            </w:pPr>
            <w:r>
              <w:rPr>
                <w:rFonts w:ascii="Arial" w:cs="Arial" w:eastAsia="Arial" w:hAnsi="Arial"/>
                <w:sz w:val="18"/>
                <w:szCs w:val="18"/>
                <w:color w:val="auto"/>
              </w:rPr>
              <w:t>49</w:t>
            </w:r>
          </w:p>
        </w:tc>
        <w:tc>
          <w:tcPr>
            <w:tcW w:w="3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205</w:t>
            </w:r>
          </w:p>
        </w:tc>
      </w:tr>
      <w:tr>
        <w:trPr>
          <w:trHeight w:val="249"/>
        </w:trPr>
        <w:tc>
          <w:tcPr>
            <w:tcW w:w="2740" w:type="dxa"/>
            <w:vAlign w:val="bottom"/>
            <w:shd w:val="clear" w:color="auto" w:fill="CCFFCC"/>
          </w:tcPr>
          <w:p>
            <w:pPr>
              <w:spacing w:after="0"/>
              <w:rPr>
                <w:sz w:val="20"/>
                <w:szCs w:val="20"/>
                <w:color w:val="auto"/>
              </w:rPr>
            </w:pPr>
            <w:r>
              <w:rPr>
                <w:rFonts w:ascii="Arial" w:cs="Arial" w:eastAsia="Arial" w:hAnsi="Arial"/>
                <w:sz w:val="18"/>
                <w:szCs w:val="18"/>
                <w:color w:val="auto"/>
              </w:rPr>
              <w:t>Purchased-power contracts</w:t>
            </w:r>
          </w:p>
        </w:tc>
        <w:tc>
          <w:tcPr>
            <w:tcW w:w="300" w:type="dxa"/>
            <w:vAlign w:val="bottom"/>
            <w:shd w:val="clear" w:color="auto" w:fill="CCFFCC"/>
          </w:tcPr>
          <w:p>
            <w:pPr>
              <w:spacing w:after="0"/>
              <w:rPr>
                <w:sz w:val="21"/>
                <w:szCs w:val="21"/>
                <w:color w:val="auto"/>
              </w:rPr>
            </w:pPr>
          </w:p>
        </w:tc>
        <w:tc>
          <w:tcPr>
            <w:tcW w:w="72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rPr>
              <w:t>399</w:t>
            </w:r>
          </w:p>
        </w:tc>
        <w:tc>
          <w:tcPr>
            <w:tcW w:w="400" w:type="dxa"/>
            <w:vAlign w:val="bottom"/>
            <w:shd w:val="clear" w:color="auto" w:fill="CCFFCC"/>
          </w:tcPr>
          <w:p>
            <w:pPr>
              <w:spacing w:after="0"/>
              <w:rPr>
                <w:sz w:val="21"/>
                <w:szCs w:val="21"/>
                <w:color w:val="auto"/>
              </w:rPr>
            </w:pPr>
          </w:p>
        </w:tc>
        <w:tc>
          <w:tcPr>
            <w:tcW w:w="70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795</w:t>
            </w:r>
          </w:p>
        </w:tc>
        <w:tc>
          <w:tcPr>
            <w:tcW w:w="360" w:type="dxa"/>
            <w:vAlign w:val="bottom"/>
            <w:shd w:val="clear" w:color="auto" w:fill="CCFFCC"/>
          </w:tcPr>
          <w:p>
            <w:pPr>
              <w:spacing w:after="0"/>
              <w:rPr>
                <w:sz w:val="21"/>
                <w:szCs w:val="21"/>
                <w:color w:val="auto"/>
              </w:rPr>
            </w:pPr>
          </w:p>
        </w:tc>
        <w:tc>
          <w:tcPr>
            <w:tcW w:w="68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688</w:t>
            </w:r>
          </w:p>
        </w:tc>
        <w:tc>
          <w:tcPr>
            <w:tcW w:w="380" w:type="dxa"/>
            <w:vAlign w:val="bottom"/>
            <w:shd w:val="clear" w:color="auto" w:fill="CCFFCC"/>
          </w:tcPr>
          <w:p>
            <w:pPr>
              <w:spacing w:after="0"/>
              <w:rPr>
                <w:sz w:val="21"/>
                <w:szCs w:val="21"/>
                <w:color w:val="auto"/>
              </w:rPr>
            </w:pPr>
          </w:p>
        </w:tc>
        <w:tc>
          <w:tcPr>
            <w:tcW w:w="76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2,542</w:t>
            </w:r>
          </w:p>
        </w:tc>
        <w:tc>
          <w:tcPr>
            <w:tcW w:w="380" w:type="dxa"/>
            <w:vAlign w:val="bottom"/>
            <w:shd w:val="clear" w:color="auto" w:fill="CCFFCC"/>
          </w:tcPr>
          <w:p>
            <w:pPr>
              <w:spacing w:after="0"/>
              <w:rPr>
                <w:sz w:val="21"/>
                <w:szCs w:val="21"/>
                <w:color w:val="auto"/>
              </w:rPr>
            </w:pPr>
          </w:p>
        </w:tc>
        <w:tc>
          <w:tcPr>
            <w:tcW w:w="6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4,424</w:t>
            </w:r>
          </w:p>
        </w:tc>
      </w:tr>
      <w:tr>
        <w:trPr>
          <w:trHeight w:val="237"/>
        </w:trPr>
        <w:tc>
          <w:tcPr>
            <w:tcW w:w="2740" w:type="dxa"/>
            <w:vAlign w:val="bottom"/>
          </w:tcPr>
          <w:p>
            <w:pPr>
              <w:spacing w:after="0"/>
              <w:rPr>
                <w:sz w:val="20"/>
                <w:szCs w:val="20"/>
                <w:color w:val="auto"/>
              </w:rPr>
            </w:pPr>
            <w:r>
              <w:rPr>
                <w:rFonts w:ascii="Arial" w:cs="Arial" w:eastAsia="Arial" w:hAnsi="Arial"/>
                <w:sz w:val="18"/>
                <w:szCs w:val="18"/>
                <w:color w:val="auto"/>
              </w:rPr>
              <w:t>Natural gas contracts</w:t>
            </w:r>
          </w:p>
        </w:tc>
        <w:tc>
          <w:tcPr>
            <w:tcW w:w="300" w:type="dxa"/>
            <w:vAlign w:val="bottom"/>
          </w:tcPr>
          <w:p>
            <w:pPr>
              <w:spacing w:after="0"/>
              <w:rPr>
                <w:sz w:val="20"/>
                <w:szCs w:val="20"/>
                <w:color w:val="auto"/>
              </w:rPr>
            </w:pP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1,486</w:t>
            </w:r>
          </w:p>
        </w:tc>
        <w:tc>
          <w:tcPr>
            <w:tcW w:w="400" w:type="dxa"/>
            <w:vAlign w:val="bottom"/>
          </w:tcPr>
          <w:p>
            <w:pPr>
              <w:spacing w:after="0"/>
              <w:rPr>
                <w:sz w:val="20"/>
                <w:szCs w:val="20"/>
                <w:color w:val="auto"/>
              </w:rPr>
            </w:pPr>
          </w:p>
        </w:tc>
        <w:tc>
          <w:tcPr>
            <w:tcW w:w="700" w:type="dxa"/>
            <w:vAlign w:val="bottom"/>
          </w:tcPr>
          <w:p>
            <w:pPr>
              <w:jc w:val="right"/>
              <w:ind w:right="110"/>
              <w:spacing w:after="0"/>
              <w:rPr>
                <w:sz w:val="20"/>
                <w:szCs w:val="20"/>
                <w:color w:val="auto"/>
              </w:rPr>
            </w:pPr>
            <w:r>
              <w:rPr>
                <w:rFonts w:ascii="Arial" w:cs="Arial" w:eastAsia="Arial" w:hAnsi="Arial"/>
                <w:sz w:val="18"/>
                <w:szCs w:val="18"/>
                <w:color w:val="auto"/>
              </w:rPr>
              <w:t>1,304</w:t>
            </w:r>
          </w:p>
        </w:tc>
        <w:tc>
          <w:tcPr>
            <w:tcW w:w="360" w:type="dxa"/>
            <w:vAlign w:val="bottom"/>
          </w:tcPr>
          <w:p>
            <w:pPr>
              <w:spacing w:after="0"/>
              <w:rPr>
                <w:sz w:val="20"/>
                <w:szCs w:val="20"/>
                <w:color w:val="auto"/>
              </w:rPr>
            </w:pP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444</w:t>
            </w:r>
          </w:p>
        </w:tc>
        <w:tc>
          <w:tcPr>
            <w:tcW w:w="380" w:type="dxa"/>
            <w:vAlign w:val="bottom"/>
          </w:tcPr>
          <w:p>
            <w:pPr>
              <w:spacing w:after="0"/>
              <w:rPr>
                <w:sz w:val="20"/>
                <w:szCs w:val="20"/>
                <w:color w:val="auto"/>
              </w:rPr>
            </w:pPr>
          </w:p>
        </w:tc>
        <w:tc>
          <w:tcPr>
            <w:tcW w:w="760" w:type="dxa"/>
            <w:vAlign w:val="bottom"/>
          </w:tcPr>
          <w:p>
            <w:pPr>
              <w:jc w:val="right"/>
              <w:ind w:right="90"/>
              <w:spacing w:after="0"/>
              <w:rPr>
                <w:sz w:val="20"/>
                <w:szCs w:val="20"/>
                <w:color w:val="auto"/>
              </w:rPr>
            </w:pPr>
            <w:r>
              <w:rPr>
                <w:rFonts w:ascii="Arial" w:cs="Arial" w:eastAsia="Arial" w:hAnsi="Arial"/>
                <w:sz w:val="18"/>
                <w:szCs w:val="18"/>
                <w:color w:val="auto"/>
              </w:rPr>
              <w:t>236</w:t>
            </w:r>
          </w:p>
        </w:tc>
        <w:tc>
          <w:tcPr>
            <w:tcW w:w="3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3,470</w:t>
            </w:r>
          </w:p>
        </w:tc>
      </w:tr>
      <w:tr>
        <w:trPr>
          <w:trHeight w:val="249"/>
        </w:trPr>
        <w:tc>
          <w:tcPr>
            <w:tcW w:w="2740" w:type="dxa"/>
            <w:vAlign w:val="bottom"/>
            <w:shd w:val="clear" w:color="auto" w:fill="CCFFCC"/>
          </w:tcPr>
          <w:p>
            <w:pPr>
              <w:spacing w:after="0"/>
              <w:rPr>
                <w:sz w:val="20"/>
                <w:szCs w:val="20"/>
                <w:color w:val="auto"/>
              </w:rPr>
            </w:pPr>
            <w:r>
              <w:rPr>
                <w:rFonts w:ascii="Arial" w:cs="Arial" w:eastAsia="Arial" w:hAnsi="Arial"/>
                <w:sz w:val="18"/>
                <w:szCs w:val="18"/>
                <w:color w:val="auto"/>
              </w:rPr>
              <w:t>LNG contract (2)</w:t>
            </w:r>
          </w:p>
        </w:tc>
        <w:tc>
          <w:tcPr>
            <w:tcW w:w="300" w:type="dxa"/>
            <w:vAlign w:val="bottom"/>
            <w:shd w:val="clear" w:color="auto" w:fill="CCFFCC"/>
          </w:tcPr>
          <w:p>
            <w:pPr>
              <w:spacing w:after="0"/>
              <w:rPr>
                <w:sz w:val="21"/>
                <w:szCs w:val="21"/>
                <w:color w:val="auto"/>
              </w:rPr>
            </w:pPr>
          </w:p>
        </w:tc>
        <w:tc>
          <w:tcPr>
            <w:tcW w:w="72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FFCC"/>
          </w:tcPr>
          <w:p>
            <w:pPr>
              <w:spacing w:after="0"/>
              <w:rPr>
                <w:sz w:val="21"/>
                <w:szCs w:val="21"/>
                <w:color w:val="auto"/>
              </w:rPr>
            </w:pPr>
          </w:p>
        </w:tc>
        <w:tc>
          <w:tcPr>
            <w:tcW w:w="70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1,790</w:t>
            </w:r>
          </w:p>
        </w:tc>
        <w:tc>
          <w:tcPr>
            <w:tcW w:w="360" w:type="dxa"/>
            <w:vAlign w:val="bottom"/>
            <w:shd w:val="clear" w:color="auto" w:fill="CCFFCC"/>
          </w:tcPr>
          <w:p>
            <w:pPr>
              <w:spacing w:after="0"/>
              <w:rPr>
                <w:sz w:val="21"/>
                <w:szCs w:val="21"/>
                <w:color w:val="auto"/>
              </w:rPr>
            </w:pPr>
          </w:p>
        </w:tc>
        <w:tc>
          <w:tcPr>
            <w:tcW w:w="68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2,569</w:t>
            </w:r>
          </w:p>
        </w:tc>
        <w:tc>
          <w:tcPr>
            <w:tcW w:w="380" w:type="dxa"/>
            <w:vAlign w:val="bottom"/>
            <w:shd w:val="clear" w:color="auto" w:fill="CCFFCC"/>
          </w:tcPr>
          <w:p>
            <w:pPr>
              <w:spacing w:after="0"/>
              <w:rPr>
                <w:sz w:val="21"/>
                <w:szCs w:val="21"/>
                <w:color w:val="auto"/>
              </w:rPr>
            </w:pPr>
          </w:p>
        </w:tc>
        <w:tc>
          <w:tcPr>
            <w:tcW w:w="76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22,223</w:t>
            </w:r>
          </w:p>
        </w:tc>
        <w:tc>
          <w:tcPr>
            <w:tcW w:w="380" w:type="dxa"/>
            <w:vAlign w:val="bottom"/>
            <w:shd w:val="clear" w:color="auto" w:fill="CCFFCC"/>
          </w:tcPr>
          <w:p>
            <w:pPr>
              <w:spacing w:after="0"/>
              <w:rPr>
                <w:sz w:val="21"/>
                <w:szCs w:val="21"/>
                <w:color w:val="auto"/>
              </w:rPr>
            </w:pPr>
          </w:p>
        </w:tc>
        <w:tc>
          <w:tcPr>
            <w:tcW w:w="6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26,582</w:t>
            </w:r>
          </w:p>
        </w:tc>
      </w:tr>
      <w:tr>
        <w:trPr>
          <w:trHeight w:val="237"/>
        </w:trPr>
        <w:tc>
          <w:tcPr>
            <w:tcW w:w="2740" w:type="dxa"/>
            <w:vAlign w:val="bottom"/>
          </w:tcPr>
          <w:p>
            <w:pPr>
              <w:spacing w:after="0"/>
              <w:rPr>
                <w:sz w:val="20"/>
                <w:szCs w:val="20"/>
                <w:color w:val="auto"/>
              </w:rPr>
            </w:pPr>
            <w:r>
              <w:rPr>
                <w:rFonts w:ascii="Arial" w:cs="Arial" w:eastAsia="Arial" w:hAnsi="Arial"/>
                <w:sz w:val="18"/>
                <w:szCs w:val="18"/>
                <w:color w:val="auto"/>
              </w:rPr>
              <w:t>Construction commitments</w:t>
            </w:r>
          </w:p>
        </w:tc>
        <w:tc>
          <w:tcPr>
            <w:tcW w:w="300" w:type="dxa"/>
            <w:vAlign w:val="bottom"/>
          </w:tcPr>
          <w:p>
            <w:pPr>
              <w:spacing w:after="0"/>
              <w:rPr>
                <w:sz w:val="20"/>
                <w:szCs w:val="20"/>
                <w:color w:val="auto"/>
              </w:rPr>
            </w:pP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275</w:t>
            </w:r>
          </w:p>
        </w:tc>
        <w:tc>
          <w:tcPr>
            <w:tcW w:w="400" w:type="dxa"/>
            <w:vAlign w:val="bottom"/>
          </w:tcPr>
          <w:p>
            <w:pPr>
              <w:spacing w:after="0"/>
              <w:rPr>
                <w:sz w:val="20"/>
                <w:szCs w:val="20"/>
                <w:color w:val="auto"/>
              </w:rPr>
            </w:pPr>
          </w:p>
        </w:tc>
        <w:tc>
          <w:tcPr>
            <w:tcW w:w="700" w:type="dxa"/>
            <w:vAlign w:val="bottom"/>
          </w:tcPr>
          <w:p>
            <w:pPr>
              <w:jc w:val="right"/>
              <w:ind w:right="110"/>
              <w:spacing w:after="0"/>
              <w:rPr>
                <w:sz w:val="20"/>
                <w:szCs w:val="20"/>
                <w:color w:val="auto"/>
              </w:rPr>
            </w:pPr>
            <w:r>
              <w:rPr>
                <w:rFonts w:ascii="Arial" w:cs="Arial" w:eastAsia="Arial" w:hAnsi="Arial"/>
                <w:sz w:val="18"/>
                <w:szCs w:val="18"/>
                <w:color w:val="auto"/>
              </w:rPr>
              <w:t>8</w:t>
            </w:r>
          </w:p>
        </w:tc>
        <w:tc>
          <w:tcPr>
            <w:tcW w:w="360" w:type="dxa"/>
            <w:vAlign w:val="bottom"/>
          </w:tcPr>
          <w:p>
            <w:pPr>
              <w:spacing w:after="0"/>
              <w:rPr>
                <w:sz w:val="20"/>
                <w:szCs w:val="20"/>
                <w:color w:val="auto"/>
              </w:rPr>
            </w:pP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20"/>
                <w:szCs w:val="20"/>
                <w:color w:val="auto"/>
              </w:rPr>
            </w:pPr>
          </w:p>
        </w:tc>
        <w:tc>
          <w:tcPr>
            <w:tcW w:w="7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284</w:t>
            </w:r>
          </w:p>
        </w:tc>
      </w:tr>
      <w:tr>
        <w:trPr>
          <w:trHeight w:val="249"/>
        </w:trPr>
        <w:tc>
          <w:tcPr>
            <w:tcW w:w="2740" w:type="dxa"/>
            <w:vAlign w:val="bottom"/>
            <w:shd w:val="clear" w:color="auto" w:fill="CCFFCC"/>
          </w:tcPr>
          <w:p>
            <w:pPr>
              <w:spacing w:after="0"/>
              <w:rPr>
                <w:sz w:val="20"/>
                <w:szCs w:val="20"/>
                <w:color w:val="auto"/>
              </w:rPr>
            </w:pPr>
            <w:r>
              <w:rPr>
                <w:rFonts w:ascii="Arial" w:cs="Arial" w:eastAsia="Arial" w:hAnsi="Arial"/>
                <w:sz w:val="18"/>
                <w:szCs w:val="18"/>
                <w:color w:val="auto"/>
              </w:rPr>
              <w:t>SONGS decommissioning</w:t>
            </w:r>
          </w:p>
        </w:tc>
        <w:tc>
          <w:tcPr>
            <w:tcW w:w="300" w:type="dxa"/>
            <w:vAlign w:val="bottom"/>
            <w:shd w:val="clear" w:color="auto" w:fill="CCFFCC"/>
          </w:tcPr>
          <w:p>
            <w:pPr>
              <w:spacing w:after="0"/>
              <w:rPr>
                <w:sz w:val="21"/>
                <w:szCs w:val="21"/>
                <w:color w:val="auto"/>
              </w:rPr>
            </w:pPr>
          </w:p>
        </w:tc>
        <w:tc>
          <w:tcPr>
            <w:tcW w:w="72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rPr>
              <w:t>10</w:t>
            </w:r>
          </w:p>
        </w:tc>
        <w:tc>
          <w:tcPr>
            <w:tcW w:w="400" w:type="dxa"/>
            <w:vAlign w:val="bottom"/>
            <w:shd w:val="clear" w:color="auto" w:fill="CCFFCC"/>
          </w:tcPr>
          <w:p>
            <w:pPr>
              <w:spacing w:after="0"/>
              <w:rPr>
                <w:sz w:val="21"/>
                <w:szCs w:val="21"/>
                <w:color w:val="auto"/>
              </w:rPr>
            </w:pPr>
          </w:p>
        </w:tc>
        <w:tc>
          <w:tcPr>
            <w:tcW w:w="70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1</w:t>
            </w:r>
          </w:p>
        </w:tc>
        <w:tc>
          <w:tcPr>
            <w:tcW w:w="360" w:type="dxa"/>
            <w:vAlign w:val="bottom"/>
            <w:shd w:val="clear" w:color="auto" w:fill="CCFFCC"/>
          </w:tcPr>
          <w:p>
            <w:pPr>
              <w:spacing w:after="0"/>
              <w:rPr>
                <w:sz w:val="21"/>
                <w:szCs w:val="21"/>
                <w:color w:val="auto"/>
              </w:rPr>
            </w:pPr>
          </w:p>
        </w:tc>
        <w:tc>
          <w:tcPr>
            <w:tcW w:w="68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FFCC"/>
          </w:tcPr>
          <w:p>
            <w:pPr>
              <w:spacing w:after="0"/>
              <w:rPr>
                <w:sz w:val="21"/>
                <w:szCs w:val="21"/>
                <w:color w:val="auto"/>
              </w:rPr>
            </w:pPr>
          </w:p>
        </w:tc>
        <w:tc>
          <w:tcPr>
            <w:tcW w:w="76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400</w:t>
            </w:r>
          </w:p>
        </w:tc>
        <w:tc>
          <w:tcPr>
            <w:tcW w:w="380" w:type="dxa"/>
            <w:vAlign w:val="bottom"/>
            <w:shd w:val="clear" w:color="auto" w:fill="CCFFCC"/>
          </w:tcPr>
          <w:p>
            <w:pPr>
              <w:spacing w:after="0"/>
              <w:rPr>
                <w:sz w:val="21"/>
                <w:szCs w:val="21"/>
                <w:color w:val="auto"/>
              </w:rPr>
            </w:pPr>
          </w:p>
        </w:tc>
        <w:tc>
          <w:tcPr>
            <w:tcW w:w="6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411</w:t>
            </w:r>
          </w:p>
        </w:tc>
      </w:tr>
      <w:tr>
        <w:trPr>
          <w:trHeight w:val="237"/>
        </w:trPr>
        <w:tc>
          <w:tcPr>
            <w:tcW w:w="2740" w:type="dxa"/>
            <w:vAlign w:val="bottom"/>
          </w:tcPr>
          <w:p>
            <w:pPr>
              <w:spacing w:after="0"/>
              <w:rPr>
                <w:sz w:val="20"/>
                <w:szCs w:val="20"/>
                <w:color w:val="auto"/>
              </w:rPr>
            </w:pPr>
            <w:r>
              <w:rPr>
                <w:rFonts w:ascii="Arial" w:cs="Arial" w:eastAsia="Arial" w:hAnsi="Arial"/>
                <w:sz w:val="18"/>
                <w:szCs w:val="18"/>
                <w:color w:val="auto"/>
              </w:rPr>
              <w:t>Other asset retirement obligations</w:t>
            </w:r>
          </w:p>
        </w:tc>
        <w:tc>
          <w:tcPr>
            <w:tcW w:w="300" w:type="dxa"/>
            <w:vAlign w:val="bottom"/>
          </w:tcPr>
          <w:p>
            <w:pPr>
              <w:spacing w:after="0"/>
              <w:rPr>
                <w:sz w:val="20"/>
                <w:szCs w:val="20"/>
                <w:color w:val="auto"/>
              </w:rPr>
            </w:pP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19</w:t>
            </w:r>
          </w:p>
        </w:tc>
        <w:tc>
          <w:tcPr>
            <w:tcW w:w="400" w:type="dxa"/>
            <w:vAlign w:val="bottom"/>
          </w:tcPr>
          <w:p>
            <w:pPr>
              <w:spacing w:after="0"/>
              <w:rPr>
                <w:sz w:val="20"/>
                <w:szCs w:val="20"/>
                <w:color w:val="auto"/>
              </w:rPr>
            </w:pPr>
          </w:p>
        </w:tc>
        <w:tc>
          <w:tcPr>
            <w:tcW w:w="700" w:type="dxa"/>
            <w:vAlign w:val="bottom"/>
          </w:tcPr>
          <w:p>
            <w:pPr>
              <w:jc w:val="right"/>
              <w:ind w:right="110"/>
              <w:spacing w:after="0"/>
              <w:rPr>
                <w:sz w:val="20"/>
                <w:szCs w:val="20"/>
                <w:color w:val="auto"/>
              </w:rPr>
            </w:pPr>
            <w:r>
              <w:rPr>
                <w:rFonts w:ascii="Arial" w:cs="Arial" w:eastAsia="Arial" w:hAnsi="Arial"/>
                <w:sz w:val="18"/>
                <w:szCs w:val="18"/>
                <w:color w:val="auto"/>
              </w:rPr>
              <w:t>34</w:t>
            </w:r>
          </w:p>
        </w:tc>
        <w:tc>
          <w:tcPr>
            <w:tcW w:w="360" w:type="dxa"/>
            <w:vAlign w:val="bottom"/>
          </w:tcPr>
          <w:p>
            <w:pPr>
              <w:spacing w:after="0"/>
              <w:rPr>
                <w:sz w:val="20"/>
                <w:szCs w:val="20"/>
                <w:color w:val="auto"/>
              </w:rPr>
            </w:pP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39</w:t>
            </w:r>
          </w:p>
        </w:tc>
        <w:tc>
          <w:tcPr>
            <w:tcW w:w="380" w:type="dxa"/>
            <w:vAlign w:val="bottom"/>
          </w:tcPr>
          <w:p>
            <w:pPr>
              <w:spacing w:after="0"/>
              <w:rPr>
                <w:sz w:val="20"/>
                <w:szCs w:val="20"/>
                <w:color w:val="auto"/>
              </w:rPr>
            </w:pPr>
          </w:p>
        </w:tc>
        <w:tc>
          <w:tcPr>
            <w:tcW w:w="760" w:type="dxa"/>
            <w:vAlign w:val="bottom"/>
          </w:tcPr>
          <w:p>
            <w:pPr>
              <w:jc w:val="right"/>
              <w:ind w:right="90"/>
              <w:spacing w:after="0"/>
              <w:rPr>
                <w:sz w:val="20"/>
                <w:szCs w:val="20"/>
                <w:color w:val="auto"/>
              </w:rPr>
            </w:pPr>
            <w:r>
              <w:rPr>
                <w:rFonts w:ascii="Arial" w:cs="Arial" w:eastAsia="Arial" w:hAnsi="Arial"/>
                <w:sz w:val="18"/>
                <w:szCs w:val="18"/>
                <w:color w:val="auto"/>
              </w:rPr>
              <w:t>655</w:t>
            </w:r>
          </w:p>
        </w:tc>
        <w:tc>
          <w:tcPr>
            <w:tcW w:w="3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747</w:t>
            </w:r>
          </w:p>
        </w:tc>
      </w:tr>
      <w:tr>
        <w:trPr>
          <w:trHeight w:val="222"/>
        </w:trPr>
        <w:tc>
          <w:tcPr>
            <w:tcW w:w="2740" w:type="dxa"/>
            <w:vAlign w:val="bottom"/>
            <w:shd w:val="clear" w:color="auto" w:fill="CCFFCC"/>
          </w:tcPr>
          <w:p>
            <w:pPr>
              <w:spacing w:after="0"/>
              <w:rPr>
                <w:sz w:val="20"/>
                <w:szCs w:val="20"/>
                <w:color w:val="auto"/>
              </w:rPr>
            </w:pPr>
            <w:r>
              <w:rPr>
                <w:rFonts w:ascii="Arial" w:cs="Arial" w:eastAsia="Arial" w:hAnsi="Arial"/>
                <w:sz w:val="18"/>
                <w:szCs w:val="18"/>
                <w:color w:val="auto"/>
                <w:w w:val="97"/>
              </w:rPr>
              <w:t>Pension and postretirement benefit</w:t>
            </w:r>
          </w:p>
        </w:tc>
        <w:tc>
          <w:tcPr>
            <w:tcW w:w="300" w:type="dxa"/>
            <w:vAlign w:val="bottom"/>
            <w:shd w:val="clear" w:color="auto" w:fill="CCFFCC"/>
          </w:tcPr>
          <w:p>
            <w:pPr>
              <w:spacing w:after="0"/>
              <w:rPr>
                <w:sz w:val="19"/>
                <w:szCs w:val="19"/>
                <w:color w:val="auto"/>
              </w:rPr>
            </w:pPr>
          </w:p>
        </w:tc>
        <w:tc>
          <w:tcPr>
            <w:tcW w:w="720" w:type="dxa"/>
            <w:vAlign w:val="bottom"/>
            <w:shd w:val="clear" w:color="auto" w:fill="CCFFCC"/>
          </w:tcPr>
          <w:p>
            <w:pPr>
              <w:spacing w:after="0"/>
              <w:rPr>
                <w:sz w:val="19"/>
                <w:szCs w:val="19"/>
                <w:color w:val="auto"/>
              </w:rPr>
            </w:pPr>
          </w:p>
        </w:tc>
        <w:tc>
          <w:tcPr>
            <w:tcW w:w="400" w:type="dxa"/>
            <w:vAlign w:val="bottom"/>
            <w:shd w:val="clear" w:color="auto" w:fill="CCFFCC"/>
          </w:tcPr>
          <w:p>
            <w:pPr>
              <w:spacing w:after="0"/>
              <w:rPr>
                <w:sz w:val="19"/>
                <w:szCs w:val="19"/>
                <w:color w:val="auto"/>
              </w:rPr>
            </w:pPr>
          </w:p>
        </w:tc>
        <w:tc>
          <w:tcPr>
            <w:tcW w:w="700" w:type="dxa"/>
            <w:vAlign w:val="bottom"/>
            <w:shd w:val="clear" w:color="auto" w:fill="CCFFCC"/>
          </w:tcPr>
          <w:p>
            <w:pPr>
              <w:spacing w:after="0"/>
              <w:rPr>
                <w:sz w:val="19"/>
                <w:szCs w:val="19"/>
                <w:color w:val="auto"/>
              </w:rPr>
            </w:pPr>
          </w:p>
        </w:tc>
        <w:tc>
          <w:tcPr>
            <w:tcW w:w="360" w:type="dxa"/>
            <w:vAlign w:val="bottom"/>
            <w:shd w:val="clear" w:color="auto" w:fill="CCFFCC"/>
          </w:tcPr>
          <w:p>
            <w:pPr>
              <w:spacing w:after="0"/>
              <w:rPr>
                <w:sz w:val="19"/>
                <w:szCs w:val="19"/>
                <w:color w:val="auto"/>
              </w:rPr>
            </w:pPr>
          </w:p>
        </w:tc>
        <w:tc>
          <w:tcPr>
            <w:tcW w:w="680" w:type="dxa"/>
            <w:vAlign w:val="bottom"/>
            <w:shd w:val="clear" w:color="auto" w:fill="CCFFCC"/>
          </w:tcPr>
          <w:p>
            <w:pPr>
              <w:spacing w:after="0"/>
              <w:rPr>
                <w:sz w:val="19"/>
                <w:szCs w:val="19"/>
                <w:color w:val="auto"/>
              </w:rPr>
            </w:pPr>
          </w:p>
        </w:tc>
        <w:tc>
          <w:tcPr>
            <w:tcW w:w="380" w:type="dxa"/>
            <w:vAlign w:val="bottom"/>
            <w:shd w:val="clear" w:color="auto" w:fill="CCFFCC"/>
          </w:tcPr>
          <w:p>
            <w:pPr>
              <w:spacing w:after="0"/>
              <w:rPr>
                <w:sz w:val="19"/>
                <w:szCs w:val="19"/>
                <w:color w:val="auto"/>
              </w:rPr>
            </w:pPr>
          </w:p>
        </w:tc>
        <w:tc>
          <w:tcPr>
            <w:tcW w:w="760" w:type="dxa"/>
            <w:vAlign w:val="bottom"/>
            <w:shd w:val="clear" w:color="auto" w:fill="CCFFCC"/>
          </w:tcPr>
          <w:p>
            <w:pPr>
              <w:spacing w:after="0"/>
              <w:rPr>
                <w:sz w:val="19"/>
                <w:szCs w:val="19"/>
                <w:color w:val="auto"/>
              </w:rPr>
            </w:pPr>
          </w:p>
        </w:tc>
        <w:tc>
          <w:tcPr>
            <w:tcW w:w="380" w:type="dxa"/>
            <w:vAlign w:val="bottom"/>
            <w:shd w:val="clear" w:color="auto" w:fill="CCFFCC"/>
          </w:tcPr>
          <w:p>
            <w:pPr>
              <w:spacing w:after="0"/>
              <w:rPr>
                <w:sz w:val="19"/>
                <w:szCs w:val="19"/>
                <w:color w:val="auto"/>
              </w:rPr>
            </w:pPr>
          </w:p>
        </w:tc>
        <w:tc>
          <w:tcPr>
            <w:tcW w:w="620" w:type="dxa"/>
            <w:vAlign w:val="bottom"/>
            <w:shd w:val="clear" w:color="auto" w:fill="CCFFCC"/>
          </w:tcPr>
          <w:p>
            <w:pPr>
              <w:spacing w:after="0"/>
              <w:rPr>
                <w:sz w:val="19"/>
                <w:szCs w:val="19"/>
                <w:color w:val="auto"/>
              </w:rPr>
            </w:pPr>
          </w:p>
        </w:tc>
      </w:tr>
      <w:tr>
        <w:trPr>
          <w:trHeight w:val="244"/>
        </w:trPr>
        <w:tc>
          <w:tcPr>
            <w:tcW w:w="2740" w:type="dxa"/>
            <w:vAlign w:val="bottom"/>
            <w:shd w:val="clear" w:color="auto" w:fill="CCFFCC"/>
          </w:tcPr>
          <w:p>
            <w:pPr>
              <w:ind w:left="120"/>
              <w:spacing w:after="0"/>
              <w:rPr>
                <w:sz w:val="20"/>
                <w:szCs w:val="20"/>
                <w:color w:val="auto"/>
              </w:rPr>
            </w:pPr>
            <w:r>
              <w:rPr>
                <w:rFonts w:ascii="Arial" w:cs="Arial" w:eastAsia="Arial" w:hAnsi="Arial"/>
                <w:sz w:val="18"/>
                <w:szCs w:val="18"/>
                <w:color w:val="auto"/>
              </w:rPr>
              <w:t>obligations (3)</w:t>
            </w:r>
          </w:p>
        </w:tc>
        <w:tc>
          <w:tcPr>
            <w:tcW w:w="300" w:type="dxa"/>
            <w:vAlign w:val="bottom"/>
            <w:shd w:val="clear" w:color="auto" w:fill="CCFFCC"/>
          </w:tcPr>
          <w:p>
            <w:pPr>
              <w:spacing w:after="0"/>
              <w:rPr>
                <w:sz w:val="21"/>
                <w:szCs w:val="21"/>
                <w:color w:val="auto"/>
              </w:rPr>
            </w:pPr>
          </w:p>
        </w:tc>
        <w:tc>
          <w:tcPr>
            <w:tcW w:w="72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rPr>
              <w:t>108</w:t>
            </w:r>
          </w:p>
        </w:tc>
        <w:tc>
          <w:tcPr>
            <w:tcW w:w="400" w:type="dxa"/>
            <w:vAlign w:val="bottom"/>
            <w:shd w:val="clear" w:color="auto" w:fill="CCFFCC"/>
          </w:tcPr>
          <w:p>
            <w:pPr>
              <w:spacing w:after="0"/>
              <w:rPr>
                <w:sz w:val="21"/>
                <w:szCs w:val="21"/>
                <w:color w:val="auto"/>
              </w:rPr>
            </w:pPr>
          </w:p>
        </w:tc>
        <w:tc>
          <w:tcPr>
            <w:tcW w:w="70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201</w:t>
            </w:r>
          </w:p>
        </w:tc>
        <w:tc>
          <w:tcPr>
            <w:tcW w:w="360" w:type="dxa"/>
            <w:vAlign w:val="bottom"/>
            <w:shd w:val="clear" w:color="auto" w:fill="CCFFCC"/>
          </w:tcPr>
          <w:p>
            <w:pPr>
              <w:spacing w:after="0"/>
              <w:rPr>
                <w:sz w:val="21"/>
                <w:szCs w:val="21"/>
                <w:color w:val="auto"/>
              </w:rPr>
            </w:pPr>
          </w:p>
        </w:tc>
        <w:tc>
          <w:tcPr>
            <w:tcW w:w="68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288</w:t>
            </w:r>
          </w:p>
        </w:tc>
        <w:tc>
          <w:tcPr>
            <w:tcW w:w="380" w:type="dxa"/>
            <w:vAlign w:val="bottom"/>
            <w:shd w:val="clear" w:color="auto" w:fill="CCFFCC"/>
          </w:tcPr>
          <w:p>
            <w:pPr>
              <w:spacing w:after="0"/>
              <w:rPr>
                <w:sz w:val="21"/>
                <w:szCs w:val="21"/>
                <w:color w:val="auto"/>
              </w:rPr>
            </w:pPr>
          </w:p>
        </w:tc>
        <w:tc>
          <w:tcPr>
            <w:tcW w:w="76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962</w:t>
            </w:r>
          </w:p>
        </w:tc>
        <w:tc>
          <w:tcPr>
            <w:tcW w:w="380" w:type="dxa"/>
            <w:vAlign w:val="bottom"/>
            <w:shd w:val="clear" w:color="auto" w:fill="CCFFCC"/>
          </w:tcPr>
          <w:p>
            <w:pPr>
              <w:spacing w:after="0"/>
              <w:rPr>
                <w:sz w:val="21"/>
                <w:szCs w:val="21"/>
                <w:color w:val="auto"/>
              </w:rPr>
            </w:pPr>
          </w:p>
        </w:tc>
        <w:tc>
          <w:tcPr>
            <w:tcW w:w="6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1,559</w:t>
            </w:r>
          </w:p>
        </w:tc>
      </w:tr>
      <w:tr>
        <w:trPr>
          <w:trHeight w:val="237"/>
        </w:trPr>
        <w:tc>
          <w:tcPr>
            <w:tcW w:w="2740" w:type="dxa"/>
            <w:vAlign w:val="bottom"/>
          </w:tcPr>
          <w:p>
            <w:pPr>
              <w:spacing w:after="0"/>
              <w:rPr>
                <w:sz w:val="20"/>
                <w:szCs w:val="20"/>
                <w:color w:val="auto"/>
              </w:rPr>
            </w:pPr>
            <w:r>
              <w:rPr>
                <w:rFonts w:ascii="Arial" w:cs="Arial" w:eastAsia="Arial" w:hAnsi="Arial"/>
                <w:sz w:val="18"/>
                <w:szCs w:val="18"/>
                <w:color w:val="auto"/>
              </w:rPr>
              <w:t>Environmental commitments</w:t>
            </w:r>
          </w:p>
        </w:tc>
        <w:tc>
          <w:tcPr>
            <w:tcW w:w="300" w:type="dxa"/>
            <w:vAlign w:val="bottom"/>
          </w:tcPr>
          <w:p>
            <w:pPr>
              <w:spacing w:after="0"/>
              <w:rPr>
                <w:sz w:val="20"/>
                <w:szCs w:val="20"/>
                <w:color w:val="auto"/>
              </w:rPr>
            </w:pP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40</w:t>
            </w:r>
          </w:p>
        </w:tc>
        <w:tc>
          <w:tcPr>
            <w:tcW w:w="400" w:type="dxa"/>
            <w:vAlign w:val="bottom"/>
          </w:tcPr>
          <w:p>
            <w:pPr>
              <w:spacing w:after="0"/>
              <w:rPr>
                <w:sz w:val="20"/>
                <w:szCs w:val="20"/>
                <w:color w:val="auto"/>
              </w:rPr>
            </w:pPr>
          </w:p>
        </w:tc>
        <w:tc>
          <w:tcPr>
            <w:tcW w:w="700" w:type="dxa"/>
            <w:vAlign w:val="bottom"/>
          </w:tcPr>
          <w:p>
            <w:pPr>
              <w:jc w:val="right"/>
              <w:ind w:right="110"/>
              <w:spacing w:after="0"/>
              <w:rPr>
                <w:sz w:val="20"/>
                <w:szCs w:val="20"/>
                <w:color w:val="auto"/>
              </w:rPr>
            </w:pPr>
            <w:r>
              <w:rPr>
                <w:rFonts w:ascii="Arial" w:cs="Arial" w:eastAsia="Arial" w:hAnsi="Arial"/>
                <w:sz w:val="18"/>
                <w:szCs w:val="18"/>
                <w:color w:val="auto"/>
              </w:rPr>
              <w:t>17</w:t>
            </w:r>
          </w:p>
        </w:tc>
        <w:tc>
          <w:tcPr>
            <w:tcW w:w="360" w:type="dxa"/>
            <w:vAlign w:val="bottom"/>
          </w:tcPr>
          <w:p>
            <w:pPr>
              <w:spacing w:after="0"/>
              <w:rPr>
                <w:sz w:val="20"/>
                <w:szCs w:val="20"/>
                <w:color w:val="auto"/>
              </w:rPr>
            </w:pP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6</w:t>
            </w:r>
          </w:p>
        </w:tc>
        <w:tc>
          <w:tcPr>
            <w:tcW w:w="380" w:type="dxa"/>
            <w:vAlign w:val="bottom"/>
          </w:tcPr>
          <w:p>
            <w:pPr>
              <w:spacing w:after="0"/>
              <w:rPr>
                <w:sz w:val="20"/>
                <w:szCs w:val="20"/>
                <w:color w:val="auto"/>
              </w:rPr>
            </w:pPr>
          </w:p>
        </w:tc>
        <w:tc>
          <w:tcPr>
            <w:tcW w:w="760" w:type="dxa"/>
            <w:vAlign w:val="bottom"/>
          </w:tcPr>
          <w:p>
            <w:pPr>
              <w:jc w:val="right"/>
              <w:ind w:right="90"/>
              <w:spacing w:after="0"/>
              <w:rPr>
                <w:sz w:val="20"/>
                <w:szCs w:val="20"/>
                <w:color w:val="auto"/>
              </w:rPr>
            </w:pPr>
            <w:r>
              <w:rPr>
                <w:rFonts w:ascii="Arial" w:cs="Arial" w:eastAsia="Arial" w:hAnsi="Arial"/>
                <w:sz w:val="18"/>
                <w:szCs w:val="18"/>
                <w:color w:val="auto"/>
              </w:rPr>
              <w:t>4</w:t>
            </w:r>
          </w:p>
        </w:tc>
        <w:tc>
          <w:tcPr>
            <w:tcW w:w="3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49"/>
        </w:trPr>
        <w:tc>
          <w:tcPr>
            <w:tcW w:w="27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shd w:val="clear" w:color="auto" w:fill="CCFFCC"/>
          </w:tcPr>
          <w:p>
            <w:pPr>
              <w:spacing w:after="0"/>
              <w:rPr>
                <w:sz w:val="21"/>
                <w:szCs w:val="21"/>
                <w:color w:val="auto"/>
              </w:rPr>
            </w:pPr>
          </w:p>
        </w:tc>
        <w:tc>
          <w:tcPr>
            <w:tcW w:w="720" w:type="dxa"/>
            <w:vAlign w:val="bottom"/>
            <w:tcBorders>
              <w:bottom w:val="single" w:sz="8" w:color="auto"/>
            </w:tcBorders>
            <w:shd w:val="clear" w:color="auto" w:fill="CCFFCC"/>
          </w:tcPr>
          <w:p>
            <w:pPr>
              <w:jc w:val="right"/>
              <w:ind w:right="130"/>
              <w:spacing w:after="0"/>
              <w:rPr>
                <w:sz w:val="20"/>
                <w:szCs w:val="20"/>
                <w:color w:val="auto"/>
              </w:rPr>
            </w:pPr>
            <w:r>
              <w:rPr>
                <w:rFonts w:ascii="Arial" w:cs="Arial" w:eastAsia="Arial" w:hAnsi="Arial"/>
                <w:sz w:val="18"/>
                <w:szCs w:val="18"/>
                <w:color w:val="auto"/>
              </w:rPr>
              <w:t>9</w:t>
            </w:r>
          </w:p>
        </w:tc>
        <w:tc>
          <w:tcPr>
            <w:tcW w:w="400" w:type="dxa"/>
            <w:vAlign w:val="bottom"/>
            <w:tcBorders>
              <w:bottom w:val="single" w:sz="8" w:color="auto"/>
            </w:tcBorders>
            <w:shd w:val="clear" w:color="auto" w:fill="CCFFCC"/>
          </w:tcPr>
          <w:p>
            <w:pPr>
              <w:spacing w:after="0"/>
              <w:rPr>
                <w:sz w:val="21"/>
                <w:szCs w:val="21"/>
                <w:color w:val="auto"/>
              </w:rPr>
            </w:pPr>
          </w:p>
        </w:tc>
        <w:tc>
          <w:tcPr>
            <w:tcW w:w="700" w:type="dxa"/>
            <w:vAlign w:val="bottom"/>
            <w:tcBorders>
              <w:bottom w:val="single" w:sz="8" w:color="auto"/>
            </w:tcBorders>
            <w:shd w:val="clear" w:color="auto" w:fill="CCFFCC"/>
          </w:tcPr>
          <w:p>
            <w:pPr>
              <w:jc w:val="right"/>
              <w:ind w:right="110"/>
              <w:spacing w:after="0"/>
              <w:rPr>
                <w:sz w:val="20"/>
                <w:szCs w:val="20"/>
                <w:color w:val="auto"/>
              </w:rPr>
            </w:pPr>
            <w:r>
              <w:rPr>
                <w:rFonts w:ascii="Arial" w:cs="Arial" w:eastAsia="Arial" w:hAnsi="Arial"/>
                <w:sz w:val="18"/>
                <w:szCs w:val="18"/>
                <w:color w:val="auto"/>
              </w:rPr>
              <w:t>28</w:t>
            </w:r>
          </w:p>
        </w:tc>
        <w:tc>
          <w:tcPr>
            <w:tcW w:w="360" w:type="dxa"/>
            <w:vAlign w:val="bottom"/>
            <w:tcBorders>
              <w:bottom w:val="single" w:sz="8" w:color="auto"/>
            </w:tcBorders>
            <w:shd w:val="clear" w:color="auto" w:fill="CCFFCC"/>
          </w:tcPr>
          <w:p>
            <w:pPr>
              <w:spacing w:after="0"/>
              <w:rPr>
                <w:sz w:val="21"/>
                <w:szCs w:val="21"/>
                <w:color w:val="auto"/>
              </w:rPr>
            </w:pPr>
          </w:p>
        </w:tc>
        <w:tc>
          <w:tcPr>
            <w:tcW w:w="680" w:type="dxa"/>
            <w:vAlign w:val="bottom"/>
            <w:tcBorders>
              <w:bottom w:val="single" w:sz="8" w:color="auto"/>
            </w:tcBorders>
            <w:shd w:val="clear" w:color="auto" w:fill="CCFFCC"/>
          </w:tcPr>
          <w:p>
            <w:pPr>
              <w:jc w:val="right"/>
              <w:ind w:right="90"/>
              <w:spacing w:after="0"/>
              <w:rPr>
                <w:sz w:val="20"/>
                <w:szCs w:val="20"/>
                <w:color w:val="auto"/>
              </w:rPr>
            </w:pPr>
            <w:r>
              <w:rPr>
                <w:rFonts w:ascii="Arial" w:cs="Arial" w:eastAsia="Arial" w:hAnsi="Arial"/>
                <w:sz w:val="18"/>
                <w:szCs w:val="18"/>
                <w:color w:val="auto"/>
              </w:rPr>
              <w:t>7</w:t>
            </w:r>
          </w:p>
        </w:tc>
        <w:tc>
          <w:tcPr>
            <w:tcW w:w="380" w:type="dxa"/>
            <w:vAlign w:val="bottom"/>
            <w:tcBorders>
              <w:bottom w:val="single" w:sz="8" w:color="auto"/>
            </w:tcBorders>
            <w:shd w:val="clear" w:color="auto" w:fill="CCFFCC"/>
          </w:tcPr>
          <w:p>
            <w:pPr>
              <w:spacing w:after="0"/>
              <w:rPr>
                <w:sz w:val="21"/>
                <w:szCs w:val="21"/>
                <w:color w:val="auto"/>
              </w:rPr>
            </w:pPr>
          </w:p>
        </w:tc>
        <w:tc>
          <w:tcPr>
            <w:tcW w:w="760" w:type="dxa"/>
            <w:vAlign w:val="bottom"/>
            <w:tcBorders>
              <w:bottom w:val="single" w:sz="8" w:color="auto"/>
            </w:tcBorders>
            <w:shd w:val="clear" w:color="auto" w:fill="CCFFCC"/>
          </w:tcPr>
          <w:p>
            <w:pPr>
              <w:jc w:val="right"/>
              <w:ind w:right="90"/>
              <w:spacing w:after="0"/>
              <w:rPr>
                <w:sz w:val="20"/>
                <w:szCs w:val="20"/>
                <w:color w:val="auto"/>
              </w:rPr>
            </w:pPr>
            <w:r>
              <w:rPr>
                <w:rFonts w:ascii="Arial" w:cs="Arial" w:eastAsia="Arial" w:hAnsi="Arial"/>
                <w:sz w:val="18"/>
                <w:szCs w:val="18"/>
                <w:color w:val="auto"/>
              </w:rPr>
              <w:t>9</w:t>
            </w:r>
          </w:p>
        </w:tc>
        <w:tc>
          <w:tcPr>
            <w:tcW w:w="380" w:type="dxa"/>
            <w:vAlign w:val="bottom"/>
            <w:tcBorders>
              <w:bottom w:val="single" w:sz="8" w:color="auto"/>
            </w:tcBorders>
            <w:shd w:val="clear" w:color="auto" w:fill="CCFFCC"/>
          </w:tcPr>
          <w:p>
            <w:pPr>
              <w:spacing w:after="0"/>
              <w:rPr>
                <w:sz w:val="21"/>
                <w:szCs w:val="21"/>
                <w:color w:val="auto"/>
              </w:rPr>
            </w:pPr>
          </w:p>
        </w:tc>
        <w:tc>
          <w:tcPr>
            <w:tcW w:w="6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53</w:t>
            </w:r>
          </w:p>
        </w:tc>
      </w:tr>
      <w:tr>
        <w:trPr>
          <w:trHeight w:val="257"/>
        </w:trPr>
        <w:tc>
          <w:tcPr>
            <w:tcW w:w="2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Totals</w:t>
            </w: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3,912</w:t>
            </w:r>
          </w:p>
        </w:tc>
        <w:tc>
          <w:tcPr>
            <w:tcW w:w="4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5,820</w:t>
            </w:r>
          </w:p>
        </w:tc>
        <w:tc>
          <w:tcPr>
            <w:tcW w:w="3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5,190</w:t>
            </w:r>
          </w:p>
        </w:tc>
        <w:tc>
          <w:tcPr>
            <w:tcW w:w="3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32,256</w:t>
            </w:r>
          </w:p>
        </w:tc>
        <w:tc>
          <w:tcPr>
            <w:tcW w:w="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47,178</w:t>
            </w:r>
          </w:p>
        </w:tc>
      </w:tr>
    </w:tbl>
    <w:p>
      <w:pPr>
        <w:spacing w:after="0" w:line="269" w:lineRule="exact"/>
        <w:rPr>
          <w:sz w:val="20"/>
          <w:szCs w:val="20"/>
          <w:color w:val="auto"/>
        </w:rPr>
      </w:pPr>
    </w:p>
    <w:p>
      <w:pPr>
        <w:ind w:left="2240" w:right="1580" w:hanging="348"/>
        <w:spacing w:after="0" w:line="258" w:lineRule="auto"/>
        <w:tabs>
          <w:tab w:leader="none" w:pos="22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Expected interest payments were calculated using the stated interest rate for fixed rate obligations, including floating-to-fixed interest-rate swaps. Expected interest payments were calculated based on forward rates in effect at December 31, 2007 for variable rate obligations, including fixed-to-floating interest-rate swaps.</w:t>
      </w:r>
    </w:p>
    <w:p>
      <w:pPr>
        <w:spacing w:after="0" w:line="1" w:lineRule="exact"/>
        <w:rPr>
          <w:rFonts w:ascii="Arial" w:cs="Arial" w:eastAsia="Arial" w:hAnsi="Arial"/>
          <w:sz w:val="18"/>
          <w:szCs w:val="18"/>
          <w:color w:val="auto"/>
        </w:rPr>
      </w:pPr>
    </w:p>
    <w:p>
      <w:pPr>
        <w:ind w:left="2240" w:right="1560" w:hanging="348"/>
        <w:spacing w:after="0" w:line="269" w:lineRule="auto"/>
        <w:tabs>
          <w:tab w:leader="none" w:pos="22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Sempra LNG has a purchase agreement with Tangguh PSC Contractors (Tangguh PSC) for the supply of 500 million cubic feet of natural gas per day from Indonesia’s Tangguh liquefaction facility to Sempra LNG’s Energía Costa Azul regasification terminal at a price based on the Southern California border index. The expected minimum payments under the contract are based on the Southern California border index price plus an estimated 1 percent escalation per year. Sempra LNG has a contract to sell a portion of the volumes purchased from Tangguh PSC to Mexico’s national electric company, Comisión Federal de Electricidad (CFE) at prices that are based on the Southern California border index for natural gas.</w:t>
      </w:r>
    </w:p>
    <w:p>
      <w:pPr>
        <w:spacing w:after="0" w:line="2" w:lineRule="exact"/>
        <w:rPr>
          <w:rFonts w:ascii="Arial" w:cs="Arial" w:eastAsia="Arial" w:hAnsi="Arial"/>
          <w:sz w:val="17"/>
          <w:szCs w:val="17"/>
          <w:color w:val="auto"/>
        </w:rPr>
      </w:pPr>
    </w:p>
    <w:p>
      <w:pPr>
        <w:ind w:left="2240" w:right="1640" w:hanging="348"/>
        <w:spacing w:after="0" w:line="277" w:lineRule="auto"/>
        <w:tabs>
          <w:tab w:leader="none" w:pos="22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Amounts are after reduction for the Medicare Part D subsidy and only include expected payments to the plans for the next 10 years.</w:t>
      </w:r>
    </w:p>
    <w:p>
      <w:pPr>
        <w:spacing w:after="0" w:line="208" w:lineRule="exact"/>
        <w:rPr>
          <w:sz w:val="20"/>
          <w:szCs w:val="20"/>
          <w:color w:val="auto"/>
        </w:rPr>
      </w:pPr>
    </w:p>
    <w:p>
      <w:pPr>
        <w:ind w:right="480"/>
        <w:spacing w:after="0" w:line="321" w:lineRule="auto"/>
        <w:rPr>
          <w:sz w:val="20"/>
          <w:szCs w:val="20"/>
          <w:color w:val="auto"/>
        </w:rPr>
      </w:pPr>
      <w:r>
        <w:rPr>
          <w:rFonts w:ascii="Arial" w:cs="Arial" w:eastAsia="Arial" w:hAnsi="Arial"/>
          <w:sz w:val="16"/>
          <w:szCs w:val="16"/>
          <w:color w:val="auto"/>
        </w:rPr>
        <w:t xml:space="preserve">The table excludes trading liabilities and commitments, which are primarily offset by trading assets; contracts between consolidated affiliates; intercompany debt; individual contracts that have annual cash requirements less than $1 million; and employment contracts. The table also excludes income tax liabilities of $105 million recorded in accordance with Financial Accounting Standards Board (FASB) Interpretation (FIN) No. 48, </w:t>
      </w:r>
      <w:r>
        <w:rPr>
          <w:rFonts w:ascii="Arial" w:cs="Arial" w:eastAsia="Arial" w:hAnsi="Arial"/>
          <w:sz w:val="16"/>
          <w:szCs w:val="16"/>
          <w:i w:val="1"/>
          <w:iCs w:val="1"/>
          <w:color w:val="auto"/>
        </w:rPr>
        <w:t>Accounting for Uncertainty in Income Taxes - an interpretation of FASB Statement No. 109</w:t>
      </w:r>
      <w:r>
        <w:rPr>
          <w:rFonts w:ascii="Arial" w:cs="Arial" w:eastAsia="Arial" w:hAnsi="Arial"/>
          <w:sz w:val="16"/>
          <w:szCs w:val="16"/>
          <w:color w:val="auto"/>
        </w:rPr>
        <w:t xml:space="preserve"> (FIN 48), because the company is unable to reasonably estimate the timing of future payments of these liabilities due to uncertainties in the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23</w:t>
      </w:r>
    </w:p>
    <w:p>
      <w:pPr>
        <w:sectPr>
          <w:pgSz w:w="11900" w:h="16838" w:orient="portrait"/>
          <w:cols w:equalWidth="0" w:num="1">
            <w:col w:w="11100"/>
          </w:cols>
          <w:pgMar w:left="240" w:top="115" w:right="559" w:bottom="1440" w:gutter="0" w:footer="0" w:header="0"/>
        </w:sectPr>
      </w:pPr>
    </w:p>
    <w:bookmarkStart w:id="91" w:name="page92"/>
    <w:bookmarkEnd w:id="91"/>
    <w:p>
      <w:pPr>
        <w:ind w:right="660"/>
        <w:spacing w:after="0" w:line="262" w:lineRule="auto"/>
        <w:rPr>
          <w:sz w:val="20"/>
          <w:szCs w:val="20"/>
          <w:color w:val="auto"/>
        </w:rPr>
      </w:pPr>
      <w:r>
        <w:rPr>
          <w:rFonts w:ascii="Arial" w:cs="Arial" w:eastAsia="Arial" w:hAnsi="Arial"/>
          <w:sz w:val="20"/>
          <w:szCs w:val="20"/>
          <w:color w:val="auto"/>
        </w:rPr>
        <w:t>timing of the effective settlement of tax positions. Additional information on FIN 48 is provided in Note 2 of the Notes to Consolidated Financial Statements.</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Off Balance-Sheet Arrangements</w:t>
      </w:r>
    </w:p>
    <w:p>
      <w:pPr>
        <w:spacing w:after="0" w:line="249" w:lineRule="exact"/>
        <w:rPr>
          <w:sz w:val="20"/>
          <w:szCs w:val="20"/>
          <w:color w:val="auto"/>
        </w:rPr>
      </w:pPr>
    </w:p>
    <w:p>
      <w:pPr>
        <w:ind w:right="320"/>
        <w:spacing w:after="0" w:line="260" w:lineRule="auto"/>
        <w:rPr>
          <w:sz w:val="20"/>
          <w:szCs w:val="20"/>
          <w:color w:val="auto"/>
        </w:rPr>
      </w:pPr>
      <w:r>
        <w:rPr>
          <w:rFonts w:ascii="Arial" w:cs="Arial" w:eastAsia="Arial" w:hAnsi="Arial"/>
          <w:sz w:val="20"/>
          <w:szCs w:val="20"/>
          <w:color w:val="auto"/>
        </w:rPr>
        <w:t>The company has provided guarantees aggregating $686 million at December 31, 2007, to related parties, including the guarantee related to Rockies Express project financing discussed in Note 6.</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Credit Ratings</w:t>
      </w:r>
    </w:p>
    <w:p>
      <w:pPr>
        <w:spacing w:after="0" w:line="249" w:lineRule="exact"/>
        <w:rPr>
          <w:sz w:val="20"/>
          <w:szCs w:val="20"/>
          <w:color w:val="auto"/>
        </w:rPr>
      </w:pPr>
    </w:p>
    <w:p>
      <w:pPr>
        <w:ind w:right="260"/>
        <w:spacing w:after="0" w:line="260" w:lineRule="auto"/>
        <w:rPr>
          <w:sz w:val="20"/>
          <w:szCs w:val="20"/>
          <w:color w:val="auto"/>
        </w:rPr>
      </w:pPr>
      <w:r>
        <w:rPr>
          <w:rFonts w:ascii="Arial" w:cs="Arial" w:eastAsia="Arial" w:hAnsi="Arial"/>
          <w:sz w:val="20"/>
          <w:szCs w:val="20"/>
          <w:color w:val="auto"/>
        </w:rPr>
        <w:t>Credit ratings of the company and its principal subsidiaries remained unchanged at investment grade levels in 2007. As of January 31, 2008, credit ratings for Sempra Energy and its principal subsidiaries were as follows:</w:t>
      </w:r>
    </w:p>
    <w:p>
      <w:pPr>
        <w:spacing w:after="0" w:line="247" w:lineRule="exact"/>
        <w:rPr>
          <w:sz w:val="20"/>
          <w:szCs w:val="20"/>
          <w:color w:val="auto"/>
        </w:rPr>
      </w:pPr>
    </w:p>
    <w:p>
      <w:pPr>
        <w:ind w:left="6000"/>
        <w:spacing w:after="0"/>
        <w:tabs>
          <w:tab w:leader="none" w:pos="7240" w:val="left"/>
        </w:tabs>
        <w:rPr>
          <w:sz w:val="20"/>
          <w:szCs w:val="20"/>
          <w:color w:val="auto"/>
        </w:rPr>
      </w:pPr>
      <w:r>
        <w:rPr>
          <w:rFonts w:ascii="Arial" w:cs="Arial" w:eastAsia="Arial" w:hAnsi="Arial"/>
          <w:sz w:val="18"/>
          <w:szCs w:val="18"/>
          <w:color w:val="auto"/>
        </w:rPr>
        <w:t>Standard</w:t>
      </w:r>
      <w:r>
        <w:rPr>
          <w:sz w:val="20"/>
          <w:szCs w:val="20"/>
          <w:color w:val="auto"/>
        </w:rPr>
        <w:tab/>
      </w:r>
      <w:r>
        <w:rPr>
          <w:rFonts w:ascii="Arial" w:cs="Arial" w:eastAsia="Arial" w:hAnsi="Arial"/>
          <w:sz w:val="18"/>
          <w:szCs w:val="18"/>
          <w:color w:val="auto"/>
        </w:rPr>
        <w:t>Moody's Investor</w:t>
      </w:r>
    </w:p>
    <w:p>
      <w:pPr>
        <w:spacing w:after="0" w:line="36" w:lineRule="exact"/>
        <w:rPr>
          <w:sz w:val="20"/>
          <w:szCs w:val="20"/>
          <w:color w:val="auto"/>
        </w:rPr>
      </w:pPr>
    </w:p>
    <w:p>
      <w:pPr>
        <w:ind w:left="6000"/>
        <w:spacing w:after="0"/>
        <w:tabs>
          <w:tab w:leader="none" w:pos="7520" w:val="left"/>
          <w:tab w:leader="none" w:pos="9320" w:val="left"/>
        </w:tabs>
        <w:rPr>
          <w:sz w:val="20"/>
          <w:szCs w:val="20"/>
          <w:color w:val="auto"/>
        </w:rPr>
      </w:pPr>
      <w:r>
        <w:rPr>
          <w:rFonts w:ascii="Arial" w:cs="Arial" w:eastAsia="Arial" w:hAnsi="Arial"/>
          <w:sz w:val="18"/>
          <w:szCs w:val="18"/>
          <w:color w:val="auto"/>
        </w:rPr>
        <w:t>&amp; Poor's</w:t>
      </w:r>
      <w:r>
        <w:rPr>
          <w:sz w:val="20"/>
          <w:szCs w:val="20"/>
          <w:color w:val="auto"/>
        </w:rPr>
        <w:tab/>
      </w:r>
      <w:r>
        <w:rPr>
          <w:rFonts w:ascii="Arial" w:cs="Arial" w:eastAsia="Arial" w:hAnsi="Arial"/>
          <w:sz w:val="18"/>
          <w:szCs w:val="18"/>
          <w:color w:val="auto"/>
        </w:rPr>
        <w:t>Services, Inc.</w:t>
      </w:r>
      <w:r>
        <w:rPr>
          <w:sz w:val="20"/>
          <w:szCs w:val="20"/>
          <w:color w:val="auto"/>
        </w:rPr>
        <w:tab/>
      </w:r>
      <w:r>
        <w:rPr>
          <w:rFonts w:ascii="Arial" w:cs="Arial" w:eastAsia="Arial" w:hAnsi="Arial"/>
          <w:sz w:val="17"/>
          <w:szCs w:val="17"/>
          <w:color w:val="auto"/>
        </w:rPr>
        <w:t>Fitch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1085850</wp:posOffset>
            </wp:positionH>
            <wp:positionV relativeFrom="paragraph">
              <wp:posOffset>23495</wp:posOffset>
            </wp:positionV>
            <wp:extent cx="509397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093970" cy="8890"/>
                    </a:xfrm>
                    <a:prstGeom prst="rect">
                      <a:avLst/>
                    </a:prstGeom>
                    <a:noFill/>
                  </pic:spPr>
                </pic:pic>
              </a:graphicData>
            </a:graphic>
          </wp:anchor>
        </w:drawing>
      </w:r>
    </w:p>
    <w:p>
      <w:pPr>
        <w:spacing w:after="0" w:line="26" w:lineRule="exact"/>
        <w:rPr>
          <w:sz w:val="20"/>
          <w:szCs w:val="20"/>
          <w:color w:val="auto"/>
        </w:rPr>
      </w:pPr>
    </w:p>
    <w:p>
      <w:pPr>
        <w:ind w:left="1720"/>
        <w:spacing w:after="0"/>
        <w:rPr>
          <w:sz w:val="20"/>
          <w:szCs w:val="20"/>
          <w:color w:val="auto"/>
        </w:rPr>
      </w:pPr>
      <w:r>
        <w:rPr>
          <w:rFonts w:ascii="Arial" w:cs="Arial" w:eastAsia="Arial" w:hAnsi="Arial"/>
          <w:sz w:val="18"/>
          <w:szCs w:val="18"/>
          <w:b w:val="1"/>
          <w:bCs w:val="1"/>
          <w:color w:val="auto"/>
        </w:rPr>
        <w:t>SEMPRA ENERGY</w:t>
      </w:r>
    </w:p>
    <w:p>
      <w:pPr>
        <w:sectPr>
          <w:pgSz w:w="11900" w:h="16838" w:orient="portrait"/>
          <w:cols w:equalWidth="0" w:num="1">
            <w:col w:w="11380"/>
          </w:cols>
          <w:pgMar w:left="240" w:top="122" w:right="279" w:bottom="1440" w:gutter="0" w:footer="0" w:header="0"/>
        </w:sectPr>
      </w:pPr>
    </w:p>
    <w:p>
      <w:pPr>
        <w:spacing w:after="0" w:line="54"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Unsecured debt</w:t>
      </w:r>
    </w:p>
    <w:p>
      <w:pPr>
        <w:spacing w:after="0" w:line="275" w:lineRule="exact"/>
        <w:rPr>
          <w:sz w:val="20"/>
          <w:szCs w:val="20"/>
          <w:color w:val="auto"/>
        </w:rPr>
      </w:pPr>
    </w:p>
    <w:p>
      <w:pPr>
        <w:ind w:left="1720"/>
        <w:spacing w:after="0"/>
        <w:rPr>
          <w:sz w:val="20"/>
          <w:szCs w:val="20"/>
          <w:color w:val="auto"/>
        </w:rPr>
      </w:pPr>
      <w:r>
        <w:rPr>
          <w:rFonts w:ascii="Arial" w:cs="Arial" w:eastAsia="Arial" w:hAnsi="Arial"/>
          <w:sz w:val="18"/>
          <w:szCs w:val="18"/>
          <w:b w:val="1"/>
          <w:bCs w:val="1"/>
          <w:color w:val="auto"/>
        </w:rPr>
        <w:t>SDG&amp;E</w:t>
      </w:r>
    </w:p>
    <w:p>
      <w:pPr>
        <w:spacing w:after="0" w:line="40"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Secured debt</w:t>
      </w:r>
    </w:p>
    <w:p>
      <w:pPr>
        <w:spacing w:after="0" w:line="36"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Unsecured debt</w:t>
      </w:r>
    </w:p>
    <w:p>
      <w:pPr>
        <w:spacing w:after="0" w:line="36"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Preferred stock</w:t>
      </w:r>
    </w:p>
    <w:p>
      <w:pPr>
        <w:spacing w:after="0" w:line="50"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Commercial paper</w:t>
      </w:r>
    </w:p>
    <w:p>
      <w:pPr>
        <w:spacing w:after="0" w:line="275" w:lineRule="exact"/>
        <w:rPr>
          <w:sz w:val="20"/>
          <w:szCs w:val="20"/>
          <w:color w:val="auto"/>
        </w:rPr>
      </w:pPr>
    </w:p>
    <w:p>
      <w:pPr>
        <w:ind w:left="1720"/>
        <w:spacing w:after="0"/>
        <w:rPr>
          <w:sz w:val="20"/>
          <w:szCs w:val="20"/>
          <w:color w:val="auto"/>
        </w:rPr>
      </w:pPr>
      <w:r>
        <w:rPr>
          <w:rFonts w:ascii="Arial" w:cs="Arial" w:eastAsia="Arial" w:hAnsi="Arial"/>
          <w:sz w:val="18"/>
          <w:szCs w:val="18"/>
          <w:b w:val="1"/>
          <w:bCs w:val="1"/>
          <w:color w:val="auto"/>
        </w:rPr>
        <w:t>SOCALGAS</w:t>
      </w:r>
    </w:p>
    <w:p>
      <w:pPr>
        <w:spacing w:after="0" w:line="40"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Secured debt</w:t>
      </w:r>
    </w:p>
    <w:p>
      <w:pPr>
        <w:spacing w:after="0" w:line="36"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Unsecured debt</w:t>
      </w:r>
    </w:p>
    <w:p>
      <w:pPr>
        <w:spacing w:after="0" w:line="36"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Preferred stock</w:t>
      </w:r>
    </w:p>
    <w:p>
      <w:pPr>
        <w:spacing w:after="0" w:line="50"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Commercial paper</w:t>
      </w:r>
    </w:p>
    <w:p>
      <w:pPr>
        <w:spacing w:after="0" w:line="275" w:lineRule="exact"/>
        <w:rPr>
          <w:sz w:val="20"/>
          <w:szCs w:val="20"/>
          <w:color w:val="auto"/>
        </w:rPr>
      </w:pPr>
    </w:p>
    <w:p>
      <w:pPr>
        <w:ind w:left="1720"/>
        <w:spacing w:after="0"/>
        <w:rPr>
          <w:sz w:val="20"/>
          <w:szCs w:val="20"/>
          <w:color w:val="auto"/>
        </w:rPr>
      </w:pPr>
      <w:r>
        <w:rPr>
          <w:rFonts w:ascii="Arial" w:cs="Arial" w:eastAsia="Arial" w:hAnsi="Arial"/>
          <w:sz w:val="18"/>
          <w:szCs w:val="18"/>
          <w:b w:val="1"/>
          <w:bCs w:val="1"/>
          <w:color w:val="auto"/>
        </w:rPr>
        <w:t>PACIFIC ENTERPRISES</w:t>
      </w:r>
    </w:p>
    <w:p>
      <w:pPr>
        <w:spacing w:after="0" w:line="54"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Preferred stock</w:t>
      </w:r>
    </w:p>
    <w:p>
      <w:pPr>
        <w:spacing w:after="0" w:line="275" w:lineRule="exact"/>
        <w:rPr>
          <w:sz w:val="20"/>
          <w:szCs w:val="20"/>
          <w:color w:val="auto"/>
        </w:rPr>
      </w:pPr>
    </w:p>
    <w:p>
      <w:pPr>
        <w:ind w:left="1720"/>
        <w:spacing w:after="0"/>
        <w:rPr>
          <w:sz w:val="20"/>
          <w:szCs w:val="20"/>
          <w:color w:val="auto"/>
        </w:rPr>
      </w:pPr>
      <w:r>
        <w:rPr>
          <w:rFonts w:ascii="Arial" w:cs="Arial" w:eastAsia="Arial" w:hAnsi="Arial"/>
          <w:sz w:val="18"/>
          <w:szCs w:val="18"/>
          <w:b w:val="1"/>
          <w:bCs w:val="1"/>
          <w:color w:val="auto"/>
        </w:rPr>
        <w:t>SEMPRA GLOBAL</w:t>
      </w:r>
    </w:p>
    <w:p>
      <w:pPr>
        <w:spacing w:after="0" w:line="40" w:lineRule="exact"/>
        <w:rPr>
          <w:sz w:val="20"/>
          <w:szCs w:val="20"/>
          <w:color w:val="auto"/>
        </w:rPr>
      </w:pPr>
    </w:p>
    <w:p>
      <w:pPr>
        <w:ind w:left="1720"/>
        <w:spacing w:after="0" w:line="377" w:lineRule="auto"/>
        <w:rPr>
          <w:sz w:val="20"/>
          <w:szCs w:val="20"/>
          <w:color w:val="auto"/>
        </w:rPr>
      </w:pPr>
      <w:r>
        <w:rPr>
          <w:rFonts w:ascii="Arial" w:cs="Arial" w:eastAsia="Arial" w:hAnsi="Arial"/>
          <w:sz w:val="16"/>
          <w:szCs w:val="16"/>
          <w:color w:val="auto"/>
        </w:rPr>
        <w:t>Unsecured debt guaranteed by Sempra Energy Commercial paper guaranteed by Sempra Energy</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7"/>
        </w:trPr>
        <w:tc>
          <w:tcPr>
            <w:tcW w:w="16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rPr>
              <w:t>BBB+</w:t>
            </w:r>
          </w:p>
        </w:tc>
        <w:tc>
          <w:tcPr>
            <w:tcW w:w="1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Baa1</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A</w:t>
            </w:r>
          </w:p>
        </w:tc>
      </w:tr>
      <w:tr>
        <w:trPr>
          <w:trHeight w:val="716"/>
        </w:trPr>
        <w:tc>
          <w:tcPr>
            <w:tcW w:w="1660" w:type="dxa"/>
            <w:vAlign w:val="bottom"/>
          </w:tcPr>
          <w:p>
            <w:pPr>
              <w:jc w:val="right"/>
              <w:ind w:right="670"/>
              <w:spacing w:after="0"/>
              <w:rPr>
                <w:sz w:val="20"/>
                <w:szCs w:val="20"/>
                <w:color w:val="auto"/>
              </w:rPr>
            </w:pPr>
            <w:r>
              <w:rPr>
                <w:rFonts w:ascii="Arial" w:cs="Arial" w:eastAsia="Arial" w:hAnsi="Arial"/>
                <w:sz w:val="18"/>
                <w:szCs w:val="18"/>
                <w:color w:val="auto"/>
              </w:rPr>
              <w:t>A+</w:t>
            </w:r>
          </w:p>
        </w:tc>
        <w:tc>
          <w:tcPr>
            <w:tcW w:w="1560" w:type="dxa"/>
            <w:vAlign w:val="bottom"/>
          </w:tcPr>
          <w:p>
            <w:pPr>
              <w:jc w:val="right"/>
              <w:ind w:right="350"/>
              <w:spacing w:after="0"/>
              <w:rPr>
                <w:sz w:val="20"/>
                <w:szCs w:val="20"/>
                <w:color w:val="auto"/>
              </w:rPr>
            </w:pPr>
            <w:r>
              <w:rPr>
                <w:rFonts w:ascii="Arial" w:cs="Arial" w:eastAsia="Arial" w:hAnsi="Arial"/>
                <w:sz w:val="18"/>
                <w:szCs w:val="18"/>
                <w:color w:val="auto"/>
              </w:rPr>
              <w:t>A1</w:t>
            </w:r>
          </w:p>
        </w:tc>
        <w:tc>
          <w:tcPr>
            <w:tcW w:w="780" w:type="dxa"/>
            <w:vAlign w:val="bottom"/>
          </w:tcPr>
          <w:p>
            <w:pPr>
              <w:jc w:val="right"/>
              <w:spacing w:after="0"/>
              <w:rPr>
                <w:sz w:val="20"/>
                <w:szCs w:val="20"/>
                <w:color w:val="auto"/>
              </w:rPr>
            </w:pPr>
            <w:r>
              <w:rPr>
                <w:rFonts w:ascii="Arial" w:cs="Arial" w:eastAsia="Arial" w:hAnsi="Arial"/>
                <w:sz w:val="18"/>
                <w:szCs w:val="18"/>
                <w:color w:val="auto"/>
              </w:rPr>
              <w:t>AA</w:t>
            </w:r>
          </w:p>
        </w:tc>
      </w:tr>
      <w:tr>
        <w:trPr>
          <w:trHeight w:val="243"/>
        </w:trPr>
        <w:tc>
          <w:tcPr>
            <w:tcW w:w="1660" w:type="dxa"/>
            <w:vAlign w:val="bottom"/>
          </w:tcPr>
          <w:p>
            <w:pPr>
              <w:jc w:val="right"/>
              <w:ind w:right="670"/>
              <w:spacing w:after="0"/>
              <w:rPr>
                <w:sz w:val="20"/>
                <w:szCs w:val="20"/>
                <w:color w:val="auto"/>
              </w:rPr>
            </w:pPr>
            <w:r>
              <w:rPr>
                <w:rFonts w:ascii="Arial" w:cs="Arial" w:eastAsia="Arial" w:hAnsi="Arial"/>
                <w:sz w:val="18"/>
                <w:szCs w:val="18"/>
                <w:color w:val="auto"/>
              </w:rPr>
              <w:t>A-</w:t>
            </w:r>
          </w:p>
        </w:tc>
        <w:tc>
          <w:tcPr>
            <w:tcW w:w="1560" w:type="dxa"/>
            <w:vAlign w:val="bottom"/>
          </w:tcPr>
          <w:p>
            <w:pPr>
              <w:jc w:val="right"/>
              <w:ind w:right="350"/>
              <w:spacing w:after="0"/>
              <w:rPr>
                <w:sz w:val="20"/>
                <w:szCs w:val="20"/>
                <w:color w:val="auto"/>
              </w:rPr>
            </w:pPr>
            <w:r>
              <w:rPr>
                <w:rFonts w:ascii="Arial" w:cs="Arial" w:eastAsia="Arial" w:hAnsi="Arial"/>
                <w:sz w:val="18"/>
                <w:szCs w:val="18"/>
                <w:color w:val="auto"/>
              </w:rPr>
              <w:t>A2</w:t>
            </w:r>
          </w:p>
        </w:tc>
        <w:tc>
          <w:tcPr>
            <w:tcW w:w="780" w:type="dxa"/>
            <w:vAlign w:val="bottom"/>
          </w:tcPr>
          <w:p>
            <w:pPr>
              <w:jc w:val="right"/>
              <w:spacing w:after="0"/>
              <w:rPr>
                <w:sz w:val="20"/>
                <w:szCs w:val="20"/>
                <w:color w:val="auto"/>
              </w:rPr>
            </w:pPr>
            <w:r>
              <w:rPr>
                <w:rFonts w:ascii="Arial" w:cs="Arial" w:eastAsia="Arial" w:hAnsi="Arial"/>
                <w:sz w:val="18"/>
                <w:szCs w:val="18"/>
                <w:color w:val="auto"/>
              </w:rPr>
              <w:t>AA-</w:t>
            </w:r>
          </w:p>
        </w:tc>
      </w:tr>
      <w:tr>
        <w:trPr>
          <w:trHeight w:val="243"/>
        </w:trPr>
        <w:tc>
          <w:tcPr>
            <w:tcW w:w="1660" w:type="dxa"/>
            <w:vAlign w:val="bottom"/>
          </w:tcPr>
          <w:p>
            <w:pPr>
              <w:jc w:val="right"/>
              <w:ind w:right="670"/>
              <w:spacing w:after="0"/>
              <w:rPr>
                <w:sz w:val="20"/>
                <w:szCs w:val="20"/>
                <w:color w:val="auto"/>
              </w:rPr>
            </w:pPr>
            <w:r>
              <w:rPr>
                <w:rFonts w:ascii="Arial" w:cs="Arial" w:eastAsia="Arial" w:hAnsi="Arial"/>
                <w:sz w:val="18"/>
                <w:szCs w:val="18"/>
                <w:color w:val="auto"/>
              </w:rPr>
              <w:t>BBB+</w:t>
            </w:r>
          </w:p>
        </w:tc>
        <w:tc>
          <w:tcPr>
            <w:tcW w:w="1560" w:type="dxa"/>
            <w:vAlign w:val="bottom"/>
          </w:tcPr>
          <w:p>
            <w:pPr>
              <w:jc w:val="right"/>
              <w:ind w:right="350"/>
              <w:spacing w:after="0"/>
              <w:rPr>
                <w:sz w:val="20"/>
                <w:szCs w:val="20"/>
                <w:color w:val="auto"/>
              </w:rPr>
            </w:pPr>
            <w:r>
              <w:rPr>
                <w:rFonts w:ascii="Arial" w:cs="Arial" w:eastAsia="Arial" w:hAnsi="Arial"/>
                <w:sz w:val="18"/>
                <w:szCs w:val="18"/>
                <w:color w:val="auto"/>
              </w:rPr>
              <w:t>Baa1</w:t>
            </w:r>
          </w:p>
        </w:tc>
        <w:tc>
          <w:tcPr>
            <w:tcW w:w="78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50"/>
        </w:trPr>
        <w:tc>
          <w:tcPr>
            <w:tcW w:w="16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rPr>
              <w:t>A-1</w:t>
            </w:r>
          </w:p>
        </w:tc>
        <w:tc>
          <w:tcPr>
            <w:tcW w:w="1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P-1</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F1+</w:t>
            </w:r>
          </w:p>
        </w:tc>
      </w:tr>
      <w:tr>
        <w:trPr>
          <w:trHeight w:val="716"/>
        </w:trPr>
        <w:tc>
          <w:tcPr>
            <w:tcW w:w="1660" w:type="dxa"/>
            <w:vAlign w:val="bottom"/>
          </w:tcPr>
          <w:p>
            <w:pPr>
              <w:jc w:val="right"/>
              <w:ind w:right="670"/>
              <w:spacing w:after="0"/>
              <w:rPr>
                <w:sz w:val="20"/>
                <w:szCs w:val="20"/>
                <w:color w:val="auto"/>
              </w:rPr>
            </w:pPr>
            <w:r>
              <w:rPr>
                <w:rFonts w:ascii="Arial" w:cs="Arial" w:eastAsia="Arial" w:hAnsi="Arial"/>
                <w:sz w:val="18"/>
                <w:szCs w:val="18"/>
                <w:color w:val="auto"/>
              </w:rPr>
              <w:t>A+</w:t>
            </w:r>
          </w:p>
        </w:tc>
        <w:tc>
          <w:tcPr>
            <w:tcW w:w="1560" w:type="dxa"/>
            <w:vAlign w:val="bottom"/>
          </w:tcPr>
          <w:p>
            <w:pPr>
              <w:jc w:val="right"/>
              <w:ind w:right="350"/>
              <w:spacing w:after="0"/>
              <w:rPr>
                <w:sz w:val="20"/>
                <w:szCs w:val="20"/>
                <w:color w:val="auto"/>
              </w:rPr>
            </w:pPr>
            <w:r>
              <w:rPr>
                <w:rFonts w:ascii="Arial" w:cs="Arial" w:eastAsia="Arial" w:hAnsi="Arial"/>
                <w:sz w:val="18"/>
                <w:szCs w:val="18"/>
                <w:color w:val="auto"/>
              </w:rPr>
              <w:t>A1</w:t>
            </w:r>
          </w:p>
        </w:tc>
        <w:tc>
          <w:tcPr>
            <w:tcW w:w="780" w:type="dxa"/>
            <w:vAlign w:val="bottom"/>
          </w:tcPr>
          <w:p>
            <w:pPr>
              <w:jc w:val="right"/>
              <w:spacing w:after="0"/>
              <w:rPr>
                <w:sz w:val="20"/>
                <w:szCs w:val="20"/>
                <w:color w:val="auto"/>
              </w:rPr>
            </w:pPr>
            <w:r>
              <w:rPr>
                <w:rFonts w:ascii="Arial" w:cs="Arial" w:eastAsia="Arial" w:hAnsi="Arial"/>
                <w:sz w:val="18"/>
                <w:szCs w:val="18"/>
                <w:color w:val="auto"/>
              </w:rPr>
              <w:t>AA</w:t>
            </w:r>
          </w:p>
        </w:tc>
      </w:tr>
      <w:tr>
        <w:trPr>
          <w:trHeight w:val="243"/>
        </w:trPr>
        <w:tc>
          <w:tcPr>
            <w:tcW w:w="1660" w:type="dxa"/>
            <w:vAlign w:val="bottom"/>
          </w:tcPr>
          <w:p>
            <w:pPr>
              <w:jc w:val="right"/>
              <w:ind w:right="670"/>
              <w:spacing w:after="0"/>
              <w:rPr>
                <w:sz w:val="20"/>
                <w:szCs w:val="20"/>
                <w:color w:val="auto"/>
              </w:rPr>
            </w:pPr>
            <w:r>
              <w:rPr>
                <w:rFonts w:ascii="Arial" w:cs="Arial" w:eastAsia="Arial" w:hAnsi="Arial"/>
                <w:sz w:val="18"/>
                <w:szCs w:val="18"/>
                <w:color w:val="auto"/>
              </w:rPr>
              <w:t>A-</w:t>
            </w:r>
          </w:p>
        </w:tc>
        <w:tc>
          <w:tcPr>
            <w:tcW w:w="1560" w:type="dxa"/>
            <w:vAlign w:val="bottom"/>
          </w:tcPr>
          <w:p>
            <w:pPr>
              <w:jc w:val="right"/>
              <w:ind w:right="350"/>
              <w:spacing w:after="0"/>
              <w:rPr>
                <w:sz w:val="20"/>
                <w:szCs w:val="20"/>
                <w:color w:val="auto"/>
              </w:rPr>
            </w:pPr>
            <w:r>
              <w:rPr>
                <w:rFonts w:ascii="Arial" w:cs="Arial" w:eastAsia="Arial" w:hAnsi="Arial"/>
                <w:sz w:val="18"/>
                <w:szCs w:val="18"/>
                <w:color w:val="auto"/>
              </w:rPr>
              <w:t>A2</w:t>
            </w:r>
          </w:p>
        </w:tc>
        <w:tc>
          <w:tcPr>
            <w:tcW w:w="780" w:type="dxa"/>
            <w:vAlign w:val="bottom"/>
          </w:tcPr>
          <w:p>
            <w:pPr>
              <w:jc w:val="right"/>
              <w:spacing w:after="0"/>
              <w:rPr>
                <w:sz w:val="20"/>
                <w:szCs w:val="20"/>
                <w:color w:val="auto"/>
              </w:rPr>
            </w:pPr>
            <w:r>
              <w:rPr>
                <w:rFonts w:ascii="Arial" w:cs="Arial" w:eastAsia="Arial" w:hAnsi="Arial"/>
                <w:sz w:val="18"/>
                <w:szCs w:val="18"/>
                <w:color w:val="auto"/>
              </w:rPr>
              <w:t>AA-</w:t>
            </w:r>
          </w:p>
        </w:tc>
      </w:tr>
      <w:tr>
        <w:trPr>
          <w:trHeight w:val="243"/>
        </w:trPr>
        <w:tc>
          <w:tcPr>
            <w:tcW w:w="1660" w:type="dxa"/>
            <w:vAlign w:val="bottom"/>
          </w:tcPr>
          <w:p>
            <w:pPr>
              <w:jc w:val="right"/>
              <w:ind w:right="670"/>
              <w:spacing w:after="0"/>
              <w:rPr>
                <w:sz w:val="20"/>
                <w:szCs w:val="20"/>
                <w:color w:val="auto"/>
              </w:rPr>
            </w:pPr>
            <w:r>
              <w:rPr>
                <w:rFonts w:ascii="Arial" w:cs="Arial" w:eastAsia="Arial" w:hAnsi="Arial"/>
                <w:sz w:val="18"/>
                <w:szCs w:val="18"/>
                <w:color w:val="auto"/>
              </w:rPr>
              <w:t>BBB+</w:t>
            </w:r>
          </w:p>
        </w:tc>
        <w:tc>
          <w:tcPr>
            <w:tcW w:w="1560" w:type="dxa"/>
            <w:vAlign w:val="bottom"/>
          </w:tcPr>
          <w:p>
            <w:pPr>
              <w:jc w:val="right"/>
              <w:ind w:right="350"/>
              <w:spacing w:after="0"/>
              <w:rPr>
                <w:sz w:val="20"/>
                <w:szCs w:val="20"/>
                <w:color w:val="auto"/>
              </w:rPr>
            </w:pPr>
            <w:r>
              <w:rPr>
                <w:rFonts w:ascii="Arial" w:cs="Arial" w:eastAsia="Arial" w:hAnsi="Arial"/>
                <w:sz w:val="18"/>
                <w:szCs w:val="18"/>
                <w:color w:val="auto"/>
              </w:rPr>
              <w:t>Baa1</w:t>
            </w:r>
          </w:p>
        </w:tc>
        <w:tc>
          <w:tcPr>
            <w:tcW w:w="78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50"/>
        </w:trPr>
        <w:tc>
          <w:tcPr>
            <w:tcW w:w="16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rPr>
              <w:t>A-1</w:t>
            </w:r>
          </w:p>
        </w:tc>
        <w:tc>
          <w:tcPr>
            <w:tcW w:w="1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P-1</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F1+</w:t>
            </w:r>
          </w:p>
        </w:tc>
      </w:tr>
      <w:tr>
        <w:trPr>
          <w:trHeight w:val="723"/>
        </w:trPr>
        <w:tc>
          <w:tcPr>
            <w:tcW w:w="16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rPr>
              <w:t>BBB+</w:t>
            </w:r>
          </w:p>
        </w:tc>
        <w:tc>
          <w:tcPr>
            <w:tcW w:w="1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A</w:t>
            </w:r>
          </w:p>
        </w:tc>
      </w:tr>
      <w:tr>
        <w:trPr>
          <w:trHeight w:val="716"/>
        </w:trPr>
        <w:tc>
          <w:tcPr>
            <w:tcW w:w="1660" w:type="dxa"/>
            <w:vAlign w:val="bottom"/>
          </w:tcPr>
          <w:p>
            <w:pPr>
              <w:jc w:val="right"/>
              <w:ind w:right="67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350"/>
              <w:spacing w:after="0"/>
              <w:rPr>
                <w:sz w:val="20"/>
                <w:szCs w:val="20"/>
                <w:color w:val="auto"/>
              </w:rPr>
            </w:pPr>
            <w:r>
              <w:rPr>
                <w:rFonts w:ascii="Arial" w:cs="Arial" w:eastAsia="Arial" w:hAnsi="Arial"/>
                <w:sz w:val="18"/>
                <w:szCs w:val="18"/>
                <w:color w:val="auto"/>
              </w:rPr>
              <w:t>Baa1</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1660" w:type="dxa"/>
            <w:vAlign w:val="bottom"/>
          </w:tcPr>
          <w:p>
            <w:pPr>
              <w:jc w:val="right"/>
              <w:ind w:right="670"/>
              <w:spacing w:after="0"/>
              <w:rPr>
                <w:sz w:val="20"/>
                <w:szCs w:val="20"/>
                <w:color w:val="auto"/>
              </w:rPr>
            </w:pPr>
            <w:r>
              <w:rPr>
                <w:rFonts w:ascii="Arial" w:cs="Arial" w:eastAsia="Arial" w:hAnsi="Arial"/>
                <w:sz w:val="18"/>
                <w:szCs w:val="18"/>
                <w:color w:val="auto"/>
              </w:rPr>
              <w:t>A-2</w:t>
            </w:r>
          </w:p>
        </w:tc>
        <w:tc>
          <w:tcPr>
            <w:tcW w:w="1560" w:type="dxa"/>
            <w:vAlign w:val="bottom"/>
          </w:tcPr>
          <w:p>
            <w:pPr>
              <w:jc w:val="right"/>
              <w:ind w:right="350"/>
              <w:spacing w:after="0"/>
              <w:rPr>
                <w:sz w:val="20"/>
                <w:szCs w:val="20"/>
                <w:color w:val="auto"/>
              </w:rPr>
            </w:pPr>
            <w:r>
              <w:rPr>
                <w:rFonts w:ascii="Arial" w:cs="Arial" w:eastAsia="Arial" w:hAnsi="Arial"/>
                <w:sz w:val="18"/>
                <w:szCs w:val="18"/>
                <w:color w:val="auto"/>
              </w:rPr>
              <w:t>P-2</w:t>
            </w:r>
          </w:p>
        </w:tc>
        <w:tc>
          <w:tcPr>
            <w:tcW w:w="780" w:type="dxa"/>
            <w:vAlign w:val="bottom"/>
          </w:tcPr>
          <w:p>
            <w:pPr>
              <w:jc w:val="right"/>
              <w:spacing w:after="0"/>
              <w:rPr>
                <w:sz w:val="20"/>
                <w:szCs w:val="20"/>
                <w:color w:val="auto"/>
              </w:rPr>
            </w:pPr>
            <w:r>
              <w:rPr>
                <w:rFonts w:ascii="Arial" w:cs="Arial" w:eastAsia="Arial" w:hAnsi="Arial"/>
                <w:sz w:val="18"/>
                <w:szCs w:val="18"/>
                <w:color w:val="auto"/>
              </w:rPr>
              <w:t>F1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-2558415</wp:posOffset>
            </wp:positionH>
            <wp:positionV relativeFrom="paragraph">
              <wp:posOffset>8890</wp:posOffset>
            </wp:positionV>
            <wp:extent cx="509397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093970" cy="26035"/>
                    </a:xfrm>
                    <a:prstGeom prst="rect">
                      <a:avLst/>
                    </a:prstGeom>
                    <a:noFill/>
                  </pic:spPr>
                </pic:pic>
              </a:graphicData>
            </a:graphic>
          </wp:anchor>
        </w:drawing>
      </w:r>
    </w:p>
    <w:p>
      <w:pPr>
        <w:spacing w:after="0" w:line="280" w:lineRule="exact"/>
        <w:rPr>
          <w:sz w:val="20"/>
          <w:szCs w:val="20"/>
          <w:color w:val="auto"/>
        </w:rPr>
      </w:pPr>
    </w:p>
    <w:p>
      <w:pPr>
        <w:sectPr>
          <w:pgSz w:w="11900" w:h="16838" w:orient="portrait"/>
          <w:cols w:equalWidth="0" w:num="2">
            <w:col w:w="5260" w:space="480"/>
            <w:col w:w="5640"/>
          </w:cols>
          <w:pgMar w:left="240" w:top="122" w:right="279" w:bottom="1440" w:gutter="0" w:footer="0" w:header="0"/>
          <w:type w:val="continuous"/>
        </w:sectPr>
      </w:pPr>
    </w:p>
    <w:p>
      <w:pPr>
        <w:spacing w:after="0"/>
        <w:rPr>
          <w:sz w:val="20"/>
          <w:szCs w:val="20"/>
          <w:color w:val="auto"/>
        </w:rPr>
      </w:pPr>
      <w:r>
        <w:rPr>
          <w:rFonts w:ascii="Arial" w:cs="Arial" w:eastAsia="Arial" w:hAnsi="Arial"/>
          <w:sz w:val="20"/>
          <w:szCs w:val="20"/>
          <w:color w:val="auto"/>
        </w:rPr>
        <w:t>As of January 31, 2008, the companies have a stable ratings outlook from all three credit rating agencies.</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FACTORS INFLUENCING FUTURE PERFORMANCE</w:t>
      </w:r>
    </w:p>
    <w:p>
      <w:pPr>
        <w:spacing w:after="0" w:line="249" w:lineRule="exact"/>
        <w:rPr>
          <w:sz w:val="20"/>
          <w:szCs w:val="20"/>
          <w:color w:val="auto"/>
        </w:rPr>
      </w:pPr>
    </w:p>
    <w:p>
      <w:pPr>
        <w:spacing w:after="0" w:line="256" w:lineRule="auto"/>
        <w:rPr>
          <w:sz w:val="20"/>
          <w:szCs w:val="20"/>
          <w:color w:val="auto"/>
        </w:rPr>
      </w:pPr>
      <w:r>
        <w:rPr>
          <w:rFonts w:ascii="Arial" w:cs="Arial" w:eastAsia="Arial" w:hAnsi="Arial"/>
          <w:sz w:val="19"/>
          <w:szCs w:val="19"/>
          <w:color w:val="auto"/>
        </w:rPr>
        <w:t>The Sempra Utilities' operations and Sempra Generation's long-term contracts generally provide relatively stable earnings and liquidity. However, for the next few years SDG&amp;E is planning to reinvest its earnings in significant capital projects and is not expected to pay common dividends to Sempra Energy during that time. Also, Sempra Generation’s contract with the DWR, which provides a significant portion of Sempra Generation’s revenues, ends in late 2011. Due to the inability to forecast with certainty future electricity prices and the cost of natural gas, contracts entered into to replace this capacity may provide substantially lower revenue. Sempra LNG and Sempra Pipelines &amp; Storage are expected to provide relatively stable earnings and liquidity upon the completion of their construction programs, but to require substantial funding during the construction period. Also, until firm supply or capacity contracts are in place and effecti ve for Sempra LNG’s Cameron and Energía Costa Azul LNG regasification facilities, Sempra LNG will seek to obtain interim LNG supplies, which may result in greater variability in revenues and earnings.</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0"/>
          <w:szCs w:val="20"/>
          <w:color w:val="auto"/>
        </w:rPr>
        <w:t>24</w:t>
      </w:r>
    </w:p>
    <w:p>
      <w:pPr>
        <w:sectPr>
          <w:pgSz w:w="11900" w:h="16838" w:orient="portrait"/>
          <w:cols w:equalWidth="0" w:num="1">
            <w:col w:w="11380"/>
          </w:cols>
          <w:pgMar w:left="240" w:top="122" w:right="279" w:bottom="1440" w:gutter="0" w:footer="0" w:header="0"/>
          <w:type w:val="continuous"/>
        </w:sectPr>
      </w:pPr>
    </w:p>
    <w:bookmarkStart w:id="92" w:name="page93"/>
    <w:bookmarkEnd w:id="92"/>
    <w:p>
      <w:pPr>
        <w:spacing w:after="0" w:line="260" w:lineRule="auto"/>
        <w:rPr>
          <w:sz w:val="20"/>
          <w:szCs w:val="20"/>
          <w:color w:val="auto"/>
        </w:rPr>
      </w:pPr>
      <w:r>
        <w:rPr>
          <w:rFonts w:ascii="Arial" w:cs="Arial" w:eastAsia="Arial" w:hAnsi="Arial"/>
          <w:sz w:val="19"/>
          <w:szCs w:val="19"/>
          <w:color w:val="auto"/>
        </w:rPr>
        <w:t>Sempra Commodities experiences significant volatility in earnings and liquidity requirements. In July 2007, the company and RBS entered into an agreement to form a partnership, RBS Sempra Commodities, to purchase and operate the company's commodity-marketing businesses, which generally comprise the company’s Sempra Commodities segment. This transaction will eliminate the company’s requirements for trading guarantees and credit support for this business. The company expects somewhat lower earnings from the commodities business in the near term due to its reduced ownership after the formation of the partnership.</w:t>
      </w:r>
    </w:p>
    <w:p>
      <w:pPr>
        <w:spacing w:after="0" w:line="208" w:lineRule="exact"/>
        <w:rPr>
          <w:sz w:val="20"/>
          <w:szCs w:val="20"/>
          <w:color w:val="auto"/>
        </w:rPr>
      </w:pPr>
    </w:p>
    <w:p>
      <w:pPr>
        <w:spacing w:after="0" w:line="260" w:lineRule="auto"/>
        <w:rPr>
          <w:sz w:val="20"/>
          <w:szCs w:val="20"/>
          <w:color w:val="auto"/>
        </w:rPr>
      </w:pPr>
      <w:r>
        <w:rPr>
          <w:rFonts w:ascii="Arial" w:cs="Arial" w:eastAsia="Arial" w:hAnsi="Arial"/>
          <w:sz w:val="19"/>
          <w:szCs w:val="19"/>
          <w:color w:val="auto"/>
        </w:rPr>
        <w:t>RBS Sempra Commodities has been formed as a United Kingdom limited liability partnership. Due to increased regulatory capital requirements for the partnership, Sempra Energy's expected equity investment in the partnership has increased from $1.3 billion - $1.5 billion to $1.6 billion - $1.7 billion. The partnership concurrently will purchase Sempra Energy’s commodity-marketing subsidiaries at a price (after deducting certain expenses to be paid by Sempra Energy in terminating pre-existing contractual arrangements) equal to their book value computed on the basis of International Financial Reporting Standards (IFRS) as adopted by the European Union.</w:t>
      </w:r>
    </w:p>
    <w:p>
      <w:pPr>
        <w:spacing w:after="0" w:line="208"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RBS will provide any additional funding required for the ongoing operating expenses of the partnership’s businesses. RBS will also provide all growth capital, credit and liquidity for the partnership, replacing the trading guarantees and credit support currently maintained for these businesses by the company. RBS will terminate or replace Sempra Energy’s credit support arrangements for the commodity-marketing businesses acquired by RBS Sempra Commodities that are reasonably capable of being terminated or replaced. To the extent that Sempra Energy’s credit support arrangements have not been terminated or replaced, RBS will indemnify Sempra Energy for any claims or losses arising in connection with those arrangements.</w:t>
      </w:r>
    </w:p>
    <w:p>
      <w:pPr>
        <w:spacing w:after="0" w:line="224" w:lineRule="exact"/>
        <w:rPr>
          <w:sz w:val="20"/>
          <w:szCs w:val="20"/>
          <w:color w:val="auto"/>
        </w:rPr>
      </w:pPr>
    </w:p>
    <w:p>
      <w:pPr>
        <w:ind w:right="520"/>
        <w:spacing w:after="0" w:line="250" w:lineRule="auto"/>
        <w:rPr>
          <w:sz w:val="20"/>
          <w:szCs w:val="20"/>
          <w:color w:val="auto"/>
        </w:rPr>
      </w:pPr>
      <w:r>
        <w:rPr>
          <w:rFonts w:ascii="Arial" w:cs="Arial" w:eastAsia="Arial" w:hAnsi="Arial"/>
          <w:sz w:val="20"/>
          <w:szCs w:val="20"/>
          <w:color w:val="auto"/>
        </w:rPr>
        <w:t>Sempra Energy and RBS intend that RBS Sempra Commodities will distribute all of its net income on an annual basis, although the distributions are within the discretion of the board of directors of the partnership. Subject to certain limited exceptions, partnership pretax income, calculated in accordance with IFRS, will be allocated as follows:</w:t>
      </w:r>
    </w:p>
    <w:p>
      <w:pPr>
        <w:spacing w:after="0" w:line="213" w:lineRule="exact"/>
        <w:rPr>
          <w:sz w:val="20"/>
          <w:szCs w:val="20"/>
          <w:color w:val="auto"/>
        </w:rPr>
      </w:pPr>
    </w:p>
    <w:p>
      <w:pPr>
        <w:ind w:left="1300" w:hanging="320"/>
        <w:spacing w:after="0"/>
        <w:tabs>
          <w:tab w:leader="none" w:pos="1300" w:val="left"/>
        </w:tabs>
        <w:numPr>
          <w:ilvl w:val="0"/>
          <w:numId w:val="32"/>
        </w:numPr>
        <w:rPr>
          <w:rFonts w:ascii="Arial" w:cs="Arial" w:eastAsia="Arial" w:hAnsi="Arial"/>
          <w:sz w:val="20"/>
          <w:szCs w:val="20"/>
          <w:color w:val="auto"/>
        </w:rPr>
      </w:pPr>
      <w:r>
        <w:rPr>
          <w:rFonts w:ascii="Arial" w:cs="Arial" w:eastAsia="Arial" w:hAnsi="Arial"/>
          <w:sz w:val="20"/>
          <w:szCs w:val="20"/>
          <w:color w:val="auto"/>
        </w:rPr>
        <w:t>Sempra Energy will receive a preferred 15-percent return on its adjusted equity capital;</w:t>
      </w:r>
    </w:p>
    <w:p>
      <w:pPr>
        <w:spacing w:after="0" w:line="2" w:lineRule="exact"/>
        <w:rPr>
          <w:rFonts w:ascii="Arial" w:cs="Arial" w:eastAsia="Arial" w:hAnsi="Arial"/>
          <w:sz w:val="20"/>
          <w:szCs w:val="20"/>
          <w:color w:val="auto"/>
        </w:rPr>
      </w:pPr>
    </w:p>
    <w:p>
      <w:pPr>
        <w:ind w:left="1300" w:right="60" w:hanging="320"/>
        <w:spacing w:after="0" w:line="266" w:lineRule="auto"/>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RBS will receive a preferred 15-percent return on any capital in excess of capital attributable to Sempra Energy that is required by the U.K. Financial Services Authority to be maintained by RBS in respect of the operations of the partnership;</w:t>
      </w:r>
    </w:p>
    <w:p>
      <w:pPr>
        <w:ind w:left="1300" w:right="640" w:hanging="320"/>
        <w:spacing w:after="0" w:line="239" w:lineRule="auto"/>
        <w:tabs>
          <w:tab w:leader="none" w:pos="1300" w:val="left"/>
        </w:tabs>
        <w:numPr>
          <w:ilvl w:val="0"/>
          <w:numId w:val="32"/>
        </w:numPr>
        <w:rPr>
          <w:rFonts w:ascii="Arial" w:cs="Arial" w:eastAsia="Arial" w:hAnsi="Arial"/>
          <w:sz w:val="20"/>
          <w:szCs w:val="20"/>
          <w:color w:val="auto"/>
        </w:rPr>
      </w:pPr>
      <w:r>
        <w:rPr>
          <w:rFonts w:ascii="Arial" w:cs="Arial" w:eastAsia="Arial" w:hAnsi="Arial"/>
          <w:sz w:val="20"/>
          <w:szCs w:val="20"/>
          <w:color w:val="auto"/>
        </w:rPr>
        <w:t>Sempra Energy will receive 70 percent of the next $500 million in pretax income, with RBS receiving the remaining 30 percent; and</w:t>
      </w:r>
    </w:p>
    <w:p>
      <w:pPr>
        <w:spacing w:after="0" w:line="1" w:lineRule="exact"/>
        <w:rPr>
          <w:rFonts w:ascii="Arial" w:cs="Arial" w:eastAsia="Arial" w:hAnsi="Arial"/>
          <w:sz w:val="20"/>
          <w:szCs w:val="20"/>
          <w:color w:val="auto"/>
        </w:rPr>
      </w:pPr>
    </w:p>
    <w:p>
      <w:pPr>
        <w:ind w:left="1300" w:hanging="320"/>
        <w:spacing w:after="0"/>
        <w:tabs>
          <w:tab w:leader="none" w:pos="1300" w:val="left"/>
        </w:tabs>
        <w:numPr>
          <w:ilvl w:val="0"/>
          <w:numId w:val="32"/>
        </w:numPr>
        <w:rPr>
          <w:rFonts w:ascii="Arial" w:cs="Arial" w:eastAsia="Arial" w:hAnsi="Arial"/>
          <w:sz w:val="20"/>
          <w:szCs w:val="20"/>
          <w:color w:val="auto"/>
        </w:rPr>
      </w:pPr>
      <w:r>
        <w:rPr>
          <w:rFonts w:ascii="Arial" w:cs="Arial" w:eastAsia="Arial" w:hAnsi="Arial"/>
          <w:sz w:val="20"/>
          <w:szCs w:val="20"/>
          <w:color w:val="auto"/>
        </w:rPr>
        <w:t>Sempra Energy will receive 30 percent, and RBS 70 percent, of any remaining pretax income.</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Any losses of the partnership would be shared equally between Sempra Energy and RBS.</w:t>
      </w:r>
    </w:p>
    <w:p>
      <w:pPr>
        <w:spacing w:after="0" w:line="243" w:lineRule="exact"/>
        <w:rPr>
          <w:sz w:val="20"/>
          <w:szCs w:val="20"/>
          <w:color w:val="auto"/>
        </w:rPr>
      </w:pPr>
    </w:p>
    <w:p>
      <w:pPr>
        <w:ind w:right="140"/>
        <w:spacing w:after="0" w:line="250" w:lineRule="auto"/>
        <w:rPr>
          <w:sz w:val="20"/>
          <w:szCs w:val="20"/>
          <w:color w:val="auto"/>
        </w:rPr>
      </w:pPr>
      <w:r>
        <w:rPr>
          <w:rFonts w:ascii="Arial" w:cs="Arial" w:eastAsia="Arial" w:hAnsi="Arial"/>
          <w:sz w:val="20"/>
          <w:szCs w:val="20"/>
          <w:color w:val="auto"/>
        </w:rPr>
        <w:t>After closing the transaction, the company will account for its investment in the partnership under the equity method, and the company's share of partnership earnings will be reported in the Sempra Commodities segment. In limited cases, earnings allocable to the partnership may be retained by the partnership to replenish capital depleted through losses.</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Litigation</w:t>
      </w:r>
    </w:p>
    <w:p>
      <w:pPr>
        <w:spacing w:after="0" w:line="249" w:lineRule="exact"/>
        <w:rPr>
          <w:sz w:val="20"/>
          <w:szCs w:val="20"/>
          <w:color w:val="auto"/>
        </w:rPr>
      </w:pPr>
    </w:p>
    <w:p>
      <w:pPr>
        <w:ind w:right="180"/>
        <w:spacing w:after="0" w:line="260" w:lineRule="auto"/>
        <w:rPr>
          <w:sz w:val="20"/>
          <w:szCs w:val="20"/>
          <w:color w:val="auto"/>
        </w:rPr>
      </w:pPr>
      <w:r>
        <w:rPr>
          <w:rFonts w:ascii="Arial" w:cs="Arial" w:eastAsia="Arial" w:hAnsi="Arial"/>
          <w:sz w:val="20"/>
          <w:szCs w:val="20"/>
          <w:color w:val="auto"/>
        </w:rPr>
        <w:t>Note 16 of the Notes to Consolidated Financial Statements describes litigation, the ultimate resolution of which could have a material adverse effect on future performance.</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color w:val="auto"/>
        </w:rPr>
        <w:t>25</w:t>
      </w:r>
    </w:p>
    <w:p>
      <w:pPr>
        <w:sectPr>
          <w:pgSz w:w="11900" w:h="16838" w:orient="portrait"/>
          <w:cols w:equalWidth="0" w:num="1">
            <w:col w:w="11420"/>
          </w:cols>
          <w:pgMar w:left="240" w:top="366" w:right="239" w:bottom="1440" w:gutter="0" w:footer="0" w:header="0"/>
        </w:sectPr>
      </w:pPr>
    </w:p>
    <w:bookmarkStart w:id="93" w:name="page94"/>
    <w:bookmarkEnd w:id="93"/>
    <w:p>
      <w:pPr>
        <w:spacing w:after="0"/>
        <w:rPr>
          <w:sz w:val="20"/>
          <w:szCs w:val="20"/>
          <w:color w:val="auto"/>
        </w:rPr>
      </w:pPr>
      <w:r>
        <w:rPr>
          <w:rFonts w:ascii="Arial" w:cs="Arial" w:eastAsia="Arial" w:hAnsi="Arial"/>
          <w:sz w:val="20"/>
          <w:szCs w:val="20"/>
          <w:b w:val="1"/>
          <w:bCs w:val="1"/>
          <w:color w:val="auto"/>
        </w:rPr>
        <w:t>Sempra Utilities</w:t>
      </w:r>
    </w:p>
    <w:p>
      <w:pPr>
        <w:spacing w:after="0" w:line="249" w:lineRule="exact"/>
        <w:rPr>
          <w:sz w:val="20"/>
          <w:szCs w:val="20"/>
          <w:color w:val="auto"/>
        </w:rPr>
      </w:pPr>
    </w:p>
    <w:p>
      <w:pPr>
        <w:ind w:right="360"/>
        <w:spacing w:after="0" w:line="260" w:lineRule="auto"/>
        <w:rPr>
          <w:sz w:val="20"/>
          <w:szCs w:val="20"/>
          <w:color w:val="auto"/>
        </w:rPr>
      </w:pPr>
      <w:r>
        <w:rPr>
          <w:rFonts w:ascii="Arial" w:cs="Arial" w:eastAsia="Arial" w:hAnsi="Arial"/>
          <w:sz w:val="20"/>
          <w:szCs w:val="20"/>
          <w:color w:val="auto"/>
        </w:rPr>
        <w:t>Notes 14 and 15 of the Notes to Consolidated Financial Statements describe electric and natural gas regulation and rates, and other pending proceedings and investigations.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Sempra Global</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Investments</w:t>
      </w:r>
    </w:p>
    <w:p>
      <w:pPr>
        <w:spacing w:after="0" w:line="243" w:lineRule="exact"/>
        <w:rPr>
          <w:sz w:val="20"/>
          <w:szCs w:val="20"/>
          <w:color w:val="auto"/>
        </w:rPr>
      </w:pPr>
    </w:p>
    <w:p>
      <w:pPr>
        <w:ind w:right="300"/>
        <w:spacing w:after="0" w:line="316" w:lineRule="auto"/>
        <w:rPr>
          <w:sz w:val="20"/>
          <w:szCs w:val="20"/>
          <w:color w:val="auto"/>
        </w:rPr>
      </w:pPr>
      <w:r>
        <w:rPr>
          <w:rFonts w:ascii="Arial" w:cs="Arial" w:eastAsia="Arial" w:hAnsi="Arial"/>
          <w:sz w:val="18"/>
          <w:szCs w:val="18"/>
          <w:color w:val="auto"/>
        </w:rPr>
        <w:t>As discussed in "Cash Flows From Investing Activities," the company's investments will significantly impact the company's future performance. In addition to the discussion below, information regarding these investments is provided in "Capital Resources and Liquidity."</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Pipelines &amp; Storage</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Rockies Express Pipeline</w:t>
      </w:r>
    </w:p>
    <w:p>
      <w:pPr>
        <w:spacing w:after="0" w:line="243" w:lineRule="exact"/>
        <w:rPr>
          <w:sz w:val="20"/>
          <w:szCs w:val="20"/>
          <w:color w:val="auto"/>
        </w:rPr>
      </w:pPr>
    </w:p>
    <w:p>
      <w:pPr>
        <w:ind w:right="20"/>
        <w:spacing w:after="0" w:line="260" w:lineRule="auto"/>
        <w:rPr>
          <w:sz w:val="20"/>
          <w:szCs w:val="20"/>
          <w:color w:val="auto"/>
        </w:rPr>
      </w:pPr>
      <w:r>
        <w:rPr>
          <w:rFonts w:ascii="Arial" w:cs="Arial" w:eastAsia="Arial" w:hAnsi="Arial"/>
          <w:sz w:val="19"/>
          <w:szCs w:val="19"/>
          <w:color w:val="auto"/>
        </w:rPr>
        <w:t>The Rockies Express project is comprised of three segments: the Entrega Pipeline, REX-West and REX-East. The Entrega Pipeline, which runs from the Meeker Hub in Colorado to Wamsutter, Wyoming, and connects Wamsutter to an interconnection with REX at the Cheyenne Hub in Colorado, was placed into service in February 2007. REX-West extends 713 miles from the Cheyenne Hub to Audrain County in Missouri, and began interim service in January 2008 with full service expected in March 2008. REX-East, which will run 638 miles from Missouri to Clarington, Ohio, is expected to begin interim service in December 2008 and full service in June 2009.</w:t>
      </w:r>
    </w:p>
    <w:p>
      <w:pPr>
        <w:spacing w:after="0" w:line="208"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In February 2006, Rockies Express entered into an agreement with Overthrust Pipeline Company (Overthrust), a subsidiary of Questar Corp., for a long-term lease to provide REX with capacity for up to 1.5 Bcf per day on Overthrust's pipeline. The capacity lease effectively extends the REX to the Opal Hub in Wyoming.</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Liberty Gas Storage</w:t>
      </w:r>
    </w:p>
    <w:p>
      <w:pPr>
        <w:spacing w:after="0" w:line="243" w:lineRule="exact"/>
        <w:rPr>
          <w:sz w:val="20"/>
          <w:szCs w:val="20"/>
          <w:color w:val="auto"/>
        </w:rPr>
      </w:pPr>
    </w:p>
    <w:p>
      <w:pPr>
        <w:jc w:val="both"/>
        <w:ind w:right="480"/>
        <w:spacing w:after="0" w:line="250" w:lineRule="auto"/>
        <w:rPr>
          <w:sz w:val="20"/>
          <w:szCs w:val="20"/>
          <w:color w:val="auto"/>
        </w:rPr>
      </w:pPr>
      <w:r>
        <w:rPr>
          <w:rFonts w:ascii="Arial" w:cs="Arial" w:eastAsia="Arial" w:hAnsi="Arial"/>
          <w:sz w:val="20"/>
          <w:szCs w:val="20"/>
          <w:color w:val="auto"/>
        </w:rPr>
        <w:t>Liberty, as currently permitted, is a 17 Bcf salt-cavern natural gas storage facility located in Calcasieu Parish, Louisiana. The pipeline and compressor systems are currently in operation and can provide transportation services. Liberty is expected to be able to provide 12 Bcf of storage beginning in the second quarter of 2008.</w:t>
      </w:r>
    </w:p>
    <w:p>
      <w:pPr>
        <w:spacing w:after="0" w:line="213" w:lineRule="exact"/>
        <w:rPr>
          <w:sz w:val="20"/>
          <w:szCs w:val="20"/>
          <w:color w:val="auto"/>
        </w:rPr>
      </w:pPr>
    </w:p>
    <w:p>
      <w:pPr>
        <w:jc w:val="both"/>
        <w:ind w:right="280"/>
        <w:spacing w:after="0" w:line="269" w:lineRule="auto"/>
        <w:rPr>
          <w:sz w:val="20"/>
          <w:szCs w:val="20"/>
          <w:color w:val="auto"/>
        </w:rPr>
      </w:pPr>
      <w:r>
        <w:rPr>
          <w:rFonts w:ascii="Arial" w:cs="Arial" w:eastAsia="Arial" w:hAnsi="Arial"/>
          <w:sz w:val="19"/>
          <w:szCs w:val="19"/>
          <w:color w:val="auto"/>
        </w:rPr>
        <w:t>In 2006, the company acquired additional property with 11 Bcf of existing salt dome caverns and the capability to add significant additional capacity by mining new caverns. The newly purchased caverns would allow Liberty to be expanded to at least 28 Bcf of total capacity. Total project costs for Liberty and its expansion are expected to be approximately $450 million to $500 million.</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Luz del Sur</w:t>
      </w:r>
    </w:p>
    <w:p>
      <w:pPr>
        <w:spacing w:after="0" w:line="243" w:lineRule="exact"/>
        <w:rPr>
          <w:sz w:val="20"/>
          <w:szCs w:val="20"/>
          <w:color w:val="auto"/>
        </w:rPr>
      </w:pPr>
    </w:p>
    <w:p>
      <w:pPr>
        <w:ind w:right="40"/>
        <w:spacing w:after="0" w:line="263" w:lineRule="auto"/>
        <w:rPr>
          <w:sz w:val="20"/>
          <w:szCs w:val="20"/>
          <w:color w:val="auto"/>
        </w:rPr>
      </w:pPr>
      <w:r>
        <w:rPr>
          <w:rFonts w:ascii="Arial" w:cs="Arial" w:eastAsia="Arial" w:hAnsi="Arial"/>
          <w:sz w:val="19"/>
          <w:szCs w:val="19"/>
          <w:color w:val="auto"/>
        </w:rPr>
        <w:t>Sempra Pipelines &amp; Storage owns a 38-percent interest in Luz del Sur, a Peruvian electric utility, as discussed in Note 4 of the Notes to Consolidated Financial Statements. In December 2007, AEI purchased a 38-percent interest in Luz del Sur from Sempra Pipelines &amp; Storage’s previous partner, PSEG Global. As part of its acquisition from PSEG Global, AEI is required to launch a tender offer to the minority shareholders to purchase their shares at a price as determined by an independent appraiser.</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color w:val="auto"/>
        </w:rPr>
        <w:t>26</w:t>
      </w:r>
    </w:p>
    <w:p>
      <w:pPr>
        <w:sectPr>
          <w:pgSz w:w="11900" w:h="16838" w:orient="portrait"/>
          <w:cols w:equalWidth="0" w:num="1">
            <w:col w:w="11400"/>
          </w:cols>
          <w:pgMar w:left="240" w:top="360" w:right="259" w:bottom="1440" w:gutter="0" w:footer="0" w:header="0"/>
        </w:sectPr>
      </w:pPr>
    </w:p>
    <w:bookmarkStart w:id="94" w:name="page95"/>
    <w:bookmarkEnd w:id="94"/>
    <w:p>
      <w:pPr>
        <w:spacing w:after="0"/>
        <w:rPr>
          <w:sz w:val="20"/>
          <w:szCs w:val="20"/>
          <w:color w:val="auto"/>
        </w:rPr>
      </w:pPr>
      <w:r>
        <w:rPr>
          <w:rFonts w:ascii="Arial" w:cs="Arial" w:eastAsia="Arial" w:hAnsi="Arial"/>
          <w:sz w:val="20"/>
          <w:szCs w:val="20"/>
          <w:color w:val="auto"/>
        </w:rPr>
        <w:t>The company expects to make an additional investment in Luz del Sur to maintain ownership of Luz del Sur equal to that of AEI.</w:t>
      </w:r>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LNG</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Energía Costa Azul LNG Receipt Terminal</w:t>
      </w:r>
    </w:p>
    <w:p>
      <w:pPr>
        <w:spacing w:after="0" w:line="243" w:lineRule="exact"/>
        <w:rPr>
          <w:sz w:val="20"/>
          <w:szCs w:val="20"/>
          <w:color w:val="auto"/>
        </w:rPr>
      </w:pPr>
    </w:p>
    <w:p>
      <w:pPr>
        <w:ind w:right="200"/>
        <w:spacing w:after="0" w:line="260" w:lineRule="auto"/>
        <w:rPr>
          <w:sz w:val="20"/>
          <w:szCs w:val="20"/>
          <w:color w:val="auto"/>
        </w:rPr>
      </w:pPr>
      <w:r>
        <w:rPr>
          <w:rFonts w:ascii="Arial" w:cs="Arial" w:eastAsia="Arial" w:hAnsi="Arial"/>
          <w:sz w:val="20"/>
          <w:szCs w:val="20"/>
          <w:color w:val="auto"/>
        </w:rPr>
        <w:t>Sempra LNG’s Energía Costa Azul LNG receipt terminal, with a capacity of 1 Bcf per day, is currently under construction in Baja California, Mexico, and is expected to begin operations in the second quarter of 2008.</w:t>
      </w:r>
    </w:p>
    <w:p>
      <w:pPr>
        <w:spacing w:after="0" w:line="204" w:lineRule="exact"/>
        <w:rPr>
          <w:sz w:val="20"/>
          <w:szCs w:val="20"/>
          <w:color w:val="auto"/>
        </w:rPr>
      </w:pPr>
    </w:p>
    <w:p>
      <w:pPr>
        <w:ind w:right="60"/>
        <w:spacing w:after="0" w:line="246" w:lineRule="auto"/>
        <w:rPr>
          <w:sz w:val="20"/>
          <w:szCs w:val="20"/>
          <w:color w:val="auto"/>
        </w:rPr>
      </w:pPr>
      <w:r>
        <w:rPr>
          <w:rFonts w:ascii="Arial" w:cs="Arial" w:eastAsia="Arial" w:hAnsi="Arial"/>
          <w:sz w:val="20"/>
          <w:szCs w:val="20"/>
          <w:color w:val="auto"/>
        </w:rPr>
        <w:t>Upon commencement of operations, the facility will generate revenue under an agreement with Shell México Gas Natural, utilizing one-half of the terminal’s capacity. It is expected that LNG supplies will begin arriving in 2009 under a 20-year purchase and sale agreement with Tangguh PSC (discussed in "Commitments" above) that will fully utilize the remaining capacity. The company is negotiating for temporary supplies of LNG to utilize the available capacity until the Tangguh PSC supplies arrive.</w:t>
      </w:r>
    </w:p>
    <w:p>
      <w:pPr>
        <w:spacing w:after="0" w:line="219"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In January 2005, Sempra LNG was awarded a 15-year natural gas supply contract by Mexico’s government-owned electric utility, the CFE. The contract revenue is estimated at $1.4 billion over its life and supports the CFE’s future energy needs in northern Baja California, including the Presidente Juarez power plant in Rosarito. The supply is expected to come from natural gas processed at the Energía Costa Azul terminal. Starting in 2008 and running through 2022, the agreement provides the CFE with an average of about 130 million cubic feet per day of natural gas.</w:t>
      </w:r>
    </w:p>
    <w:p>
      <w:pPr>
        <w:spacing w:after="0" w:line="222" w:lineRule="exact"/>
        <w:rPr>
          <w:sz w:val="20"/>
          <w:szCs w:val="20"/>
          <w:color w:val="auto"/>
        </w:rPr>
      </w:pPr>
    </w:p>
    <w:p>
      <w:pPr>
        <w:ind w:right="440"/>
        <w:spacing w:after="0" w:line="316" w:lineRule="auto"/>
        <w:rPr>
          <w:sz w:val="20"/>
          <w:szCs w:val="20"/>
          <w:color w:val="auto"/>
        </w:rPr>
      </w:pPr>
      <w:r>
        <w:rPr>
          <w:rFonts w:ascii="Arial" w:cs="Arial" w:eastAsia="Arial" w:hAnsi="Arial"/>
          <w:sz w:val="18"/>
          <w:szCs w:val="18"/>
          <w:color w:val="auto"/>
        </w:rPr>
        <w:t>Approvals from key governmental agencies have been received to expand the terminal capacity to 2.5 Bcf per day. The ultimate scope and timing of a proposed expansion project will depend on the outcome of negotiations for supply and/or terminal service agreements.</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Cameron LNG Receipt Terminal</w:t>
      </w:r>
    </w:p>
    <w:p>
      <w:pPr>
        <w:spacing w:after="0" w:line="243" w:lineRule="exact"/>
        <w:rPr>
          <w:sz w:val="20"/>
          <w:szCs w:val="20"/>
          <w:color w:val="auto"/>
        </w:rPr>
      </w:pPr>
    </w:p>
    <w:p>
      <w:pPr>
        <w:ind w:right="60"/>
        <w:spacing w:after="0" w:line="263" w:lineRule="auto"/>
        <w:rPr>
          <w:sz w:val="20"/>
          <w:szCs w:val="20"/>
          <w:color w:val="auto"/>
        </w:rPr>
      </w:pPr>
      <w:r>
        <w:rPr>
          <w:rFonts w:ascii="Arial" w:cs="Arial" w:eastAsia="Arial" w:hAnsi="Arial"/>
          <w:sz w:val="19"/>
          <w:szCs w:val="19"/>
          <w:color w:val="auto"/>
        </w:rPr>
        <w:t>Sempra LNG’s Cameron LNG receipt terminal is currently under construction in Hackberry, Louisiana. Construction is expected to be completed in late 2008 with capacity revenues starting in early 2009. In January 2007, Sempra LNG received approval from the FERC for a possible expansion of the terminal’s production capacity to 2.65 Bcf per day of natural gas from 1.5 Bcf per day. The ultimate scope and timing of the expansion project will depend on the outcome of negotiations for supply and/or terminal service agreements.</w:t>
      </w:r>
    </w:p>
    <w:p>
      <w:pPr>
        <w:spacing w:after="0" w:line="204" w:lineRule="exact"/>
        <w:rPr>
          <w:sz w:val="20"/>
          <w:szCs w:val="20"/>
          <w:color w:val="auto"/>
        </w:rPr>
      </w:pPr>
    </w:p>
    <w:p>
      <w:pPr>
        <w:ind w:right="420"/>
        <w:spacing w:after="0" w:line="250" w:lineRule="auto"/>
        <w:rPr>
          <w:sz w:val="20"/>
          <w:szCs w:val="20"/>
          <w:color w:val="auto"/>
        </w:rPr>
      </w:pPr>
      <w:r>
        <w:rPr>
          <w:rFonts w:ascii="Arial" w:cs="Arial" w:eastAsia="Arial" w:hAnsi="Arial"/>
          <w:sz w:val="20"/>
          <w:szCs w:val="20"/>
          <w:color w:val="auto"/>
        </w:rPr>
        <w:t>In August 2005, Sempra LNG executed a terminal services agreement with ENI USA Gas Marketing LLC (ENI). The 20-year, full-service capacity agreement utilizes over 40 percent of the Cameron terminal and will generate revenue within 90 days upon commencement of operation.</w:t>
      </w:r>
    </w:p>
    <w:p>
      <w:pPr>
        <w:spacing w:after="0" w:line="213" w:lineRule="exact"/>
        <w:rPr>
          <w:sz w:val="20"/>
          <w:szCs w:val="20"/>
          <w:color w:val="auto"/>
        </w:rPr>
      </w:pPr>
    </w:p>
    <w:p>
      <w:pPr>
        <w:ind w:right="200"/>
        <w:spacing w:after="0" w:line="259" w:lineRule="auto"/>
        <w:rPr>
          <w:sz w:val="20"/>
          <w:szCs w:val="20"/>
          <w:color w:val="auto"/>
        </w:rPr>
      </w:pPr>
      <w:r>
        <w:rPr>
          <w:rFonts w:ascii="Arial" w:cs="Arial" w:eastAsia="Arial" w:hAnsi="Arial"/>
          <w:sz w:val="19"/>
          <w:szCs w:val="19"/>
          <w:color w:val="auto"/>
        </w:rPr>
        <w:t>In March 2006, Sempra LNG executed a terminal services agreement with Merrill Lynch Commodities Inc. (MLC) to bring natural gas to the U.S. Gulf Coast, conditioned on MLC’s obtaining a contract for the supply of LNG. The 20-year, full-service capacity agreement provides MLC the capability to process 500,000 MMBtu per day through the Cameron LNG receipt terminal. MLC may terminate the agreement at various dates upon payment of an increasing early termination fee which, while significant, would not be material to the company. Sempra LNG and MLC have amended various provisions since the original agreement was executed, including a recent extension of an interim early-termination date to March 31, 2008. The final date for early termination is June 30, 2008.</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0"/>
          <w:szCs w:val="20"/>
          <w:color w:val="auto"/>
        </w:rPr>
        <w:t>27</w:t>
      </w:r>
    </w:p>
    <w:p>
      <w:pPr>
        <w:sectPr>
          <w:pgSz w:w="11900" w:h="16838" w:orient="portrait"/>
          <w:cols w:equalWidth="0" w:num="1">
            <w:col w:w="11420"/>
          </w:cols>
          <w:pgMar w:left="240" w:top="122" w:right="239" w:bottom="1440" w:gutter="0" w:footer="0" w:header="0"/>
        </w:sectPr>
      </w:pPr>
    </w:p>
    <w:bookmarkStart w:id="95" w:name="page96"/>
    <w:bookmarkEnd w:id="95"/>
    <w:p>
      <w:pPr>
        <w:spacing w:after="0"/>
        <w:rPr>
          <w:sz w:val="20"/>
          <w:szCs w:val="20"/>
          <w:color w:val="auto"/>
        </w:rPr>
      </w:pPr>
      <w:r>
        <w:rPr>
          <w:rFonts w:ascii="Arial" w:cs="Arial" w:eastAsia="Arial" w:hAnsi="Arial"/>
          <w:sz w:val="20"/>
          <w:szCs w:val="20"/>
          <w:i w:val="1"/>
          <w:iCs w:val="1"/>
          <w:color w:val="auto"/>
        </w:rPr>
        <w:t>Port Arthur LNG Receipt Terminal</w:t>
      </w:r>
    </w:p>
    <w:p>
      <w:pPr>
        <w:spacing w:after="0" w:line="244" w:lineRule="exact"/>
        <w:rPr>
          <w:sz w:val="20"/>
          <w:szCs w:val="20"/>
          <w:color w:val="auto"/>
        </w:rPr>
      </w:pPr>
    </w:p>
    <w:p>
      <w:pPr>
        <w:jc w:val="both"/>
        <w:ind w:right="640"/>
        <w:spacing w:after="0" w:line="250" w:lineRule="auto"/>
        <w:rPr>
          <w:sz w:val="20"/>
          <w:szCs w:val="20"/>
          <w:color w:val="auto"/>
        </w:rPr>
      </w:pPr>
      <w:r>
        <w:rPr>
          <w:rFonts w:ascii="Arial" w:cs="Arial" w:eastAsia="Arial" w:hAnsi="Arial"/>
          <w:sz w:val="20"/>
          <w:szCs w:val="20"/>
          <w:color w:val="auto"/>
        </w:rPr>
        <w:t>In June 2006, Sempra LNG received approval from the FERC to construct the Port Arthur LNG receipt terminal in Texas, which would be capable of processing up to 3 Bcf per day of natural gas. Construction of this facility has been delayed indefinitely until the company has obtained sufficient supply and capacity contracts for the terminal.</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Generation</w:t>
      </w:r>
    </w:p>
    <w:p>
      <w:pPr>
        <w:spacing w:after="0" w:line="243" w:lineRule="exact"/>
        <w:rPr>
          <w:sz w:val="20"/>
          <w:szCs w:val="20"/>
          <w:color w:val="auto"/>
        </w:rPr>
      </w:pPr>
    </w:p>
    <w:p>
      <w:pPr>
        <w:ind w:right="760"/>
        <w:spacing w:after="0" w:line="250" w:lineRule="auto"/>
        <w:rPr>
          <w:sz w:val="20"/>
          <w:szCs w:val="20"/>
          <w:color w:val="auto"/>
        </w:rPr>
      </w:pPr>
      <w:r>
        <w:rPr>
          <w:rFonts w:ascii="Arial" w:cs="Arial" w:eastAsia="Arial" w:hAnsi="Arial"/>
          <w:sz w:val="20"/>
          <w:szCs w:val="20"/>
          <w:color w:val="auto"/>
        </w:rPr>
        <w:t>Sempra Generation is in the final development stages for construction of a proposed 600-MW natural gas-fired generation plant, Catoctin Power, in Adamstown, Maryland. The project has received the permits required for construction. Expenditures on this project have not been significant.</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w:t>
      </w:r>
    </w:p>
    <w:p>
      <w:pPr>
        <w:spacing w:after="0" w:line="249" w:lineRule="exact"/>
        <w:rPr>
          <w:sz w:val="20"/>
          <w:szCs w:val="20"/>
          <w:color w:val="auto"/>
        </w:rPr>
      </w:pPr>
    </w:p>
    <w:p>
      <w:pPr>
        <w:ind w:right="580"/>
        <w:spacing w:after="0" w:line="260" w:lineRule="auto"/>
        <w:rPr>
          <w:sz w:val="20"/>
          <w:szCs w:val="20"/>
          <w:color w:val="auto"/>
        </w:rPr>
      </w:pPr>
      <w:r>
        <w:rPr>
          <w:rFonts w:ascii="Arial" w:cs="Arial" w:eastAsia="Arial" w:hAnsi="Arial"/>
          <w:sz w:val="20"/>
          <w:szCs w:val="20"/>
          <w:color w:val="auto"/>
        </w:rPr>
        <w:t>As discussed in Note 8 of the Notes to Consolidated Financial Statements, income tax benefits from synthetic fuels credits were partially phased out in 2006. The partial phase-out extended into 2007, the last year of the program.</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Market Risk</w:t>
      </w:r>
    </w:p>
    <w:p>
      <w:pPr>
        <w:spacing w:after="0" w:line="249" w:lineRule="exact"/>
        <w:rPr>
          <w:sz w:val="20"/>
          <w:szCs w:val="20"/>
          <w:color w:val="auto"/>
        </w:rPr>
      </w:pPr>
    </w:p>
    <w:p>
      <w:pPr>
        <w:ind w:right="140"/>
        <w:spacing w:after="0" w:line="260" w:lineRule="auto"/>
        <w:rPr>
          <w:sz w:val="20"/>
          <w:szCs w:val="20"/>
          <w:color w:val="auto"/>
        </w:rPr>
      </w:pPr>
      <w:r>
        <w:rPr>
          <w:rFonts w:ascii="Arial" w:cs="Arial" w:eastAsia="Arial" w:hAnsi="Arial"/>
          <w:sz w:val="20"/>
          <w:szCs w:val="20"/>
          <w:color w:val="auto"/>
        </w:rPr>
        <w:t>Market risk is the risk of erosion of the company's cash flows, net income, asset values and equity due to adverse changes in prices for various commodities, and in interest and foreign-currency rates.</w:t>
      </w:r>
    </w:p>
    <w:p>
      <w:pPr>
        <w:spacing w:after="0" w:line="204" w:lineRule="exact"/>
        <w:rPr>
          <w:sz w:val="20"/>
          <w:szCs w:val="20"/>
          <w:color w:val="auto"/>
        </w:rPr>
      </w:pPr>
    </w:p>
    <w:p>
      <w:pPr>
        <w:spacing w:after="0" w:line="257" w:lineRule="auto"/>
        <w:rPr>
          <w:sz w:val="20"/>
          <w:szCs w:val="20"/>
          <w:color w:val="auto"/>
        </w:rPr>
      </w:pPr>
      <w:r>
        <w:rPr>
          <w:rFonts w:ascii="Arial" w:cs="Arial" w:eastAsia="Arial" w:hAnsi="Arial"/>
          <w:sz w:val="19"/>
          <w:szCs w:val="19"/>
          <w:color w:val="auto"/>
        </w:rPr>
        <w:t>The company has policies governing its market risk management and trading activities. As required by CPUC and FERC affiliate compliance rules, Sempra Energy and the Sempra Utilities maintain separate and independent risk management committees, organizations and processes for each of the Sempra Utilities and for all non-CPUC regulated affiliates to provide oversight of these activities. The committees, consisting of senior officers, establish policy for and oversee energy risk management activities and monitor the results of trading and other activities to ensure compliance with the company's stated energy risk management and trading policies. This includes monitoring daily, detailed information regarding market positions that create credit, liquidity and market risk. Independently from the company’s energy procurement departments, the respective oversight organizations and committees separately monitor energy price risk management and measure and report the credit, liquidity and market risk associated with these positions.</w:t>
      </w:r>
    </w:p>
    <w:p>
      <w:pPr>
        <w:spacing w:after="0" w:line="208" w:lineRule="exact"/>
        <w:rPr>
          <w:sz w:val="20"/>
          <w:szCs w:val="20"/>
          <w:color w:val="auto"/>
        </w:rPr>
      </w:pPr>
    </w:p>
    <w:p>
      <w:pPr>
        <w:ind w:right="40"/>
        <w:spacing w:after="0" w:line="278" w:lineRule="auto"/>
        <w:rPr>
          <w:sz w:val="20"/>
          <w:szCs w:val="20"/>
          <w:color w:val="auto"/>
        </w:rPr>
      </w:pPr>
      <w:r>
        <w:rPr>
          <w:rFonts w:ascii="Arial" w:cs="Arial" w:eastAsia="Arial" w:hAnsi="Arial"/>
          <w:sz w:val="18"/>
          <w:szCs w:val="18"/>
          <w:color w:val="auto"/>
        </w:rPr>
        <w:t>Along with other tools, the company uses Value at Risk (VaR) to measure daily its exposure to market risk. VaR is an estimate of the potential loss on a position or portfolio of positions over a specified holding period, based on normal market conditions and within a given statistical confidence interval. The company has adopted the variance/covariance methodology in its calculation of VaR, and uses both the 95-percent and 99-percent confidence intervals. VaR is calculated independently by the respective risk management oversight organizations. Historical and implied volatilities and correlations between instruments and positions are used in the calculation.</w:t>
      </w:r>
    </w:p>
    <w:p>
      <w:pPr>
        <w:spacing w:after="0" w:line="192" w:lineRule="exact"/>
        <w:rPr>
          <w:sz w:val="20"/>
          <w:szCs w:val="20"/>
          <w:color w:val="auto"/>
        </w:rPr>
      </w:pPr>
    </w:p>
    <w:p>
      <w:pPr>
        <w:ind w:right="120"/>
        <w:spacing w:after="0" w:line="244" w:lineRule="auto"/>
        <w:rPr>
          <w:sz w:val="20"/>
          <w:szCs w:val="20"/>
          <w:color w:val="auto"/>
        </w:rPr>
      </w:pPr>
      <w:r>
        <w:rPr>
          <w:rFonts w:ascii="Arial" w:cs="Arial" w:eastAsia="Arial" w:hAnsi="Arial"/>
          <w:sz w:val="20"/>
          <w:szCs w:val="20"/>
          <w:color w:val="auto"/>
        </w:rPr>
        <w:t>The Sempra Utilities use energy and natural gas derivatives to manage natural gas and energy price risk associated with servicing load requirements. The use of energy and natural gas derivatives is subject to certain limitations imposed by company policy and is in compliance with risk management and trading activity plans that have been filed and approved by the CPUC. Any costs or gains/losses associated with the use of energy and natural gas derivatives, which use is in compliance with CPUC approved plans, are considered to be commodity costs that are passed on to customers on a substantially concurrent basis.</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0"/>
          <w:szCs w:val="20"/>
          <w:color w:val="auto"/>
        </w:rPr>
        <w:t>28</w:t>
      </w:r>
    </w:p>
    <w:p>
      <w:pPr>
        <w:sectPr>
          <w:pgSz w:w="11900" w:h="16838" w:orient="portrait"/>
          <w:cols w:equalWidth="0" w:num="1">
            <w:col w:w="11420"/>
          </w:cols>
          <w:pgMar w:left="240" w:top="121" w:right="239" w:bottom="1440" w:gutter="0" w:footer="0" w:header="0"/>
        </w:sectPr>
      </w:pPr>
    </w:p>
    <w:bookmarkStart w:id="96" w:name="page97"/>
    <w:bookmarkEnd w:id="96"/>
    <w:p>
      <w:pPr>
        <w:ind w:right="20"/>
        <w:spacing w:after="0" w:line="260" w:lineRule="auto"/>
        <w:rPr>
          <w:sz w:val="20"/>
          <w:szCs w:val="20"/>
          <w:color w:val="auto"/>
        </w:rPr>
      </w:pPr>
      <w:r>
        <w:rPr>
          <w:rFonts w:ascii="Arial" w:cs="Arial" w:eastAsia="Arial" w:hAnsi="Arial"/>
          <w:sz w:val="20"/>
          <w:szCs w:val="20"/>
          <w:color w:val="auto"/>
        </w:rPr>
        <w:t>Following is a summary of Sempra Commodities' trading VaR profile (using a one-day holding period, at the two confidence levels) in millions of dollars:</w:t>
      </w:r>
    </w:p>
    <w:p>
      <w:pPr>
        <w:spacing w:after="0" w:line="247" w:lineRule="exact"/>
        <w:rPr>
          <w:sz w:val="20"/>
          <w:szCs w:val="20"/>
          <w:color w:val="auto"/>
        </w:rPr>
      </w:pPr>
    </w:p>
    <w:tbl>
      <w:tblPr>
        <w:tblLayout w:type="fixed"/>
        <w:tblInd w:w="1920" w:type="dxa"/>
        <w:tblCellMar>
          <w:top w:w="0" w:type="dxa"/>
          <w:left w:w="0" w:type="dxa"/>
          <w:bottom w:w="0" w:type="dxa"/>
          <w:right w:w="0" w:type="dxa"/>
        </w:tblCellMar>
      </w:tblPr>
      <w:tr>
        <w:trPr>
          <w:trHeight w:val="237"/>
        </w:trPr>
        <w:tc>
          <w:tcPr>
            <w:tcW w:w="24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95%</w:t>
            </w:r>
          </w:p>
        </w:tc>
        <w:tc>
          <w:tcPr>
            <w:tcW w:w="12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1160" w:type="dxa"/>
            <w:vAlign w:val="bottom"/>
            <w:tcBorders>
              <w:bottom w:val="single" w:sz="8" w:color="auto"/>
            </w:tcBorders>
          </w:tcPr>
          <w:p>
            <w:pPr>
              <w:spacing w:after="0"/>
              <w:rPr>
                <w:sz w:val="20"/>
                <w:szCs w:val="20"/>
                <w:color w:val="auto"/>
              </w:rPr>
            </w:pPr>
          </w:p>
        </w:tc>
      </w:tr>
      <w:tr>
        <w:trPr>
          <w:trHeight w:val="230"/>
        </w:trPr>
        <w:tc>
          <w:tcPr>
            <w:tcW w:w="2420" w:type="dxa"/>
            <w:vAlign w:val="bottom"/>
          </w:tcPr>
          <w:p>
            <w:pPr>
              <w:spacing w:after="0"/>
              <w:rPr>
                <w:sz w:val="20"/>
                <w:szCs w:val="20"/>
                <w:color w:val="auto"/>
              </w:rPr>
            </w:pPr>
            <w:r>
              <w:rPr>
                <w:rFonts w:ascii="Arial" w:cs="Arial" w:eastAsia="Arial" w:hAnsi="Arial"/>
                <w:sz w:val="18"/>
                <w:szCs w:val="18"/>
                <w:color w:val="auto"/>
              </w:rPr>
              <w:t>December 31, 2007</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6"/>
              </w:rPr>
              <w:t>10.3</w:t>
            </w:r>
          </w:p>
        </w:tc>
        <w:tc>
          <w:tcPr>
            <w:tcW w:w="12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14.5</w:t>
            </w:r>
          </w:p>
        </w:tc>
        <w:tc>
          <w:tcPr>
            <w:tcW w:w="1160" w:type="dxa"/>
            <w:vAlign w:val="bottom"/>
          </w:tcPr>
          <w:p>
            <w:pPr>
              <w:spacing w:after="0"/>
              <w:rPr>
                <w:sz w:val="20"/>
                <w:szCs w:val="20"/>
                <w:color w:val="auto"/>
              </w:rPr>
            </w:pPr>
          </w:p>
        </w:tc>
      </w:tr>
      <w:tr>
        <w:trPr>
          <w:trHeight w:val="242"/>
        </w:trPr>
        <w:tc>
          <w:tcPr>
            <w:tcW w:w="2420" w:type="dxa"/>
            <w:vAlign w:val="bottom"/>
          </w:tcPr>
          <w:p>
            <w:pPr>
              <w:spacing w:after="0"/>
              <w:rPr>
                <w:sz w:val="20"/>
                <w:szCs w:val="20"/>
                <w:color w:val="auto"/>
              </w:rPr>
            </w:pPr>
            <w:r>
              <w:rPr>
                <w:rFonts w:ascii="Arial" w:cs="Arial" w:eastAsia="Arial" w:hAnsi="Arial"/>
                <w:sz w:val="18"/>
                <w:szCs w:val="18"/>
                <w:color w:val="auto"/>
              </w:rPr>
              <w:t>2007 range</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6.1</w:t>
            </w:r>
          </w:p>
        </w:tc>
        <w:tc>
          <w:tcPr>
            <w:tcW w:w="1280" w:type="dxa"/>
            <w:vAlign w:val="bottom"/>
          </w:tcPr>
          <w:p>
            <w:pPr>
              <w:ind w:left="100"/>
              <w:spacing w:after="0"/>
              <w:rPr>
                <w:sz w:val="20"/>
                <w:szCs w:val="20"/>
                <w:color w:val="auto"/>
              </w:rPr>
            </w:pPr>
            <w:r>
              <w:rPr>
                <w:rFonts w:ascii="Arial" w:cs="Arial" w:eastAsia="Arial" w:hAnsi="Arial"/>
                <w:sz w:val="18"/>
                <w:szCs w:val="18"/>
                <w:color w:val="auto"/>
              </w:rPr>
              <w:t>to $ 32.1</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8.6</w:t>
            </w:r>
          </w:p>
        </w:tc>
        <w:tc>
          <w:tcPr>
            <w:tcW w:w="1160" w:type="dxa"/>
            <w:vAlign w:val="bottom"/>
          </w:tcPr>
          <w:p>
            <w:pPr>
              <w:ind w:left="80"/>
              <w:spacing w:after="0"/>
              <w:rPr>
                <w:sz w:val="20"/>
                <w:szCs w:val="20"/>
                <w:color w:val="auto"/>
              </w:rPr>
            </w:pPr>
            <w:r>
              <w:rPr>
                <w:rFonts w:ascii="Arial" w:cs="Arial" w:eastAsia="Arial" w:hAnsi="Arial"/>
                <w:sz w:val="18"/>
                <w:szCs w:val="18"/>
                <w:color w:val="auto"/>
              </w:rPr>
              <w:t>to $ 45.2</w:t>
            </w:r>
          </w:p>
        </w:tc>
      </w:tr>
      <w:tr>
        <w:trPr>
          <w:trHeight w:val="243"/>
        </w:trPr>
        <w:tc>
          <w:tcPr>
            <w:tcW w:w="2420" w:type="dxa"/>
            <w:vAlign w:val="bottom"/>
          </w:tcPr>
          <w:p>
            <w:pPr>
              <w:spacing w:after="0"/>
              <w:rPr>
                <w:sz w:val="20"/>
                <w:szCs w:val="20"/>
                <w:color w:val="auto"/>
              </w:rPr>
            </w:pPr>
            <w:r>
              <w:rPr>
                <w:rFonts w:ascii="Arial" w:cs="Arial" w:eastAsia="Arial" w:hAnsi="Arial"/>
                <w:sz w:val="18"/>
                <w:szCs w:val="18"/>
                <w:color w:val="auto"/>
              </w:rPr>
              <w:t>December 31, 2006</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6"/>
              </w:rPr>
              <w:t>13.4</w:t>
            </w:r>
          </w:p>
        </w:tc>
        <w:tc>
          <w:tcPr>
            <w:tcW w:w="12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18.8</w:t>
            </w:r>
          </w:p>
        </w:tc>
        <w:tc>
          <w:tcPr>
            <w:tcW w:w="1160" w:type="dxa"/>
            <w:vAlign w:val="bottom"/>
          </w:tcPr>
          <w:p>
            <w:pPr>
              <w:spacing w:after="0"/>
              <w:rPr>
                <w:sz w:val="21"/>
                <w:szCs w:val="21"/>
                <w:color w:val="auto"/>
              </w:rPr>
            </w:pPr>
          </w:p>
        </w:tc>
      </w:tr>
      <w:tr>
        <w:trPr>
          <w:trHeight w:val="277"/>
        </w:trPr>
        <w:tc>
          <w:tcPr>
            <w:tcW w:w="2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2006 range</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2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to $ 37.7</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1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to $ 53.1</w:t>
            </w:r>
          </w:p>
        </w:tc>
      </w:tr>
    </w:tbl>
    <w:p>
      <w:pPr>
        <w:spacing w:after="0" w:line="226" w:lineRule="exact"/>
        <w:rPr>
          <w:sz w:val="20"/>
          <w:szCs w:val="20"/>
          <w:color w:val="auto"/>
        </w:rPr>
      </w:pPr>
    </w:p>
    <w:p>
      <w:pPr>
        <w:ind w:right="880"/>
        <w:spacing w:after="0" w:line="316" w:lineRule="auto"/>
        <w:rPr>
          <w:sz w:val="20"/>
          <w:szCs w:val="20"/>
          <w:color w:val="auto"/>
        </w:rPr>
      </w:pPr>
      <w:r>
        <w:rPr>
          <w:rFonts w:ascii="Arial" w:cs="Arial" w:eastAsia="Arial" w:hAnsi="Arial"/>
          <w:sz w:val="18"/>
          <w:szCs w:val="18"/>
          <w:color w:val="auto"/>
        </w:rPr>
        <w:t>Revenue recognition is discussed in Notes 1 and 11 of the Notes to Consolidated Financial Statements and the additional market-risk information regarding derivative instruments is discussed in Note 11 of the Notes to Consolidated Financial Statements.</w:t>
      </w:r>
    </w:p>
    <w:p>
      <w:pPr>
        <w:spacing w:after="0" w:line="157" w:lineRule="exact"/>
        <w:rPr>
          <w:sz w:val="20"/>
          <w:szCs w:val="20"/>
          <w:color w:val="auto"/>
        </w:rPr>
      </w:pPr>
    </w:p>
    <w:p>
      <w:pPr>
        <w:ind w:right="700"/>
        <w:spacing w:after="0" w:line="260" w:lineRule="auto"/>
        <w:rPr>
          <w:sz w:val="20"/>
          <w:szCs w:val="20"/>
          <w:color w:val="auto"/>
        </w:rPr>
      </w:pPr>
      <w:r>
        <w:rPr>
          <w:rFonts w:ascii="Arial" w:cs="Arial" w:eastAsia="Arial" w:hAnsi="Arial"/>
          <w:sz w:val="20"/>
          <w:szCs w:val="20"/>
          <w:color w:val="auto"/>
        </w:rPr>
        <w:t>The following discussion of the company's primary market-risk exposures as of December 31, 2007 includes a discussion of how these exposures are managed.</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Commodity Price Risk</w:t>
      </w:r>
    </w:p>
    <w:p>
      <w:pPr>
        <w:spacing w:after="0" w:line="249"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Market risk related to physical commodities is created by volatility in the prices and basis of certain commodities. The company's market risk is impacted by changes in volatility and liquidity in the markets in which these commodities or related financial instruments are traded. The company's various subsidiaries are exposed, in varying degrees, to price risk, primarily in the petroleum, metals, natural gas and electricity markets. The company's policy is to manage this risk within a framework that considers the unique markets and operating and regulatory environments of each subsidiary.</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Commodities</w:t>
      </w:r>
    </w:p>
    <w:p>
      <w:pPr>
        <w:spacing w:after="0" w:line="243" w:lineRule="exact"/>
        <w:rPr>
          <w:sz w:val="20"/>
          <w:szCs w:val="20"/>
          <w:color w:val="auto"/>
        </w:rPr>
      </w:pPr>
    </w:p>
    <w:p>
      <w:pPr>
        <w:ind w:right="60"/>
        <w:spacing w:after="0" w:line="244" w:lineRule="auto"/>
        <w:rPr>
          <w:sz w:val="20"/>
          <w:szCs w:val="20"/>
          <w:color w:val="auto"/>
        </w:rPr>
      </w:pPr>
      <w:r>
        <w:rPr>
          <w:rFonts w:ascii="Arial" w:cs="Arial" w:eastAsia="Arial" w:hAnsi="Arial"/>
          <w:sz w:val="20"/>
          <w:szCs w:val="20"/>
          <w:color w:val="auto"/>
        </w:rPr>
        <w:t>Sempra Commodities derives most of its revenue from its worldwide trading activities in natural gas, electricity, petroleum products, metals and other commodities. As a result, Sempra Commodities is exposed to price volatility in the related domestic and international markets. Sempra Commodities conducts these activities within a structured and disciplined risk management and control framework that is based on clearly communicated policies and procedures, position limits, active and ongoing management monitoring and oversight, clearly defined roles and responsibilities, and daily risk measurement and reporting.</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Sempra Utilities</w:t>
      </w:r>
    </w:p>
    <w:p>
      <w:pPr>
        <w:spacing w:after="0" w:line="243" w:lineRule="exact"/>
        <w:rPr>
          <w:sz w:val="20"/>
          <w:szCs w:val="20"/>
          <w:color w:val="auto"/>
        </w:rPr>
      </w:pPr>
    </w:p>
    <w:p>
      <w:pPr>
        <w:ind w:right="180"/>
        <w:spacing w:after="0" w:line="274" w:lineRule="auto"/>
        <w:rPr>
          <w:sz w:val="20"/>
          <w:szCs w:val="20"/>
          <w:color w:val="auto"/>
        </w:rPr>
      </w:pPr>
      <w:r>
        <w:rPr>
          <w:rFonts w:ascii="Arial" w:cs="Arial" w:eastAsia="Arial" w:hAnsi="Arial"/>
          <w:sz w:val="18"/>
          <w:szCs w:val="18"/>
          <w:color w:val="auto"/>
        </w:rPr>
        <w:t>The Sempra Utilities’ market-risk exposure is limited due to CPUC-authorized rate recovery of the costs of commodity purchase, intrastate transportation and storage activity. However, the Sempra Utilities may, at times, be exposed to market risk as a result of SDG&amp;E's natural gas PBR and electric procurement activities or SoCalGas' GCIM, which are discussed in Note 15 of the Notes to Consolidated Financial Statements. If commodity prices were to rise too rapidly, it is likely that volumes would decline. This would increase the per-unit fixed costs, which could lead to further volume declines. The Sempra Utilities manage their risk within the parameters of their market risk management framework. As of December 31, 2007, the total VaR of the Sempra Utilities' natural gas and electric positions was not material, and the procurement activities were in compliance with the procurement plans filed with and approved by the CPUC.</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0"/>
          <w:szCs w:val="20"/>
          <w:color w:val="auto"/>
        </w:rPr>
        <w:t>29</w:t>
      </w:r>
    </w:p>
    <w:p>
      <w:pPr>
        <w:sectPr>
          <w:pgSz w:w="11900" w:h="16838" w:orient="portrait"/>
          <w:cols w:equalWidth="0" w:num="1">
            <w:col w:w="11400"/>
          </w:cols>
          <w:pgMar w:left="240" w:top="366" w:right="259" w:bottom="1440" w:gutter="0" w:footer="0" w:header="0"/>
        </w:sectPr>
      </w:pPr>
    </w:p>
    <w:bookmarkStart w:id="97" w:name="page98"/>
    <w:bookmarkEnd w:id="97"/>
    <w:p>
      <w:pPr>
        <w:spacing w:after="0"/>
        <w:rPr>
          <w:sz w:val="20"/>
          <w:szCs w:val="20"/>
          <w:color w:val="auto"/>
        </w:rPr>
      </w:pPr>
      <w:r>
        <w:rPr>
          <w:rFonts w:ascii="Arial" w:cs="Arial" w:eastAsia="Arial" w:hAnsi="Arial"/>
          <w:sz w:val="20"/>
          <w:szCs w:val="20"/>
          <w:b w:val="1"/>
          <w:bCs w:val="1"/>
          <w:color w:val="auto"/>
        </w:rPr>
        <w:t>Interest Rate Risk</w:t>
      </w:r>
    </w:p>
    <w:p>
      <w:pPr>
        <w:spacing w:after="0" w:line="250" w:lineRule="exact"/>
        <w:rPr>
          <w:sz w:val="20"/>
          <w:szCs w:val="20"/>
          <w:color w:val="auto"/>
        </w:rPr>
      </w:pPr>
    </w:p>
    <w:p>
      <w:pPr>
        <w:ind w:right="720"/>
        <w:spacing w:after="0" w:line="269" w:lineRule="auto"/>
        <w:rPr>
          <w:sz w:val="20"/>
          <w:szCs w:val="20"/>
          <w:color w:val="auto"/>
        </w:rPr>
      </w:pPr>
      <w:r>
        <w:rPr>
          <w:rFonts w:ascii="Arial" w:cs="Arial" w:eastAsia="Arial" w:hAnsi="Arial"/>
          <w:sz w:val="19"/>
          <w:szCs w:val="19"/>
          <w:color w:val="auto"/>
        </w:rPr>
        <w:t>The company is exposed to fluctuations in interest rates primarily as a result of its short-term and long-term debt. Subject to regulatory constraints, interest-rate swaps may be used to adjust interest-rate exposures. The company periodically enters into interest-rate swap agreements to moderate its exposure to interest-rate changes and to lower its overall costs of borrowing.</w:t>
      </w:r>
    </w:p>
    <w:p>
      <w:pPr>
        <w:spacing w:after="0" w:line="197" w:lineRule="exact"/>
        <w:rPr>
          <w:sz w:val="20"/>
          <w:szCs w:val="20"/>
          <w:color w:val="auto"/>
        </w:rPr>
      </w:pPr>
    </w:p>
    <w:p>
      <w:pPr>
        <w:ind w:right="80"/>
        <w:spacing w:after="0" w:line="259" w:lineRule="auto"/>
        <w:rPr>
          <w:sz w:val="20"/>
          <w:szCs w:val="20"/>
          <w:color w:val="auto"/>
        </w:rPr>
      </w:pPr>
      <w:r>
        <w:rPr>
          <w:rFonts w:ascii="Arial" w:cs="Arial" w:eastAsia="Arial" w:hAnsi="Arial"/>
          <w:sz w:val="19"/>
          <w:szCs w:val="19"/>
          <w:color w:val="auto"/>
        </w:rPr>
        <w:t>At December 31, 2007, after the effects of interest-rate swaps, the Sempra Utilities had $2.7 billion of fixed-rate, long-term debt and $418 million of variable-rate, long-term debt. Interest on fixed-rate utility debt is fully recovered in rates on a historical cost basis and interest on variable-rate debt is provided for in rates on a forecasted basis. At December 31, 2007, utility fixed-rate, long-term debt, after the effects of interest-rate swaps, had a one-year VaR of $480 million and utility variable-rate, long-term debt, after the effects of interest-rate swaps, had a one-year VaR of $9 million. Non-utility long-term debt (fixed-rate and variable-rate) subject to VaR modeling totaled $1.5 billion at December 31, 2007, with a one-year VaR of $130 million, after the effects of interest-rate swaps.</w:t>
      </w:r>
    </w:p>
    <w:p>
      <w:pPr>
        <w:spacing w:after="0" w:line="206" w:lineRule="exact"/>
        <w:rPr>
          <w:sz w:val="20"/>
          <w:szCs w:val="20"/>
          <w:color w:val="auto"/>
        </w:rPr>
      </w:pPr>
    </w:p>
    <w:p>
      <w:pPr>
        <w:ind w:right="200"/>
        <w:spacing w:after="0" w:line="250" w:lineRule="auto"/>
        <w:rPr>
          <w:sz w:val="20"/>
          <w:szCs w:val="20"/>
          <w:color w:val="auto"/>
        </w:rPr>
      </w:pPr>
      <w:r>
        <w:rPr>
          <w:rFonts w:ascii="Arial" w:cs="Arial" w:eastAsia="Arial" w:hAnsi="Arial"/>
          <w:sz w:val="20"/>
          <w:szCs w:val="20"/>
          <w:color w:val="auto"/>
        </w:rPr>
        <w:t>At December 31, 2007, the total notional amount of interest-rate swap transactions ranges from $1.9 billion to $2.2 billion (ranges relate to amortizing notional amounts). Note 11 of the Notes to Consolidated Financial Statements provides further information regarding interest-rate swap transactions.</w:t>
      </w:r>
    </w:p>
    <w:p>
      <w:pPr>
        <w:spacing w:after="0" w:line="213" w:lineRule="exact"/>
        <w:rPr>
          <w:sz w:val="20"/>
          <w:szCs w:val="20"/>
          <w:color w:val="auto"/>
        </w:rPr>
      </w:pPr>
    </w:p>
    <w:p>
      <w:pPr>
        <w:ind w:right="40"/>
        <w:spacing w:after="0" w:line="250" w:lineRule="auto"/>
        <w:rPr>
          <w:sz w:val="20"/>
          <w:szCs w:val="20"/>
          <w:color w:val="auto"/>
        </w:rPr>
      </w:pPr>
      <w:r>
        <w:rPr>
          <w:rFonts w:ascii="Arial" w:cs="Arial" w:eastAsia="Arial" w:hAnsi="Arial"/>
          <w:sz w:val="20"/>
          <w:szCs w:val="20"/>
          <w:color w:val="auto"/>
        </w:rPr>
        <w:t>In addition, the company is subject to the effect of interest-rate fluctuations on the assets of its pension plans, other postretirement benefit plans and the nuclear decommissioning trusts. However, the effects of these fluctuations, as they relate to the Sempra Utilities, are expected to be passed on to customers.</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Credit Risk</w:t>
      </w:r>
    </w:p>
    <w:p>
      <w:pPr>
        <w:spacing w:after="0" w:line="249" w:lineRule="exact"/>
        <w:rPr>
          <w:sz w:val="20"/>
          <w:szCs w:val="20"/>
          <w:color w:val="auto"/>
        </w:rPr>
      </w:pPr>
    </w:p>
    <w:p>
      <w:pPr>
        <w:spacing w:after="0" w:line="255" w:lineRule="auto"/>
        <w:rPr>
          <w:sz w:val="20"/>
          <w:szCs w:val="20"/>
          <w:color w:val="auto"/>
        </w:rPr>
      </w:pPr>
      <w:r>
        <w:rPr>
          <w:rFonts w:ascii="Arial" w:cs="Arial" w:eastAsia="Arial" w:hAnsi="Arial"/>
          <w:sz w:val="19"/>
          <w:szCs w:val="19"/>
          <w:color w:val="auto"/>
        </w:rPr>
        <w:t>Credit risk is the risk of loss that would be incurred as a result of nonperformance by counterparties of their contractual obligations. As with market risk, the company has policies governing the management of credit risk that are administered by the respective credit departments for each of the Sempra Utilities and for all non-CPUC regulated affiliates and overseen by their separate risk management committees. Using rigorous models, this oversight includes calculating current and potential credit risk on a daily basis and monitoring actual balances in comparison to approved limits. The company avoids concentration of counterparties whenever possible, and management believes its credit policies significantly reduce overall credit risk. These policies include an evaluation of prospective counterparties' financial condition (including credit ratings), collateral requirements under certain circumstances, the use of standardized agreements that allow for t he netting of positive and negative exposures associated with a single counterparty, and other security such as lock-box liens and downgrade triggers. At December 31, 2007, Sempra Commodities' 20 largest customers had balances totaling $1.13 billion, of which $734 million corresponds to investment-grade customers, with individual customers varying from $212 million to $26 million. The company believes that adequate reserves have been provided for counterparty nonperformance.</w:t>
      </w:r>
    </w:p>
    <w:p>
      <w:pPr>
        <w:spacing w:after="0" w:line="215"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As described in Note 16 of the Notes to Consolidated Financial Statements, Sempra Generation has a contract with the DWR to supply up to 1,900 MW of power to the state of California over 10 years, beginning in 2001. This contract results in a significant potential nonperformance exposure with a single counterparty; however, this risk has been addressed and mitigated by the liquidated damages provision of the contract.</w:t>
      </w:r>
    </w:p>
    <w:p>
      <w:pPr>
        <w:spacing w:after="0" w:line="145" w:lineRule="exact"/>
        <w:rPr>
          <w:sz w:val="20"/>
          <w:szCs w:val="20"/>
          <w:color w:val="auto"/>
        </w:rPr>
      </w:pPr>
    </w:p>
    <w:p>
      <w:pPr>
        <w:ind w:right="160"/>
        <w:spacing w:after="0" w:line="250" w:lineRule="auto"/>
        <w:rPr>
          <w:sz w:val="20"/>
          <w:szCs w:val="20"/>
          <w:color w:val="auto"/>
        </w:rPr>
      </w:pPr>
      <w:r>
        <w:rPr>
          <w:rFonts w:ascii="Arial" w:cs="Arial" w:eastAsia="Arial" w:hAnsi="Arial"/>
          <w:sz w:val="20"/>
          <w:szCs w:val="20"/>
          <w:color w:val="auto"/>
        </w:rPr>
        <w:t>When operational, development projects at Sempra LNG and Sempra Pipelines &amp; Storage will place significant reliance on the ability of their suppliers to perform on long-term agreements and on the company’s ability to enforce contract terms in the event of non-performance. Also, factors considered in</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color w:val="auto"/>
        </w:rPr>
        <w:t>30</w:t>
      </w:r>
    </w:p>
    <w:p>
      <w:pPr>
        <w:sectPr>
          <w:pgSz w:w="11900" w:h="16838" w:orient="portrait"/>
          <w:cols w:equalWidth="0" w:num="1">
            <w:col w:w="11400"/>
          </w:cols>
          <w:pgMar w:left="240" w:top="115" w:right="259" w:bottom="1440" w:gutter="0" w:footer="0" w:header="0"/>
        </w:sectPr>
      </w:pPr>
    </w:p>
    <w:bookmarkStart w:id="98" w:name="page99"/>
    <w:bookmarkEnd w:id="98"/>
    <w:p>
      <w:pPr>
        <w:ind w:right="580"/>
        <w:spacing w:after="0" w:line="387" w:lineRule="auto"/>
        <w:rPr>
          <w:sz w:val="20"/>
          <w:szCs w:val="20"/>
          <w:color w:val="auto"/>
        </w:rPr>
      </w:pPr>
      <w:r>
        <w:rPr>
          <w:rFonts w:ascii="Arial" w:cs="Arial" w:eastAsia="Arial" w:hAnsi="Arial"/>
          <w:sz w:val="16"/>
          <w:szCs w:val="16"/>
          <w:color w:val="auto"/>
        </w:rPr>
        <w:t>the evaluation of a project for development include the negotiation of customer and supplier agreements, and therefore, reliance on these agreements for future performance. The decision to go forward on development projects may also be based on these agreements.</w:t>
      </w:r>
    </w:p>
    <w:p>
      <w:pPr>
        <w:spacing w:after="0" w:line="110" w:lineRule="exact"/>
        <w:rPr>
          <w:sz w:val="20"/>
          <w:szCs w:val="20"/>
          <w:color w:val="auto"/>
        </w:rPr>
      </w:pPr>
    </w:p>
    <w:p>
      <w:pPr>
        <w:ind w:right="120"/>
        <w:spacing w:after="0" w:line="260" w:lineRule="auto"/>
        <w:rPr>
          <w:sz w:val="20"/>
          <w:szCs w:val="20"/>
          <w:color w:val="auto"/>
        </w:rPr>
      </w:pPr>
      <w:r>
        <w:rPr>
          <w:rFonts w:ascii="Arial" w:cs="Arial" w:eastAsia="Arial" w:hAnsi="Arial"/>
          <w:sz w:val="20"/>
          <w:szCs w:val="20"/>
          <w:color w:val="auto"/>
        </w:rPr>
        <w:t>The company monitors credit risk through a credit-approval process and the assignment and monitoring of credit limits. These credit limits are established based on risk and return considerations under terms customarily available in the industry.</w:t>
      </w:r>
    </w:p>
    <w:p>
      <w:pPr>
        <w:spacing w:after="0" w:line="204"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As noted above under "Interest Rate Risk," the company periodically enters into interest-rate swap agreements to moderate exposure to interest-rate changes and to lower the overall cost of borrowing. The company would be exposed to interest-rate fluctuations on the underlying debt should counterparties to the agreement not perform.</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Foreign Currency Rate Risk</w:t>
      </w:r>
    </w:p>
    <w:p>
      <w:pPr>
        <w:spacing w:after="0" w:line="249" w:lineRule="exact"/>
        <w:rPr>
          <w:sz w:val="20"/>
          <w:szCs w:val="20"/>
          <w:color w:val="auto"/>
        </w:rPr>
      </w:pPr>
    </w:p>
    <w:p>
      <w:pPr>
        <w:ind w:right="80"/>
        <w:spacing w:after="0" w:line="243" w:lineRule="auto"/>
        <w:rPr>
          <w:sz w:val="20"/>
          <w:szCs w:val="20"/>
          <w:color w:val="auto"/>
        </w:rPr>
      </w:pPr>
      <w:r>
        <w:rPr>
          <w:rFonts w:ascii="Arial" w:cs="Arial" w:eastAsia="Arial" w:hAnsi="Arial"/>
          <w:sz w:val="20"/>
          <w:szCs w:val="20"/>
          <w:color w:val="auto"/>
        </w:rPr>
        <w:t>The company has investments in entities whose functional currency is not the U.S. dollar, exposing the company to foreign exchange movements, primarily in Latin American currencies. As a result of the devaluation of the Argentine peso that began at the end of 2001, Sempra Pipelines &amp; Storage has reduced the carrying value of its Argentine investments downward by a cumulative total of $204 million as of December 31, 2007. These noncash adjustments continue to occur based on fluctuations in the Argentine peso and they generally do not affect net income, but affect other comprehensive income and accumulated other comprehensive income (loss). However, in 2006, the impairment of these investments reflected the cumulative effect of currency translation adjustments. Further discussion is provided in Note 4 of the Notes to Consolidated Financial Statements.</w:t>
      </w:r>
    </w:p>
    <w:p>
      <w:pPr>
        <w:spacing w:after="0" w:line="220" w:lineRule="exact"/>
        <w:rPr>
          <w:sz w:val="20"/>
          <w:szCs w:val="20"/>
          <w:color w:val="auto"/>
        </w:rPr>
      </w:pPr>
    </w:p>
    <w:p>
      <w:pPr>
        <w:ind w:right="180"/>
        <w:spacing w:after="0" w:line="260" w:lineRule="auto"/>
        <w:rPr>
          <w:sz w:val="20"/>
          <w:szCs w:val="20"/>
          <w:color w:val="auto"/>
        </w:rPr>
      </w:pPr>
      <w:r>
        <w:rPr>
          <w:rFonts w:ascii="Arial" w:cs="Arial" w:eastAsia="Arial" w:hAnsi="Arial"/>
          <w:sz w:val="20"/>
          <w:szCs w:val="20"/>
          <w:color w:val="auto"/>
        </w:rPr>
        <w:t>The company's primary objective with respect to currency risk is to preserve the economic value of its overseas investments and to reduce net income volatility that would otherwise occur due to exchange-rate fluctuations.</w:t>
      </w:r>
    </w:p>
    <w:p>
      <w:pPr>
        <w:spacing w:after="0" w:line="204" w:lineRule="exact"/>
        <w:rPr>
          <w:sz w:val="20"/>
          <w:szCs w:val="20"/>
          <w:color w:val="auto"/>
        </w:rPr>
      </w:pPr>
    </w:p>
    <w:p>
      <w:pPr>
        <w:ind w:right="180"/>
        <w:spacing w:after="0" w:line="246" w:lineRule="auto"/>
        <w:rPr>
          <w:sz w:val="20"/>
          <w:szCs w:val="20"/>
          <w:color w:val="auto"/>
        </w:rPr>
      </w:pPr>
      <w:r>
        <w:rPr>
          <w:rFonts w:ascii="Arial" w:cs="Arial" w:eastAsia="Arial" w:hAnsi="Arial"/>
          <w:sz w:val="20"/>
          <w:szCs w:val="20"/>
          <w:color w:val="auto"/>
        </w:rPr>
        <w:t>Sempra Energy's net investment in its Latin American operating companies and the resulting cash flows are partially protected against normal exchange-rate fluctuations by rate-setting mechanisms that are intended to compensate for local inflation and currency exchange-rate fluctuations. In addition, the company offsets material cross-currency transactions and net income exposure through various means, including financial instruments and short-term investments.</w:t>
      </w:r>
    </w:p>
    <w:p>
      <w:pPr>
        <w:spacing w:after="0" w:line="219" w:lineRule="exact"/>
        <w:rPr>
          <w:sz w:val="20"/>
          <w:szCs w:val="20"/>
          <w:color w:val="auto"/>
        </w:rPr>
      </w:pPr>
    </w:p>
    <w:p>
      <w:pPr>
        <w:ind w:right="580"/>
        <w:spacing w:after="0" w:line="260" w:lineRule="auto"/>
        <w:rPr>
          <w:sz w:val="20"/>
          <w:szCs w:val="20"/>
          <w:color w:val="auto"/>
        </w:rPr>
      </w:pPr>
      <w:r>
        <w:rPr>
          <w:rFonts w:ascii="Arial" w:cs="Arial" w:eastAsia="Arial" w:hAnsi="Arial"/>
          <w:sz w:val="20"/>
          <w:szCs w:val="20"/>
          <w:color w:val="auto"/>
        </w:rPr>
        <w:t>Because the company does not hedge its net investment in foreign countries, it is susceptible to volatility in other comprehensive income caused by exchange-rate fluctuations.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0"/>
          <w:szCs w:val="20"/>
          <w:color w:val="auto"/>
        </w:rPr>
        <w:t>31</w:t>
      </w:r>
    </w:p>
    <w:p>
      <w:pPr>
        <w:sectPr>
          <w:pgSz w:w="11900" w:h="16838" w:orient="portrait"/>
          <w:cols w:equalWidth="0" w:num="1">
            <w:col w:w="11420"/>
          </w:cols>
          <w:pgMar w:left="240" w:top="121" w:right="239" w:bottom="1440" w:gutter="0" w:footer="0" w:header="0"/>
        </w:sectPr>
      </w:pPr>
    </w:p>
    <w:bookmarkStart w:id="99" w:name="page100"/>
    <w:bookmarkEnd w:id="99"/>
    <w:p>
      <w:pPr>
        <w:spacing w:after="0"/>
        <w:rPr>
          <w:sz w:val="20"/>
          <w:szCs w:val="20"/>
          <w:color w:val="auto"/>
        </w:rPr>
      </w:pPr>
      <w:r>
        <w:rPr>
          <w:rFonts w:ascii="Arial" w:cs="Arial" w:eastAsia="Arial" w:hAnsi="Arial"/>
          <w:sz w:val="20"/>
          <w:szCs w:val="20"/>
          <w:b w:val="1"/>
          <w:bCs w:val="1"/>
          <w:color w:val="auto"/>
        </w:rPr>
        <w:t>CRITICAL ACCOUNTING POLICIES AND ESTIMATES AND KEY NONCASH PERFORMANCE INDICATORS</w:t>
      </w:r>
    </w:p>
    <w:p>
      <w:pPr>
        <w:spacing w:after="0" w:line="250" w:lineRule="exact"/>
        <w:rPr>
          <w:sz w:val="20"/>
          <w:szCs w:val="20"/>
          <w:color w:val="auto"/>
        </w:rPr>
      </w:pPr>
    </w:p>
    <w:p>
      <w:pPr>
        <w:spacing w:after="0" w:line="316" w:lineRule="auto"/>
        <w:rPr>
          <w:sz w:val="20"/>
          <w:szCs w:val="20"/>
          <w:color w:val="auto"/>
        </w:rPr>
      </w:pPr>
      <w:r>
        <w:rPr>
          <w:rFonts w:ascii="Arial" w:cs="Arial" w:eastAsia="Arial" w:hAnsi="Arial"/>
          <w:sz w:val="18"/>
          <w:szCs w:val="18"/>
          <w:color w:val="auto"/>
        </w:rPr>
        <w:t>Certain accounting policies are viewed by management as critical because their application is the most relevant, judgmental and/or material to the company's financial position and results of operations, and/or because they require the use of material judgments and estimates.</w:t>
      </w:r>
    </w:p>
    <w:p>
      <w:pPr>
        <w:spacing w:after="0" w:line="157" w:lineRule="exact"/>
        <w:rPr>
          <w:sz w:val="20"/>
          <w:szCs w:val="20"/>
          <w:color w:val="auto"/>
        </w:rPr>
      </w:pPr>
    </w:p>
    <w:p>
      <w:pPr>
        <w:ind w:right="20"/>
        <w:spacing w:after="0" w:line="250" w:lineRule="auto"/>
        <w:rPr>
          <w:sz w:val="20"/>
          <w:szCs w:val="20"/>
          <w:color w:val="auto"/>
        </w:rPr>
      </w:pPr>
      <w:r>
        <w:rPr>
          <w:rFonts w:ascii="Arial" w:cs="Arial" w:eastAsia="Arial" w:hAnsi="Arial"/>
          <w:sz w:val="20"/>
          <w:szCs w:val="20"/>
          <w:color w:val="auto"/>
        </w:rPr>
        <w:t>The company's significant accounting policies are described in Note 1 of the Notes to Consolidated Financial Statements. The most critical policies, all of which are mandatory under generally accepted accounting principles in the United States of America and the regulations of the Securities and Exchange Commission, are the following:</w:t>
      </w:r>
    </w:p>
    <w:p>
      <w:pPr>
        <w:spacing w:after="0" w:line="200" w:lineRule="exact"/>
        <w:rPr>
          <w:sz w:val="20"/>
          <w:szCs w:val="20"/>
          <w:color w:val="auto"/>
        </w:rPr>
      </w:pPr>
    </w:p>
    <w:p>
      <w:pPr>
        <w:spacing w:after="0" w:line="295" w:lineRule="exact"/>
        <w:rPr>
          <w:sz w:val="20"/>
          <w:szCs w:val="20"/>
          <w:color w:val="auto"/>
        </w:rPr>
      </w:pPr>
    </w:p>
    <w:tbl>
      <w:tblPr>
        <w:tblLayout w:type="fixed"/>
        <w:tblInd w:w="1220" w:type="dxa"/>
        <w:tblCellMar>
          <w:top w:w="0" w:type="dxa"/>
          <w:left w:w="0" w:type="dxa"/>
          <w:bottom w:w="0" w:type="dxa"/>
          <w:right w:w="0" w:type="dxa"/>
        </w:tblCellMar>
      </w:tblPr>
      <w:tr>
        <w:trPr>
          <w:trHeight w:val="216"/>
        </w:trPr>
        <w:tc>
          <w:tcPr>
            <w:tcW w:w="246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860" w:type="dxa"/>
            <w:vAlign w:val="bottom"/>
          </w:tcPr>
          <w:p>
            <w:pPr>
              <w:jc w:val="center"/>
              <w:ind w:left="130"/>
              <w:spacing w:after="0"/>
              <w:rPr>
                <w:sz w:val="20"/>
                <w:szCs w:val="20"/>
                <w:color w:val="auto"/>
              </w:rPr>
            </w:pPr>
            <w:r>
              <w:rPr>
                <w:rFonts w:ascii="Arial" w:cs="Arial" w:eastAsia="Arial" w:hAnsi="Arial"/>
                <w:sz w:val="18"/>
                <w:szCs w:val="18"/>
                <w:b w:val="1"/>
                <w:bCs w:val="1"/>
                <w:color w:val="auto"/>
                <w:w w:val="90"/>
              </w:rPr>
              <w:t>Effect if Different Assumptions</w:t>
            </w:r>
          </w:p>
        </w:tc>
      </w:tr>
      <w:tr>
        <w:trPr>
          <w:trHeight w:val="241"/>
        </w:trPr>
        <w:tc>
          <w:tcPr>
            <w:tcW w:w="2460" w:type="dxa"/>
            <w:vAlign w:val="bottom"/>
            <w:tcBorders>
              <w:bottom w:val="single" w:sz="8" w:color="auto"/>
            </w:tcBorders>
          </w:tcPr>
          <w:p>
            <w:pPr>
              <w:ind w:left="860"/>
              <w:spacing w:after="0"/>
              <w:rPr>
                <w:sz w:val="20"/>
                <w:szCs w:val="20"/>
                <w:color w:val="auto"/>
              </w:rPr>
            </w:pPr>
            <w:r>
              <w:rPr>
                <w:rFonts w:ascii="Arial" w:cs="Arial" w:eastAsia="Arial" w:hAnsi="Arial"/>
                <w:sz w:val="18"/>
                <w:szCs w:val="18"/>
                <w:b w:val="1"/>
                <w:bCs w:val="1"/>
                <w:color w:val="auto"/>
              </w:rPr>
              <w:t>Description</w:t>
            </w:r>
          </w:p>
        </w:tc>
        <w:tc>
          <w:tcPr>
            <w:tcW w:w="3680" w:type="dxa"/>
            <w:vAlign w:val="bottom"/>
            <w:tcBorders>
              <w:bottom w:val="single" w:sz="8" w:color="auto"/>
            </w:tcBorders>
          </w:tcPr>
          <w:p>
            <w:pPr>
              <w:ind w:left="700"/>
              <w:spacing w:after="0"/>
              <w:rPr>
                <w:sz w:val="20"/>
                <w:szCs w:val="20"/>
                <w:color w:val="auto"/>
              </w:rPr>
            </w:pPr>
            <w:r>
              <w:rPr>
                <w:rFonts w:ascii="Arial" w:cs="Arial" w:eastAsia="Arial" w:hAnsi="Arial"/>
                <w:sz w:val="18"/>
                <w:szCs w:val="18"/>
                <w:b w:val="1"/>
                <w:bCs w:val="1"/>
                <w:color w:val="auto"/>
              </w:rPr>
              <w:t>Assumptions &amp; Approach Utilized</w:t>
            </w:r>
          </w:p>
        </w:tc>
        <w:tc>
          <w:tcPr>
            <w:tcW w:w="286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86"/>
              </w:rPr>
              <w:t>Used</w:t>
            </w:r>
          </w:p>
        </w:tc>
      </w:tr>
    </w:tbl>
    <w:p>
      <w:pPr>
        <w:spacing w:after="0" w:line="200" w:lineRule="exact"/>
        <w:rPr>
          <w:sz w:val="20"/>
          <w:szCs w:val="20"/>
          <w:color w:val="auto"/>
        </w:rPr>
      </w:pPr>
    </w:p>
    <w:p>
      <w:pPr>
        <w:sectPr>
          <w:pgSz w:w="11900" w:h="16838" w:orient="portrait"/>
          <w:cols w:equalWidth="0" w:num="1">
            <w:col w:w="11260"/>
          </w:cols>
          <w:pgMar w:left="240" w:top="116" w:right="399" w:bottom="1440" w:gutter="0" w:footer="0" w:header="0"/>
        </w:sectPr>
      </w:pPr>
    </w:p>
    <w:p>
      <w:pPr>
        <w:spacing w:after="0" w:line="38"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Contingencies</w:t>
      </w:r>
    </w:p>
    <w:p>
      <w:pPr>
        <w:spacing w:after="0" w:line="40" w:lineRule="exact"/>
        <w:rPr>
          <w:sz w:val="20"/>
          <w:szCs w:val="20"/>
          <w:color w:val="auto"/>
        </w:rPr>
      </w:pPr>
    </w:p>
    <w:p>
      <w:pPr>
        <w:ind w:left="1240"/>
        <w:spacing w:after="0" w:line="270" w:lineRule="auto"/>
        <w:rPr>
          <w:sz w:val="20"/>
          <w:szCs w:val="20"/>
          <w:color w:val="auto"/>
        </w:rPr>
      </w:pPr>
      <w:r>
        <w:rPr>
          <w:rFonts w:ascii="Arial" w:cs="Arial" w:eastAsia="Arial" w:hAnsi="Arial"/>
          <w:sz w:val="17"/>
          <w:szCs w:val="17"/>
          <w:color w:val="auto"/>
        </w:rPr>
        <w:t xml:space="preserve">SFAS 5, </w:t>
      </w:r>
      <w:r>
        <w:rPr>
          <w:rFonts w:ascii="Arial" w:cs="Arial" w:eastAsia="Arial" w:hAnsi="Arial"/>
          <w:sz w:val="17"/>
          <w:szCs w:val="17"/>
          <w:i w:val="1"/>
          <w:iCs w:val="1"/>
          <w:color w:val="auto"/>
        </w:rPr>
        <w:t>Accounting for</w:t>
      </w:r>
      <w:r>
        <w:rPr>
          <w:rFonts w:ascii="Arial" w:cs="Arial" w:eastAsia="Arial" w:hAnsi="Arial"/>
          <w:sz w:val="17"/>
          <w:szCs w:val="17"/>
          <w:color w:val="auto"/>
        </w:rPr>
        <w:t xml:space="preserve"> </w:t>
      </w:r>
      <w:r>
        <w:rPr>
          <w:rFonts w:ascii="Arial" w:cs="Arial" w:eastAsia="Arial" w:hAnsi="Arial"/>
          <w:sz w:val="17"/>
          <w:szCs w:val="17"/>
          <w:i w:val="1"/>
          <w:iCs w:val="1"/>
          <w:color w:val="auto"/>
        </w:rPr>
        <w:t>Contingencies</w:t>
      </w:r>
      <w:r>
        <w:rPr>
          <w:rFonts w:ascii="Arial" w:cs="Arial" w:eastAsia="Arial" w:hAnsi="Arial"/>
          <w:sz w:val="17"/>
          <w:szCs w:val="17"/>
          <w:color w:val="auto"/>
        </w:rPr>
        <w:t>, establishes the</w:t>
      </w:r>
      <w:r>
        <w:rPr>
          <w:rFonts w:ascii="Arial" w:cs="Arial" w:eastAsia="Arial" w:hAnsi="Arial"/>
          <w:sz w:val="17"/>
          <w:szCs w:val="17"/>
          <w:i w:val="1"/>
          <w:iCs w:val="1"/>
          <w:color w:val="auto"/>
        </w:rPr>
        <w:t xml:space="preserve"> </w:t>
      </w:r>
      <w:r>
        <w:rPr>
          <w:rFonts w:ascii="Arial" w:cs="Arial" w:eastAsia="Arial" w:hAnsi="Arial"/>
          <w:sz w:val="17"/>
          <w:szCs w:val="17"/>
          <w:color w:val="auto"/>
        </w:rPr>
        <w:t>amounts and timing of when the company provides for contingent losses. The company continuously assesses potential loss contingencies for litigation claims, environmental remediation and other events.</w:t>
      </w:r>
    </w:p>
    <w:p>
      <w:pPr>
        <w:spacing w:after="0" w:line="20" w:lineRule="exact"/>
        <w:rPr>
          <w:sz w:val="20"/>
          <w:szCs w:val="20"/>
          <w:color w:val="auto"/>
        </w:rPr>
      </w:pPr>
      <w:r>
        <w:rPr>
          <w:sz w:val="20"/>
          <w:szCs w:val="20"/>
          <w:color w:val="auto"/>
        </w:rPr>
        <w:br w:type="column"/>
      </w:r>
    </w:p>
    <w:p>
      <w:pPr>
        <w:spacing w:after="0" w:line="26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company accrues losses for the estimated impacts of various conditions, situations or circumstances involving uncertain outcomes. For loss contingencies, the loss is accrued if (1) information is available that indicates it is probable that the loss has been incurred, given the likelihood of uncertain future events, and (2) the amounts of the loss can be reasonably estimated. SFAS 5 does not permit the accrual of contingencies that might result in gains.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-1812925</wp:posOffset>
            </wp:positionH>
            <wp:positionV relativeFrom="paragraph">
              <wp:posOffset>-4445</wp:posOffset>
            </wp:positionV>
            <wp:extent cx="571119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1119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5" w:lineRule="exact"/>
        <w:rPr>
          <w:sz w:val="20"/>
          <w:szCs w:val="20"/>
          <w:color w:val="auto"/>
        </w:rPr>
      </w:pPr>
    </w:p>
    <w:p>
      <w:pPr>
        <w:ind w:right="1060"/>
        <w:spacing w:after="0" w:line="279" w:lineRule="auto"/>
        <w:rPr>
          <w:sz w:val="20"/>
          <w:szCs w:val="20"/>
          <w:color w:val="auto"/>
        </w:rPr>
      </w:pPr>
      <w:r>
        <w:rPr>
          <w:rFonts w:ascii="Arial" w:cs="Arial" w:eastAsia="Arial" w:hAnsi="Arial"/>
          <w:sz w:val="17"/>
          <w:szCs w:val="17"/>
          <w:color w:val="auto"/>
        </w:rPr>
        <w:t>Details of the company's issues in this area are discussed in Note 16 of the Notes to Consolidated Financial Statements.</w:t>
      </w:r>
    </w:p>
    <w:p>
      <w:pPr>
        <w:spacing w:after="0" w:line="1920" w:lineRule="exact"/>
        <w:rPr>
          <w:sz w:val="20"/>
          <w:szCs w:val="20"/>
          <w:color w:val="auto"/>
        </w:rPr>
      </w:pPr>
    </w:p>
    <w:p>
      <w:pPr>
        <w:sectPr>
          <w:pgSz w:w="11900" w:h="16838" w:orient="portrait"/>
          <w:cols w:equalWidth="0" w:num="3">
            <w:col w:w="3720" w:space="360"/>
            <w:col w:w="3220" w:space="300"/>
            <w:col w:w="3660"/>
          </w:cols>
          <w:pgMar w:left="240" w:top="116" w:right="399" w:bottom="1440" w:gutter="0" w:footer="0" w:header="0"/>
          <w:type w:val="continuous"/>
        </w:sectPr>
      </w:pPr>
    </w:p>
    <w:p>
      <w:pPr>
        <w:spacing w:after="0" w:line="43" w:lineRule="exact"/>
        <w:rPr>
          <w:sz w:val="20"/>
          <w:szCs w:val="20"/>
          <w:color w:val="auto"/>
        </w:rPr>
      </w:pPr>
    </w:p>
    <w:p>
      <w:pPr>
        <w:ind w:left="1240"/>
        <w:spacing w:after="0"/>
        <w:rPr>
          <w:sz w:val="20"/>
          <w:szCs w:val="20"/>
          <w:color w:val="auto"/>
        </w:rPr>
      </w:pPr>
      <w:r>
        <w:rPr>
          <w:rFonts w:ascii="Arial" w:cs="Arial" w:eastAsia="Arial" w:hAnsi="Arial"/>
          <w:sz w:val="16"/>
          <w:szCs w:val="16"/>
          <w:b w:val="1"/>
          <w:bCs w:val="1"/>
          <w:color w:val="auto"/>
        </w:rPr>
        <w:t>Regulatory Accounting</w:t>
      </w:r>
    </w:p>
    <w:p>
      <w:pPr>
        <w:sectPr>
          <w:pgSz w:w="11900" w:h="16838" w:orient="portrait"/>
          <w:cols w:equalWidth="0" w:num="1">
            <w:col w:w="11260"/>
          </w:cols>
          <w:pgMar w:left="240" w:top="116" w:right="399" w:bottom="1440" w:gutter="0" w:footer="0" w:header="0"/>
          <w:type w:val="continuous"/>
        </w:sectPr>
      </w:pPr>
    </w:p>
    <w:p>
      <w:pPr>
        <w:spacing w:after="0" w:line="63" w:lineRule="exact"/>
        <w:rPr>
          <w:sz w:val="20"/>
          <w:szCs w:val="20"/>
          <w:color w:val="auto"/>
        </w:rPr>
      </w:pPr>
    </w:p>
    <w:p>
      <w:pPr>
        <w:ind w:left="1240"/>
        <w:spacing w:after="0" w:line="312" w:lineRule="auto"/>
        <w:rPr>
          <w:sz w:val="20"/>
          <w:szCs w:val="20"/>
          <w:color w:val="auto"/>
        </w:rPr>
      </w:pPr>
      <w:r>
        <w:rPr>
          <w:rFonts w:ascii="Arial" w:cs="Arial" w:eastAsia="Arial" w:hAnsi="Arial"/>
          <w:sz w:val="15"/>
          <w:szCs w:val="15"/>
          <w:color w:val="auto"/>
        </w:rPr>
        <w:t xml:space="preserve">SFAS 71, </w:t>
      </w:r>
      <w:r>
        <w:rPr>
          <w:rFonts w:ascii="Arial" w:cs="Arial" w:eastAsia="Arial" w:hAnsi="Arial"/>
          <w:sz w:val="15"/>
          <w:szCs w:val="15"/>
          <w:i w:val="1"/>
          <w:iCs w:val="1"/>
          <w:color w:val="auto"/>
        </w:rPr>
        <w:t>Accounting for the</w:t>
      </w:r>
      <w:r>
        <w:rPr>
          <w:rFonts w:ascii="Arial" w:cs="Arial" w:eastAsia="Arial" w:hAnsi="Arial"/>
          <w:sz w:val="15"/>
          <w:szCs w:val="15"/>
          <w:color w:val="auto"/>
        </w:rPr>
        <w:t xml:space="preserve"> </w:t>
      </w:r>
      <w:r>
        <w:rPr>
          <w:rFonts w:ascii="Arial" w:cs="Arial" w:eastAsia="Arial" w:hAnsi="Arial"/>
          <w:sz w:val="15"/>
          <w:szCs w:val="15"/>
          <w:i w:val="1"/>
          <w:iCs w:val="1"/>
          <w:color w:val="auto"/>
        </w:rPr>
        <w:t>Effects of Certain Types of Regulation</w:t>
      </w:r>
      <w:r>
        <w:rPr>
          <w:rFonts w:ascii="Arial" w:cs="Arial" w:eastAsia="Arial" w:hAnsi="Arial"/>
          <w:sz w:val="15"/>
          <w:szCs w:val="15"/>
          <w:color w:val="auto"/>
        </w:rPr>
        <w:t>, has a significant effect</w:t>
      </w:r>
      <w:r>
        <w:rPr>
          <w:rFonts w:ascii="Arial" w:cs="Arial" w:eastAsia="Arial" w:hAnsi="Arial"/>
          <w:sz w:val="15"/>
          <w:szCs w:val="15"/>
          <w:i w:val="1"/>
          <w:iCs w:val="1"/>
          <w:color w:val="auto"/>
        </w:rPr>
        <w:t xml:space="preserve"> </w:t>
      </w:r>
      <w:r>
        <w:rPr>
          <w:rFonts w:ascii="Arial" w:cs="Arial" w:eastAsia="Arial" w:hAnsi="Arial"/>
          <w:sz w:val="15"/>
          <w:szCs w:val="15"/>
          <w:color w:val="auto"/>
        </w:rPr>
        <w:t>on the way the Sempra Utilities record assets and liabilities, and the related revenues and expenses that would not be recorded absent the principles contained in SFAS 71.</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Sempra Utilities record a regulatory asset if it is probable that, through the ratemaking process, the utility will recover that asset from customers. Similarly, regulatory liabilities are recorded for amounts recovered in rates in advance of the expenditure. The Sempra Utilities review probabilities associated with regulatory balances whenever new events occur, such as changes in the regulatory environment or the utility's competitive position, issuance of a regulatory commission order or passage of new legislation. To the extent that circumstances associated with regulatory balances change, the regulatory balances could be adjusted.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-1812925</wp:posOffset>
            </wp:positionH>
            <wp:positionV relativeFrom="paragraph">
              <wp:posOffset>-6350</wp:posOffset>
            </wp:positionV>
            <wp:extent cx="571119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1119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ind w:right="1120"/>
        <w:spacing w:after="0" w:line="302" w:lineRule="auto"/>
        <w:rPr>
          <w:sz w:val="20"/>
          <w:szCs w:val="20"/>
          <w:color w:val="auto"/>
        </w:rPr>
      </w:pPr>
      <w:r>
        <w:rPr>
          <w:rFonts w:ascii="Arial" w:cs="Arial" w:eastAsia="Arial" w:hAnsi="Arial"/>
          <w:sz w:val="16"/>
          <w:szCs w:val="16"/>
          <w:color w:val="auto"/>
        </w:rPr>
        <w:t>Details of the Sempra Utilities' regulatory assets and liabilities are discussed in Note 1 of the Notes to Consolidated Financial Statements.</w:t>
      </w:r>
    </w:p>
    <w:p>
      <w:pPr>
        <w:spacing w:after="0" w:line="2769" w:lineRule="exact"/>
        <w:rPr>
          <w:sz w:val="20"/>
          <w:szCs w:val="20"/>
          <w:color w:val="auto"/>
        </w:rPr>
      </w:pPr>
    </w:p>
    <w:p>
      <w:pPr>
        <w:sectPr>
          <w:pgSz w:w="11900" w:h="16838" w:orient="portrait"/>
          <w:cols w:equalWidth="0" w:num="3">
            <w:col w:w="3780" w:space="300"/>
            <w:col w:w="3220" w:space="300"/>
            <w:col w:w="3660"/>
          </w:cols>
          <w:pgMar w:left="240" w:top="116" w:right="399" w:bottom="1440" w:gutter="0" w:footer="0" w:header="0"/>
          <w:type w:val="continuous"/>
        </w:sect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260"/>
          </w:cols>
          <w:pgMar w:left="240" w:top="116" w:right="399" w:bottom="1440" w:gutter="0" w:footer="0" w:header="0"/>
          <w:type w:val="continuous"/>
        </w:sectPr>
      </w:pPr>
    </w:p>
    <w:bookmarkStart w:id="100" w:name="page101"/>
    <w:bookmarkEnd w:id="100"/>
    <w:tbl>
      <w:tblPr>
        <w:tblLayout w:type="fixed"/>
        <w:tblInd w:w="1220" w:type="dxa"/>
        <w:tblCellMar>
          <w:top w:w="0" w:type="dxa"/>
          <w:left w:w="0" w:type="dxa"/>
          <w:bottom w:w="0" w:type="dxa"/>
          <w:right w:w="0" w:type="dxa"/>
        </w:tblCellMar>
      </w:tblPr>
      <w:tr>
        <w:trPr>
          <w:trHeight w:val="216"/>
        </w:trPr>
        <w:tc>
          <w:tcPr>
            <w:tcW w:w="246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860" w:type="dxa"/>
            <w:vAlign w:val="bottom"/>
          </w:tcPr>
          <w:p>
            <w:pPr>
              <w:jc w:val="center"/>
              <w:ind w:left="130"/>
              <w:spacing w:after="0"/>
              <w:rPr>
                <w:sz w:val="20"/>
                <w:szCs w:val="20"/>
                <w:color w:val="auto"/>
              </w:rPr>
            </w:pPr>
            <w:r>
              <w:rPr>
                <w:rFonts w:ascii="Arial" w:cs="Arial" w:eastAsia="Arial" w:hAnsi="Arial"/>
                <w:sz w:val="18"/>
                <w:szCs w:val="18"/>
                <w:b w:val="1"/>
                <w:bCs w:val="1"/>
                <w:color w:val="auto"/>
                <w:w w:val="90"/>
              </w:rPr>
              <w:t>Effect if Different Assumptions</w:t>
            </w:r>
          </w:p>
        </w:tc>
      </w:tr>
      <w:tr>
        <w:trPr>
          <w:trHeight w:val="241"/>
        </w:trPr>
        <w:tc>
          <w:tcPr>
            <w:tcW w:w="2460" w:type="dxa"/>
            <w:vAlign w:val="bottom"/>
            <w:tcBorders>
              <w:bottom w:val="single" w:sz="8" w:color="auto"/>
            </w:tcBorders>
          </w:tcPr>
          <w:p>
            <w:pPr>
              <w:ind w:left="860"/>
              <w:spacing w:after="0"/>
              <w:rPr>
                <w:sz w:val="20"/>
                <w:szCs w:val="20"/>
                <w:color w:val="auto"/>
              </w:rPr>
            </w:pPr>
            <w:r>
              <w:rPr>
                <w:rFonts w:ascii="Arial" w:cs="Arial" w:eastAsia="Arial" w:hAnsi="Arial"/>
                <w:sz w:val="18"/>
                <w:szCs w:val="18"/>
                <w:b w:val="1"/>
                <w:bCs w:val="1"/>
                <w:color w:val="auto"/>
              </w:rPr>
              <w:t>Description</w:t>
            </w:r>
          </w:p>
        </w:tc>
        <w:tc>
          <w:tcPr>
            <w:tcW w:w="3680" w:type="dxa"/>
            <w:vAlign w:val="bottom"/>
            <w:tcBorders>
              <w:bottom w:val="single" w:sz="8" w:color="auto"/>
            </w:tcBorders>
          </w:tcPr>
          <w:p>
            <w:pPr>
              <w:ind w:left="700"/>
              <w:spacing w:after="0"/>
              <w:rPr>
                <w:sz w:val="20"/>
                <w:szCs w:val="20"/>
                <w:color w:val="auto"/>
              </w:rPr>
            </w:pPr>
            <w:r>
              <w:rPr>
                <w:rFonts w:ascii="Arial" w:cs="Arial" w:eastAsia="Arial" w:hAnsi="Arial"/>
                <w:sz w:val="18"/>
                <w:szCs w:val="18"/>
                <w:b w:val="1"/>
                <w:bCs w:val="1"/>
                <w:color w:val="auto"/>
              </w:rPr>
              <w:t>Assumptions &amp; Approach Utilized</w:t>
            </w:r>
          </w:p>
        </w:tc>
        <w:tc>
          <w:tcPr>
            <w:tcW w:w="286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86"/>
              </w:rPr>
              <w:t>Used</w:t>
            </w:r>
          </w:p>
        </w:tc>
      </w:tr>
    </w:tbl>
    <w:p>
      <w:pPr>
        <w:spacing w:after="0" w:line="200" w:lineRule="exact"/>
        <w:rPr>
          <w:sz w:val="20"/>
          <w:szCs w:val="20"/>
          <w:color w:val="auto"/>
        </w:rPr>
      </w:pPr>
    </w:p>
    <w:p>
      <w:pPr>
        <w:sectPr>
          <w:pgSz w:w="11900" w:h="16838" w:orient="portrait"/>
          <w:cols w:equalWidth="0" w:num="1">
            <w:col w:w="10220"/>
          </w:cols>
          <w:pgMar w:left="240" w:top="405" w:right="1439" w:bottom="1440" w:gutter="0" w:footer="0" w:header="0"/>
        </w:sectPr>
      </w:pPr>
    </w:p>
    <w:p>
      <w:pPr>
        <w:spacing w:after="0" w:line="38"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Income Taxes</w:t>
      </w:r>
    </w:p>
    <w:p>
      <w:pPr>
        <w:spacing w:after="0" w:line="40" w:lineRule="exact"/>
        <w:rPr>
          <w:sz w:val="20"/>
          <w:szCs w:val="20"/>
          <w:color w:val="auto"/>
        </w:rPr>
      </w:pPr>
    </w:p>
    <w:p>
      <w:pPr>
        <w:ind w:left="1240"/>
        <w:spacing w:after="0" w:line="259" w:lineRule="auto"/>
        <w:rPr>
          <w:sz w:val="20"/>
          <w:szCs w:val="20"/>
          <w:color w:val="auto"/>
        </w:rPr>
      </w:pPr>
      <w:r>
        <w:rPr>
          <w:rFonts w:ascii="Arial" w:cs="Arial" w:eastAsia="Arial" w:hAnsi="Arial"/>
          <w:sz w:val="18"/>
          <w:szCs w:val="18"/>
          <w:color w:val="auto"/>
        </w:rPr>
        <w:t xml:space="preserve">SFAS 109, </w:t>
      </w:r>
      <w:r>
        <w:rPr>
          <w:rFonts w:ascii="Arial" w:cs="Arial" w:eastAsia="Arial" w:hAnsi="Arial"/>
          <w:sz w:val="18"/>
          <w:szCs w:val="18"/>
          <w:i w:val="1"/>
          <w:iCs w:val="1"/>
          <w:color w:val="auto"/>
        </w:rPr>
        <w:t>Accounting for Income</w:t>
      </w:r>
      <w:r>
        <w:rPr>
          <w:rFonts w:ascii="Arial" w:cs="Arial" w:eastAsia="Arial" w:hAnsi="Arial"/>
          <w:sz w:val="18"/>
          <w:szCs w:val="18"/>
          <w:color w:val="auto"/>
        </w:rPr>
        <w:t xml:space="preserve"> </w:t>
      </w:r>
      <w:r>
        <w:rPr>
          <w:rFonts w:ascii="Arial" w:cs="Arial" w:eastAsia="Arial" w:hAnsi="Arial"/>
          <w:sz w:val="18"/>
          <w:szCs w:val="18"/>
          <w:i w:val="1"/>
          <w:iCs w:val="1"/>
          <w:color w:val="auto"/>
        </w:rPr>
        <w:t>Taxes</w:t>
      </w:r>
      <w:r>
        <w:rPr>
          <w:rFonts w:ascii="Arial" w:cs="Arial" w:eastAsia="Arial" w:hAnsi="Arial"/>
          <w:sz w:val="18"/>
          <w:szCs w:val="18"/>
          <w:color w:val="auto"/>
        </w:rPr>
        <w:t>, governs the way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provides for income taxes.</w:t>
      </w:r>
    </w:p>
    <w:p>
      <w:pPr>
        <w:spacing w:after="0" w:line="20" w:lineRule="exact"/>
        <w:rPr>
          <w:sz w:val="20"/>
          <w:szCs w:val="20"/>
          <w:color w:val="auto"/>
        </w:rPr>
      </w:pPr>
      <w:r>
        <w:rPr>
          <w:sz w:val="20"/>
          <w:szCs w:val="20"/>
          <w:color w:val="auto"/>
        </w:rPr>
        <w:br w:type="column"/>
      </w:r>
    </w:p>
    <w:p>
      <w:pPr>
        <w:spacing w:after="0" w:line="26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company's income tax expense and related balance sheet amounts involve significant management estimates and judgments. Amounts of deferred income tax assets and liabilities, as well as current and noncurrent accruals, involve judgments and estimates of the timing and probability of recognition of income and deductions by taxing authorities. The anticipated resolution of income-tax issues considers past resolutions of the same or similar issue, the status of any income-tax examination in progress and positions taken by taxing authorities with other taxpayers with similar issues. The likelihood of deferred tax recovery is based on analyses of the deferred tax assets and the company's expectation of future taxable income, based on its strategic planning.</w:t>
      </w:r>
    </w:p>
    <w:p>
      <w:pPr>
        <w:spacing w:after="0" w:line="20" w:lineRule="exact"/>
        <w:rPr>
          <w:sz w:val="20"/>
          <w:szCs w:val="20"/>
          <w:color w:val="auto"/>
        </w:rPr>
      </w:pPr>
      <w:r>
        <w:rPr>
          <w:sz w:val="20"/>
          <w:szCs w:val="20"/>
          <w:color w:val="auto"/>
        </w:rPr>
        <w:br w:type="column"/>
      </w:r>
    </w:p>
    <w:p>
      <w:pPr>
        <w:spacing w:after="0" w:line="265"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Actual income taxes could vary from estimated amounts due to the future impacts of various items including changes in tax laws, the company's financial condition in future periods, and the resolution of various income tax issues between the company and the various taxing authorities. Details of the company's issues in this area are discussed in Note 8 of the Notes to Consolidated Financial Statements.</w:t>
      </w:r>
    </w:p>
    <w:p>
      <w:pPr>
        <w:spacing w:after="0" w:line="1710" w:lineRule="exact"/>
        <w:rPr>
          <w:sz w:val="20"/>
          <w:szCs w:val="20"/>
          <w:color w:val="auto"/>
        </w:rPr>
      </w:pPr>
    </w:p>
    <w:p>
      <w:pPr>
        <w:sectPr>
          <w:pgSz w:w="11900" w:h="16838" w:orient="portrait"/>
          <w:cols w:equalWidth="0" w:num="3">
            <w:col w:w="3700" w:space="380"/>
            <w:col w:w="3240" w:space="280"/>
            <w:col w:w="2620"/>
          </w:cols>
          <w:pgMar w:left="240" w:top="405" w:right="1439" w:bottom="1440" w:gutter="0" w:footer="0" w:header="0"/>
          <w:type w:val="continuous"/>
        </w:sectPr>
      </w:pPr>
    </w:p>
    <w:p>
      <w:pPr>
        <w:spacing w:after="0" w:line="25" w:lineRule="exact"/>
        <w:rPr>
          <w:sz w:val="20"/>
          <w:szCs w:val="20"/>
          <w:color w:val="auto"/>
        </w:rPr>
      </w:pPr>
    </w:p>
    <w:p>
      <w:pPr>
        <w:ind w:left="1240"/>
        <w:spacing w:after="0" w:line="286" w:lineRule="auto"/>
        <w:rPr>
          <w:sz w:val="20"/>
          <w:szCs w:val="20"/>
          <w:color w:val="auto"/>
        </w:rPr>
      </w:pPr>
      <w:r>
        <w:rPr>
          <w:rFonts w:ascii="Arial" w:cs="Arial" w:eastAsia="Arial" w:hAnsi="Arial"/>
          <w:sz w:val="16"/>
          <w:szCs w:val="16"/>
          <w:color w:val="auto"/>
        </w:rPr>
        <w:t>FIN 48 clarifies the accounting for uncertainty in income taxes recognized in a company's financial statements. FIN 48 addresses how an entity should recognize, measure, classify and disclose in its financial statements uncertain tax positions that it has taken or expects to take in an income tax return. FIN 48 also provides guidance on derecognition, classification, interest and penalties, accounting in interim periods, disclosure and transition.</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For a position to qualify for benefit recognition under FIN 48, the position must have at least a "more likely than not" chance of being sustained (based on the position’s technical merits) upon challenge by the respective authorities. The term "more likely than not" means a likelihood of more than 50 percent. If the company does not have a more likely than not position with respect to a tax position, then the company may not recognize any of the potential tax benefit associated with the position. A tax position that meets the "more likely than not" recognition shall initially and subsequently be measured as the largest amount of tax benefit that is greater than 50 percent likely of being realized upon the effective resolution of the tax 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-1812925</wp:posOffset>
            </wp:positionH>
            <wp:positionV relativeFrom="paragraph">
              <wp:posOffset>-8890</wp:posOffset>
            </wp:positionV>
            <wp:extent cx="571119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1119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Unrecognized tax benefits involve management judgment regarding the likelihood of the benefit being sustained. The final resolution of uncertain tax positions could result in adjustments to recorded amounts and may affect the company’s results of operations, financial position and cash flows.</w:t>
      </w:r>
    </w:p>
    <w:p>
      <w:pPr>
        <w:spacing w:after="0" w:line="182"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Additional information related to accounting for uncertainty in income taxes is discussed in Note 2 of the Notes to Consolidated Financial Statements.</w:t>
      </w:r>
    </w:p>
    <w:p>
      <w:pPr>
        <w:spacing w:after="0" w:line="833" w:lineRule="exact"/>
        <w:rPr>
          <w:sz w:val="20"/>
          <w:szCs w:val="20"/>
          <w:color w:val="auto"/>
        </w:rPr>
      </w:pPr>
    </w:p>
    <w:p>
      <w:pPr>
        <w:sectPr>
          <w:pgSz w:w="11900" w:h="16838" w:orient="portrait"/>
          <w:cols w:equalWidth="0" w:num="3">
            <w:col w:w="3820" w:space="260"/>
            <w:col w:w="3260" w:space="260"/>
            <w:col w:w="2620"/>
          </w:cols>
          <w:pgMar w:left="240" w:top="405" w:right="1439" w:bottom="1440" w:gutter="0" w:footer="0" w:header="0"/>
          <w:type w:val="continuous"/>
        </w:sect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0220"/>
          </w:cols>
          <w:pgMar w:left="240" w:top="405" w:right="1439" w:bottom="1440" w:gutter="0" w:footer="0" w:header="0"/>
          <w:type w:val="continuous"/>
        </w:sectPr>
      </w:pPr>
    </w:p>
    <w:bookmarkStart w:id="101" w:name="page102"/>
    <w:bookmarkEnd w:id="101"/>
    <w:tbl>
      <w:tblPr>
        <w:tblLayout w:type="fixed"/>
        <w:tblInd w:w="1220" w:type="dxa"/>
        <w:tblCellMar>
          <w:top w:w="0" w:type="dxa"/>
          <w:left w:w="0" w:type="dxa"/>
          <w:bottom w:w="0" w:type="dxa"/>
          <w:right w:w="0" w:type="dxa"/>
        </w:tblCellMar>
      </w:tblPr>
      <w:tr>
        <w:trPr>
          <w:trHeight w:val="216"/>
        </w:trPr>
        <w:tc>
          <w:tcPr>
            <w:tcW w:w="246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860" w:type="dxa"/>
            <w:vAlign w:val="bottom"/>
          </w:tcPr>
          <w:p>
            <w:pPr>
              <w:jc w:val="center"/>
              <w:ind w:left="130"/>
              <w:spacing w:after="0"/>
              <w:rPr>
                <w:sz w:val="20"/>
                <w:szCs w:val="20"/>
                <w:color w:val="auto"/>
              </w:rPr>
            </w:pPr>
            <w:r>
              <w:rPr>
                <w:rFonts w:ascii="Arial" w:cs="Arial" w:eastAsia="Arial" w:hAnsi="Arial"/>
                <w:sz w:val="18"/>
                <w:szCs w:val="18"/>
                <w:b w:val="1"/>
                <w:bCs w:val="1"/>
                <w:color w:val="auto"/>
                <w:w w:val="90"/>
              </w:rPr>
              <w:t>Effect if Different Assumptions</w:t>
            </w:r>
          </w:p>
        </w:tc>
      </w:tr>
      <w:tr>
        <w:trPr>
          <w:trHeight w:val="241"/>
        </w:trPr>
        <w:tc>
          <w:tcPr>
            <w:tcW w:w="2460" w:type="dxa"/>
            <w:vAlign w:val="bottom"/>
            <w:tcBorders>
              <w:bottom w:val="single" w:sz="8" w:color="auto"/>
            </w:tcBorders>
          </w:tcPr>
          <w:p>
            <w:pPr>
              <w:ind w:left="860"/>
              <w:spacing w:after="0"/>
              <w:rPr>
                <w:sz w:val="20"/>
                <w:szCs w:val="20"/>
                <w:color w:val="auto"/>
              </w:rPr>
            </w:pPr>
            <w:r>
              <w:rPr>
                <w:rFonts w:ascii="Arial" w:cs="Arial" w:eastAsia="Arial" w:hAnsi="Arial"/>
                <w:sz w:val="18"/>
                <w:szCs w:val="18"/>
                <w:b w:val="1"/>
                <w:bCs w:val="1"/>
                <w:color w:val="auto"/>
              </w:rPr>
              <w:t>Description</w:t>
            </w:r>
          </w:p>
        </w:tc>
        <w:tc>
          <w:tcPr>
            <w:tcW w:w="3680" w:type="dxa"/>
            <w:vAlign w:val="bottom"/>
            <w:tcBorders>
              <w:bottom w:val="single" w:sz="8" w:color="auto"/>
            </w:tcBorders>
          </w:tcPr>
          <w:p>
            <w:pPr>
              <w:ind w:left="700"/>
              <w:spacing w:after="0"/>
              <w:rPr>
                <w:sz w:val="20"/>
                <w:szCs w:val="20"/>
                <w:color w:val="auto"/>
              </w:rPr>
            </w:pPr>
            <w:r>
              <w:rPr>
                <w:rFonts w:ascii="Arial" w:cs="Arial" w:eastAsia="Arial" w:hAnsi="Arial"/>
                <w:sz w:val="18"/>
                <w:szCs w:val="18"/>
                <w:b w:val="1"/>
                <w:bCs w:val="1"/>
                <w:color w:val="auto"/>
              </w:rPr>
              <w:t>Assumptions &amp; Approach Utilized</w:t>
            </w:r>
          </w:p>
        </w:tc>
        <w:tc>
          <w:tcPr>
            <w:tcW w:w="286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86"/>
              </w:rPr>
              <w:t>Used</w:t>
            </w:r>
          </w:p>
        </w:tc>
      </w:tr>
    </w:tbl>
    <w:p>
      <w:pPr>
        <w:spacing w:after="0" w:line="200" w:lineRule="exact"/>
        <w:rPr>
          <w:sz w:val="20"/>
          <w:szCs w:val="20"/>
          <w:color w:val="auto"/>
        </w:rPr>
      </w:pPr>
    </w:p>
    <w:p>
      <w:pPr>
        <w:sectPr>
          <w:pgSz w:w="11900" w:h="16838" w:orient="portrait"/>
          <w:cols w:equalWidth="0" w:num="1">
            <w:col w:w="10220"/>
          </w:cols>
          <w:pgMar w:left="240" w:top="405" w:right="1439" w:bottom="1440" w:gutter="0" w:footer="0" w:header="0"/>
        </w:sectPr>
      </w:pPr>
    </w:p>
    <w:p>
      <w:pPr>
        <w:spacing w:after="0" w:line="38"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Fair Value Measurements</w:t>
      </w:r>
    </w:p>
    <w:p>
      <w:pPr>
        <w:spacing w:after="0" w:line="40" w:lineRule="exact"/>
        <w:rPr>
          <w:sz w:val="20"/>
          <w:szCs w:val="20"/>
          <w:color w:val="auto"/>
        </w:rPr>
      </w:pPr>
    </w:p>
    <w:p>
      <w:pPr>
        <w:ind w:left="1240"/>
        <w:spacing w:after="0" w:line="269" w:lineRule="auto"/>
        <w:rPr>
          <w:sz w:val="20"/>
          <w:szCs w:val="20"/>
          <w:color w:val="auto"/>
        </w:rPr>
      </w:pPr>
      <w:r>
        <w:rPr>
          <w:rFonts w:ascii="Arial" w:cs="Arial" w:eastAsia="Arial" w:hAnsi="Arial"/>
          <w:sz w:val="17"/>
          <w:szCs w:val="17"/>
          <w:color w:val="auto"/>
        </w:rPr>
        <w:t xml:space="preserve">SFAS 157, </w:t>
      </w:r>
      <w:r>
        <w:rPr>
          <w:rFonts w:ascii="Arial" w:cs="Arial" w:eastAsia="Arial" w:hAnsi="Arial"/>
          <w:sz w:val="17"/>
          <w:szCs w:val="17"/>
          <w:i w:val="1"/>
          <w:iCs w:val="1"/>
          <w:color w:val="auto"/>
        </w:rPr>
        <w:t>Fair Value</w:t>
      </w:r>
      <w:r>
        <w:rPr>
          <w:rFonts w:ascii="Arial" w:cs="Arial" w:eastAsia="Arial" w:hAnsi="Arial"/>
          <w:sz w:val="17"/>
          <w:szCs w:val="17"/>
          <w:color w:val="auto"/>
        </w:rPr>
        <w:t xml:space="preserve"> </w:t>
      </w:r>
      <w:r>
        <w:rPr>
          <w:rFonts w:ascii="Arial" w:cs="Arial" w:eastAsia="Arial" w:hAnsi="Arial"/>
          <w:sz w:val="17"/>
          <w:szCs w:val="17"/>
          <w:i w:val="1"/>
          <w:iCs w:val="1"/>
          <w:color w:val="auto"/>
        </w:rPr>
        <w:t>Measurements</w:t>
      </w:r>
      <w:r>
        <w:rPr>
          <w:rFonts w:ascii="Arial" w:cs="Arial" w:eastAsia="Arial" w:hAnsi="Arial"/>
          <w:sz w:val="17"/>
          <w:szCs w:val="17"/>
          <w:color w:val="auto"/>
        </w:rPr>
        <w:t>, was adopted by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in the first quarter of 2007. SFAS 157 defines fair value, establishes criteria to be considered when measuring fair value and expands disclosures about fair value measurements. SFAS 157 does not expand the use of fair value accounting in any new circumstances.</w:t>
      </w:r>
    </w:p>
    <w:p>
      <w:pPr>
        <w:spacing w:after="0" w:line="183" w:lineRule="exact"/>
        <w:rPr>
          <w:sz w:val="20"/>
          <w:szCs w:val="20"/>
          <w:color w:val="auto"/>
        </w:rPr>
      </w:pPr>
    </w:p>
    <w:p>
      <w:pPr>
        <w:ind w:left="1240"/>
        <w:spacing w:after="0" w:line="284" w:lineRule="auto"/>
        <w:rPr>
          <w:sz w:val="20"/>
          <w:szCs w:val="20"/>
          <w:color w:val="auto"/>
        </w:rPr>
      </w:pPr>
      <w:r>
        <w:rPr>
          <w:rFonts w:ascii="Arial" w:cs="Arial" w:eastAsia="Arial" w:hAnsi="Arial"/>
          <w:sz w:val="16"/>
          <w:szCs w:val="16"/>
          <w:color w:val="auto"/>
        </w:rPr>
        <w:t xml:space="preserve">Under Emerging Issues Task Force (EITF) Issue No. 02-3, </w:t>
      </w:r>
      <w:r>
        <w:rPr>
          <w:rFonts w:ascii="Arial" w:cs="Arial" w:eastAsia="Arial" w:hAnsi="Arial"/>
          <w:sz w:val="16"/>
          <w:szCs w:val="16"/>
          <w:i w:val="1"/>
          <w:iCs w:val="1"/>
          <w:color w:val="auto"/>
        </w:rPr>
        <w:t>Issues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Involved in Accounting for Derivative Contracts Held for Trading Purposes and Contracts Involved in Energy Trading and Risk Management Activities </w:t>
      </w:r>
      <w:r>
        <w:rPr>
          <w:rFonts w:ascii="Arial" w:cs="Arial" w:eastAsia="Arial" w:hAnsi="Arial"/>
          <w:sz w:val="16"/>
          <w:szCs w:val="16"/>
          <w:color w:val="auto"/>
        </w:rPr>
        <w:t>(EITF</w:t>
      </w:r>
      <w:r>
        <w:rPr>
          <w:rFonts w:ascii="Arial" w:cs="Arial" w:eastAsia="Arial" w:hAnsi="Arial"/>
          <w:sz w:val="16"/>
          <w:szCs w:val="16"/>
          <w:i w:val="1"/>
          <w:iCs w:val="1"/>
          <w:color w:val="auto"/>
        </w:rPr>
        <w:t xml:space="preserve"> </w:t>
      </w:r>
      <w:r>
        <w:rPr>
          <w:rFonts w:ascii="Arial" w:cs="Arial" w:eastAsia="Arial" w:hAnsi="Arial"/>
          <w:sz w:val="16"/>
          <w:szCs w:val="16"/>
          <w:color w:val="auto"/>
        </w:rPr>
        <w:t>02-3), the transaction price presumption prohibited recognition of a trading profit at inception of a derivative unless the positive fair value of that derivative was substantially based on quoted prices or a valuation process incorporating observable inputs. For transactions that did not meet this criterion at inception, trading profits that had been deferred were recognized in the period that inputs to value the derivative became observable or when the contract performed. SFAS 157 nullified this portion of EITF 02-3.</w:t>
      </w:r>
    </w:p>
    <w:p>
      <w:pPr>
        <w:spacing w:after="0" w:line="20" w:lineRule="exact"/>
        <w:rPr>
          <w:sz w:val="20"/>
          <w:szCs w:val="20"/>
          <w:color w:val="auto"/>
        </w:rPr>
      </w:pPr>
      <w:r>
        <w:rPr>
          <w:sz w:val="20"/>
          <w:szCs w:val="20"/>
          <w:color w:val="auto"/>
        </w:rPr>
        <w:br w:type="column"/>
      </w:r>
    </w:p>
    <w:p>
      <w:pPr>
        <w:spacing w:after="0" w:line="265"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As defined in SFAS 157, fair value is the price that would be received to sell an asset or paid to transfer a liability in an orderly transaction between market participants at the measurement date (exit price). However, as permitted under SFAS 157, the company utilizes a mid-market pricing convention (the mid-point price between bid and ask prices) as a practical expedient for valuing the majority of its assets and liabilities carried at fair value. The company utilizes market data or assumptions that market participants would use in pricing the asset or liability, including assumptions about risk and the risks inherent in the inputs to the valuation technique. These inputs can be readily observable, market corroborated, or generally unobservable. The company primarily applies the market approach for recurring fair value measurements and endeavors to utilize the best available information. Accordingly, the comp any utilizes valuation techniques that maximize the use of observable inputs and minimize the use of unobservable inputs. The company is able to classify fair value balances based on the observability of those inputs. SFAS 157 establishes a fair value hierarchy that prioritizes the inputs used to measure fair value. The hierarchy gives the highest priority to unadjusted quoted prices in active markets for identical assets or liabilities (level 1 measurement) and the lowest priority to unobservable inputs (level 3 measurement). The three levels of the fair value hierarchy defined by SFAS 157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-1812925</wp:posOffset>
            </wp:positionH>
            <wp:positionV relativeFrom="paragraph">
              <wp:posOffset>289560</wp:posOffset>
            </wp:positionV>
            <wp:extent cx="571119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1119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5"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The company's assessment of the significance of a particular input to the fair value measurements requires judgment, and may affect the valuation of fair value assets and liabilities and their placement within the fair value hierarchy levels. Also, for trading contracts, the time between inception and performance of the contract may affect the fair value. The determination of fair value may, therefore, affect the timing of recognition of revenues and net income.</w:t>
      </w:r>
    </w:p>
    <w:p>
      <w:pPr>
        <w:spacing w:after="0" w:line="169"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As a result of adopting SFAS 157, the transition adjustment to beginning retained earnings was a gain of $12 million, net of income tax. Additional information relating to fair value measurement is discussed in Notes 2 and 11 of the Notes to Consolidated Financial Statements.</w:t>
      </w:r>
    </w:p>
    <w:p>
      <w:pPr>
        <w:spacing w:after="0" w:line="2558" w:lineRule="exact"/>
        <w:rPr>
          <w:sz w:val="20"/>
          <w:szCs w:val="20"/>
          <w:color w:val="auto"/>
        </w:rPr>
      </w:pPr>
    </w:p>
    <w:p>
      <w:pPr>
        <w:sectPr>
          <w:pgSz w:w="11900" w:h="16838" w:orient="portrait"/>
          <w:cols w:equalWidth="0" w:num="3">
            <w:col w:w="3780" w:space="300"/>
            <w:col w:w="3260" w:space="260"/>
            <w:col w:w="2620"/>
          </w:cols>
          <w:pgMar w:left="240" w:top="405" w:right="1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0220"/>
          </w:cols>
          <w:pgMar w:left="240" w:top="405" w:right="1439" w:bottom="1440" w:gutter="0" w:footer="0" w:header="0"/>
          <w:type w:val="continuous"/>
        </w:sectPr>
      </w:pPr>
    </w:p>
    <w:bookmarkStart w:id="102" w:name="page103"/>
    <w:bookmarkEnd w:id="102"/>
    <w:tbl>
      <w:tblPr>
        <w:tblLayout w:type="fixed"/>
        <w:tblInd w:w="1220" w:type="dxa"/>
        <w:tblCellMar>
          <w:top w:w="0" w:type="dxa"/>
          <w:left w:w="0" w:type="dxa"/>
          <w:bottom w:w="0" w:type="dxa"/>
          <w:right w:w="0" w:type="dxa"/>
        </w:tblCellMar>
      </w:tblPr>
      <w:tr>
        <w:trPr>
          <w:trHeight w:val="216"/>
        </w:trPr>
        <w:tc>
          <w:tcPr>
            <w:tcW w:w="304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860" w:type="dxa"/>
            <w:vAlign w:val="bottom"/>
          </w:tcPr>
          <w:p>
            <w:pPr>
              <w:jc w:val="center"/>
              <w:ind w:left="130"/>
              <w:spacing w:after="0"/>
              <w:rPr>
                <w:sz w:val="20"/>
                <w:szCs w:val="20"/>
                <w:color w:val="auto"/>
              </w:rPr>
            </w:pPr>
            <w:r>
              <w:rPr>
                <w:rFonts w:ascii="Arial" w:cs="Arial" w:eastAsia="Arial" w:hAnsi="Arial"/>
                <w:sz w:val="18"/>
                <w:szCs w:val="18"/>
                <w:b w:val="1"/>
                <w:bCs w:val="1"/>
                <w:color w:val="auto"/>
                <w:w w:val="90"/>
              </w:rPr>
              <w:t>Effect if Different Assumptions</w:t>
            </w:r>
          </w:p>
        </w:tc>
      </w:tr>
      <w:tr>
        <w:trPr>
          <w:trHeight w:val="241"/>
        </w:trPr>
        <w:tc>
          <w:tcPr>
            <w:tcW w:w="3040" w:type="dxa"/>
            <w:vAlign w:val="bottom"/>
            <w:tcBorders>
              <w:bottom w:val="single" w:sz="8" w:color="auto"/>
            </w:tcBorders>
          </w:tcPr>
          <w:p>
            <w:pPr>
              <w:ind w:left="860"/>
              <w:spacing w:after="0"/>
              <w:rPr>
                <w:sz w:val="20"/>
                <w:szCs w:val="20"/>
                <w:color w:val="auto"/>
              </w:rPr>
            </w:pPr>
            <w:r>
              <w:rPr>
                <w:rFonts w:ascii="Arial" w:cs="Arial" w:eastAsia="Arial" w:hAnsi="Arial"/>
                <w:sz w:val="18"/>
                <w:szCs w:val="18"/>
                <w:b w:val="1"/>
                <w:bCs w:val="1"/>
                <w:color w:val="auto"/>
              </w:rPr>
              <w:t>Description</w:t>
            </w:r>
          </w:p>
        </w:tc>
        <w:tc>
          <w:tcPr>
            <w:tcW w:w="310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Assumptions &amp; Approach Utilized</w:t>
            </w:r>
          </w:p>
        </w:tc>
        <w:tc>
          <w:tcPr>
            <w:tcW w:w="286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86"/>
              </w:rPr>
              <w:t>Used</w:t>
            </w:r>
          </w:p>
        </w:tc>
      </w:tr>
      <w:tr>
        <w:trPr>
          <w:trHeight w:val="473"/>
        </w:trPr>
        <w:tc>
          <w:tcPr>
            <w:tcW w:w="3040" w:type="dxa"/>
            <w:vAlign w:val="bottom"/>
          </w:tcPr>
          <w:p>
            <w:pPr>
              <w:ind w:left="20"/>
              <w:spacing w:after="0"/>
              <w:rPr>
                <w:sz w:val="20"/>
                <w:szCs w:val="20"/>
                <w:color w:val="auto"/>
              </w:rPr>
            </w:pPr>
            <w:r>
              <w:rPr>
                <w:rFonts w:ascii="Arial" w:cs="Arial" w:eastAsia="Arial" w:hAnsi="Arial"/>
                <w:sz w:val="18"/>
                <w:szCs w:val="18"/>
                <w:b w:val="1"/>
                <w:bCs w:val="1"/>
                <w:color w:val="auto"/>
                <w:w w:val="93"/>
              </w:rPr>
              <w:t>Fair Value Measurements (continued)</w:t>
            </w:r>
          </w:p>
        </w:tc>
        <w:tc>
          <w:tcPr>
            <w:tcW w:w="3100" w:type="dxa"/>
            <w:vAlign w:val="bottom"/>
          </w:tcPr>
          <w:p>
            <w:pPr>
              <w:spacing w:after="0"/>
              <w:rPr>
                <w:sz w:val="24"/>
                <w:szCs w:val="24"/>
                <w:color w:val="auto"/>
              </w:rPr>
            </w:pPr>
          </w:p>
        </w:tc>
        <w:tc>
          <w:tcPr>
            <w:tcW w:w="2860" w:type="dxa"/>
            <w:vAlign w:val="bottom"/>
          </w:tcPr>
          <w:p>
            <w:pPr>
              <w:spacing w:after="0"/>
              <w:rPr>
                <w:sz w:val="24"/>
                <w:szCs w:val="24"/>
                <w:color w:val="auto"/>
              </w:rPr>
            </w:pPr>
          </w:p>
        </w:tc>
      </w:tr>
    </w:tbl>
    <w:p>
      <w:pPr>
        <w:spacing w:after="0" w:line="13" w:lineRule="exact"/>
        <w:rPr>
          <w:sz w:val="20"/>
          <w:szCs w:val="20"/>
          <w:color w:val="auto"/>
        </w:rPr>
      </w:pPr>
    </w:p>
    <w:p>
      <w:pPr>
        <w:sectPr>
          <w:pgSz w:w="11900" w:h="16838" w:orient="portrait"/>
          <w:cols w:equalWidth="0" w:num="1">
            <w:col w:w="10220"/>
          </w:cols>
          <w:pgMar w:left="240" w:top="405" w:right="1439" w:bottom="1440" w:gutter="0" w:footer="0" w:header="0"/>
        </w:sectPr>
      </w:pPr>
    </w:p>
    <w:p>
      <w:pPr>
        <w:ind w:left="1240"/>
        <w:spacing w:after="0" w:line="285" w:lineRule="auto"/>
        <w:rPr>
          <w:sz w:val="20"/>
          <w:szCs w:val="20"/>
          <w:color w:val="auto"/>
        </w:rPr>
      </w:pPr>
      <w:r>
        <w:rPr>
          <w:rFonts w:ascii="Arial" w:cs="Arial" w:eastAsia="Arial" w:hAnsi="Arial"/>
          <w:sz w:val="16"/>
          <w:szCs w:val="16"/>
          <w:color w:val="auto"/>
        </w:rPr>
        <w:t>SFAS 157 also: (1) establishes that fair value is based on a hierarchy of inputs into the valuation process (as described in Note 11 of the Notes to Consolidated Financial Statements), (2) clarifies that an issuer's credit standing should be considered when measuring liabilities at fair value, (3) precludes the use of a liquidity or blockage factor discount when measuring instruments traded in an actively quoted market at fair value, and (4) requires costs related to acquiring instruments carried at fair value to be recognized as expense when incurred.</w:t>
      </w:r>
    </w:p>
    <w:p>
      <w:pPr>
        <w:spacing w:after="0" w:line="394" w:lineRule="exact"/>
        <w:rPr>
          <w:sz w:val="20"/>
          <w:szCs w:val="20"/>
          <w:color w:val="auto"/>
        </w:rPr>
      </w:pPr>
    </w:p>
    <w:p>
      <w:pPr>
        <w:ind w:left="1240" w:right="20"/>
        <w:spacing w:after="0" w:line="290" w:lineRule="auto"/>
        <w:rPr>
          <w:sz w:val="20"/>
          <w:szCs w:val="20"/>
          <w:color w:val="auto"/>
        </w:rPr>
      </w:pPr>
      <w:r>
        <w:rPr>
          <w:rFonts w:ascii="Arial" w:cs="Arial" w:eastAsia="Arial" w:hAnsi="Arial"/>
          <w:sz w:val="16"/>
          <w:szCs w:val="16"/>
          <w:color w:val="auto"/>
        </w:rPr>
        <w:t>The following assets and liabilities are recorded at fair value on a recurring basis as of December 31, 2007: (1) derivatives, (2) certain inventories that are the hedged item in a fair value hedge, (3) certain trust assets, and (4) marketable 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Level 1 – Quoted prices are available 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active markets for identical assets 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liabilities as of the reporting date. Active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markets are those in which transactions for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the asset or liability occur in sufficient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frequency and volume to provide pricing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information on an ongoing basis. Level 1</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primarily consists of financial instruments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such as exchange-traded derivatives, listed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equities and U.S. government treasury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securities.</w:t>
      </w:r>
    </w:p>
    <w:p>
      <w:pPr>
        <w:spacing w:after="0" w:line="211" w:lineRule="exact"/>
        <w:rPr>
          <w:sz w:val="20"/>
          <w:szCs w:val="20"/>
          <w:color w:val="auto"/>
        </w:rPr>
      </w:pPr>
    </w:p>
    <w:p>
      <w:pPr>
        <w:ind w:right="2900"/>
        <w:spacing w:after="0" w:line="284" w:lineRule="auto"/>
        <w:rPr>
          <w:sz w:val="20"/>
          <w:szCs w:val="20"/>
          <w:color w:val="auto"/>
        </w:rPr>
      </w:pPr>
      <w:r>
        <w:rPr>
          <w:rFonts w:ascii="Arial" w:cs="Arial" w:eastAsia="Arial" w:hAnsi="Arial"/>
          <w:sz w:val="16"/>
          <w:szCs w:val="16"/>
          <w:color w:val="auto"/>
        </w:rPr>
        <w:t>Level 2 – Pricing inputs are other than quoted prices in active markets included in level 1, which are either directly or indirectly observable as of the reporting date. Level 2 includes those financial instruments that are valued using models or other valuation methodologies. These models are primarily industry-standard models that consider various assumptions, including quoted forward prices for commodities, time value, volatility factors, and current market and contractual prices for the underlying instruments, as well as other relevant economic measures. Substantially all of these assumptions are observable in the marketplace throughout the full term of the instrument, can be derived from observable data or are supported by observable levels at which transactions are executed in the marketplace. Instruments in this category include non-exchange-traded derivatives such as OTC forwards, options and repurchase agreements.</w:t>
      </w:r>
    </w:p>
    <w:p>
      <w:pPr>
        <w:spacing w:after="0" w:line="179" w:lineRule="exact"/>
        <w:rPr>
          <w:sz w:val="20"/>
          <w:szCs w:val="20"/>
          <w:color w:val="auto"/>
        </w:rPr>
      </w:pPr>
    </w:p>
    <w:p>
      <w:pPr>
        <w:ind w:right="2920"/>
        <w:spacing w:after="0" w:line="268" w:lineRule="auto"/>
        <w:rPr>
          <w:sz w:val="20"/>
          <w:szCs w:val="20"/>
          <w:color w:val="auto"/>
        </w:rPr>
      </w:pPr>
      <w:r>
        <w:rPr>
          <w:rFonts w:ascii="Arial" w:cs="Arial" w:eastAsia="Arial" w:hAnsi="Arial"/>
          <w:sz w:val="17"/>
          <w:szCs w:val="17"/>
          <w:color w:val="auto"/>
        </w:rPr>
        <w:t>Level 3 – Pricing inputs include significant inputs that are generally less observable from objective sources. These inputs may be used with internally developed methodologies that result in management’s best estimate of fair value from the perspective of a market participant. Level 3 instruments include those that may be more structured or otherwise tailored to customers’ needs. At each balance sheet date, the company performs an analysis of all instruments subject to SFAS 157 and includes in level 3 all of those whose fair value is based on significant unobservable inputs.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-1812925</wp:posOffset>
            </wp:positionH>
            <wp:positionV relativeFrom="paragraph">
              <wp:posOffset>-2540</wp:posOffset>
            </wp:positionV>
            <wp:extent cx="571119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1119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820" w:space="260"/>
            <w:col w:w="6140"/>
          </w:cols>
          <w:pgMar w:left="240" w:top="405" w:right="1439" w:bottom="1440" w:gutter="0" w:footer="0" w:header="0"/>
          <w:type w:val="continuous"/>
        </w:sect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0220"/>
          </w:cols>
          <w:pgMar w:left="240" w:top="405" w:right="1439" w:bottom="1440" w:gutter="0" w:footer="0" w:header="0"/>
          <w:type w:val="continuous"/>
        </w:sectPr>
      </w:pPr>
    </w:p>
    <w:bookmarkStart w:id="103" w:name="page104"/>
    <w:bookmarkEnd w:id="103"/>
    <w:tbl>
      <w:tblPr>
        <w:tblLayout w:type="fixed"/>
        <w:tblInd w:w="1220" w:type="dxa"/>
        <w:tblCellMar>
          <w:top w:w="0" w:type="dxa"/>
          <w:left w:w="0" w:type="dxa"/>
          <w:bottom w:w="0" w:type="dxa"/>
          <w:right w:w="0" w:type="dxa"/>
        </w:tblCellMar>
      </w:tblPr>
      <w:tr>
        <w:trPr>
          <w:trHeight w:val="216"/>
        </w:trPr>
        <w:tc>
          <w:tcPr>
            <w:tcW w:w="246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860" w:type="dxa"/>
            <w:vAlign w:val="bottom"/>
          </w:tcPr>
          <w:p>
            <w:pPr>
              <w:jc w:val="center"/>
              <w:ind w:left="130"/>
              <w:spacing w:after="0"/>
              <w:rPr>
                <w:sz w:val="20"/>
                <w:szCs w:val="20"/>
                <w:color w:val="auto"/>
              </w:rPr>
            </w:pPr>
            <w:r>
              <w:rPr>
                <w:rFonts w:ascii="Arial" w:cs="Arial" w:eastAsia="Arial" w:hAnsi="Arial"/>
                <w:sz w:val="18"/>
                <w:szCs w:val="18"/>
                <w:b w:val="1"/>
                <w:bCs w:val="1"/>
                <w:color w:val="auto"/>
                <w:w w:val="90"/>
              </w:rPr>
              <w:t>Effect if Different Assumptions</w:t>
            </w:r>
          </w:p>
        </w:tc>
      </w:tr>
      <w:tr>
        <w:trPr>
          <w:trHeight w:val="241"/>
        </w:trPr>
        <w:tc>
          <w:tcPr>
            <w:tcW w:w="2460" w:type="dxa"/>
            <w:vAlign w:val="bottom"/>
            <w:tcBorders>
              <w:bottom w:val="single" w:sz="8" w:color="auto"/>
            </w:tcBorders>
          </w:tcPr>
          <w:p>
            <w:pPr>
              <w:ind w:left="860"/>
              <w:spacing w:after="0"/>
              <w:rPr>
                <w:sz w:val="20"/>
                <w:szCs w:val="20"/>
                <w:color w:val="auto"/>
              </w:rPr>
            </w:pPr>
            <w:r>
              <w:rPr>
                <w:rFonts w:ascii="Arial" w:cs="Arial" w:eastAsia="Arial" w:hAnsi="Arial"/>
                <w:sz w:val="18"/>
                <w:szCs w:val="18"/>
                <w:b w:val="1"/>
                <w:bCs w:val="1"/>
                <w:color w:val="auto"/>
              </w:rPr>
              <w:t>Description</w:t>
            </w:r>
          </w:p>
        </w:tc>
        <w:tc>
          <w:tcPr>
            <w:tcW w:w="3680" w:type="dxa"/>
            <w:vAlign w:val="bottom"/>
            <w:tcBorders>
              <w:bottom w:val="single" w:sz="8" w:color="auto"/>
            </w:tcBorders>
          </w:tcPr>
          <w:p>
            <w:pPr>
              <w:ind w:left="700"/>
              <w:spacing w:after="0"/>
              <w:rPr>
                <w:sz w:val="20"/>
                <w:szCs w:val="20"/>
                <w:color w:val="auto"/>
              </w:rPr>
            </w:pPr>
            <w:r>
              <w:rPr>
                <w:rFonts w:ascii="Arial" w:cs="Arial" w:eastAsia="Arial" w:hAnsi="Arial"/>
                <w:sz w:val="18"/>
                <w:szCs w:val="18"/>
                <w:b w:val="1"/>
                <w:bCs w:val="1"/>
                <w:color w:val="auto"/>
              </w:rPr>
              <w:t>Assumptions &amp; Approach Utilized</w:t>
            </w:r>
          </w:p>
        </w:tc>
        <w:tc>
          <w:tcPr>
            <w:tcW w:w="286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86"/>
              </w:rPr>
              <w:t>Used</w:t>
            </w:r>
          </w:p>
        </w:tc>
      </w:tr>
    </w:tbl>
    <w:p>
      <w:pPr>
        <w:spacing w:after="0" w:line="200" w:lineRule="exact"/>
        <w:rPr>
          <w:sz w:val="20"/>
          <w:szCs w:val="20"/>
          <w:color w:val="auto"/>
        </w:rPr>
      </w:pPr>
    </w:p>
    <w:p>
      <w:pPr>
        <w:sectPr>
          <w:pgSz w:w="11900" w:h="16838" w:orient="portrait"/>
          <w:cols w:equalWidth="0" w:num="1">
            <w:col w:w="10220"/>
          </w:cols>
          <w:pgMar w:left="240" w:top="648" w:right="1439" w:bottom="1440" w:gutter="0" w:footer="0" w:header="0"/>
        </w:sectPr>
      </w:pPr>
    </w:p>
    <w:p>
      <w:pPr>
        <w:spacing w:after="0" w:line="38"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Derivatives</w:t>
      </w:r>
    </w:p>
    <w:p>
      <w:pPr>
        <w:spacing w:after="0" w:line="40" w:lineRule="exact"/>
        <w:rPr>
          <w:sz w:val="20"/>
          <w:szCs w:val="20"/>
          <w:color w:val="auto"/>
        </w:rPr>
      </w:pPr>
    </w:p>
    <w:p>
      <w:pPr>
        <w:ind w:left="1240"/>
        <w:spacing w:after="0" w:line="255" w:lineRule="auto"/>
        <w:rPr>
          <w:sz w:val="20"/>
          <w:szCs w:val="20"/>
          <w:color w:val="auto"/>
        </w:rPr>
      </w:pPr>
      <w:r>
        <w:rPr>
          <w:rFonts w:ascii="Arial" w:cs="Arial" w:eastAsia="Arial" w:hAnsi="Arial"/>
          <w:sz w:val="18"/>
          <w:szCs w:val="18"/>
          <w:color w:val="auto"/>
        </w:rPr>
        <w:t xml:space="preserve">SFAS 133, </w:t>
      </w:r>
      <w:r>
        <w:rPr>
          <w:rFonts w:ascii="Arial" w:cs="Arial" w:eastAsia="Arial" w:hAnsi="Arial"/>
          <w:sz w:val="18"/>
          <w:szCs w:val="18"/>
          <w:i w:val="1"/>
          <w:iCs w:val="1"/>
          <w:color w:val="auto"/>
        </w:rPr>
        <w:t>Accounting for</w:t>
      </w:r>
      <w:r>
        <w:rPr>
          <w:rFonts w:ascii="Arial" w:cs="Arial" w:eastAsia="Arial" w:hAnsi="Arial"/>
          <w:sz w:val="18"/>
          <w:szCs w:val="18"/>
          <w:color w:val="auto"/>
        </w:rPr>
        <w:t xml:space="preserve"> </w:t>
      </w:r>
      <w:r>
        <w:rPr>
          <w:rFonts w:ascii="Arial" w:cs="Arial" w:eastAsia="Arial" w:hAnsi="Arial"/>
          <w:sz w:val="18"/>
          <w:szCs w:val="18"/>
          <w:i w:val="1"/>
          <w:iCs w:val="1"/>
          <w:color w:val="auto"/>
        </w:rPr>
        <w:t>Derivative Instruments and Hedging Activities</w:t>
      </w:r>
      <w:r>
        <w:rPr>
          <w:rFonts w:ascii="Arial" w:cs="Arial" w:eastAsia="Arial" w:hAnsi="Arial"/>
          <w:sz w:val="18"/>
          <w:szCs w:val="18"/>
          <w:color w:val="auto"/>
        </w:rPr>
        <w:t>, as amended,</w:t>
      </w:r>
      <w:r>
        <w:rPr>
          <w:rFonts w:ascii="Arial" w:cs="Arial" w:eastAsia="Arial" w:hAnsi="Arial"/>
          <w:sz w:val="18"/>
          <w:szCs w:val="18"/>
          <w:i w:val="1"/>
          <w:iCs w:val="1"/>
          <w:color w:val="auto"/>
        </w:rPr>
        <w:t xml:space="preserve"> </w:t>
      </w:r>
      <w:r>
        <w:rPr>
          <w:rFonts w:ascii="Arial" w:cs="Arial" w:eastAsia="Arial" w:hAnsi="Arial"/>
          <w:sz w:val="18"/>
          <w:szCs w:val="18"/>
          <w:color w:val="auto"/>
        </w:rPr>
        <w:t>and related EITF Issues govern the accounting requirements for derivatives.</w:t>
      </w:r>
    </w:p>
    <w:p>
      <w:pPr>
        <w:spacing w:after="0" w:line="20" w:lineRule="exact"/>
        <w:rPr>
          <w:sz w:val="20"/>
          <w:szCs w:val="20"/>
          <w:color w:val="auto"/>
        </w:rPr>
      </w:pPr>
      <w:r>
        <w:rPr>
          <w:sz w:val="20"/>
          <w:szCs w:val="20"/>
          <w:color w:val="auto"/>
        </w:rPr>
        <w:br w:type="column"/>
      </w:r>
    </w:p>
    <w:p>
      <w:pPr>
        <w:spacing w:after="0" w:line="26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company values derivative instruments at fair value on the balance sheet. Depending on the purpose for the contract and the applicability of hedge accounting, the impact of instruments may be offset in earnings, on the balance sheet, or in other comprehensive income. The company also utilizes normal purchase or sale accounting for certain contracts. As discussed elsewhere herein, the company uses exchange quotations or other third-party pricing to estimate fair values whenever possible. When no such data is available, it uses internally developed models and other techniques. The assumed collectibility of receivables considers the aging of the receivables, the credit-worthiness of customers and the enforceability of contracts, where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-1812925</wp:posOffset>
            </wp:positionH>
            <wp:positionV relativeFrom="paragraph">
              <wp:posOffset>676275</wp:posOffset>
            </wp:positionV>
            <wp:extent cx="571119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1119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5"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The application of hedge accounting to certain derivatives and the normal purchase or sale election is made on a contract-by-contract basis. Utilizing hedge accounting or the normal purchase or sale election in a different manner could materially impact reported results of operations. The effects of derivatives' accounting have a significant impact on the balance sheet of Sempra Commodities and the Sempra Utilities but have no significant effect on the Sempra Utilities' results of operations because of the principles contained in SFAS 71 and the application of the normal purchase or sale election. Details of the company's financial instruments are discussed in Note 11 of the Notes to Consolidated Financial Statements.</w:t>
      </w:r>
    </w:p>
    <w:p>
      <w:pPr>
        <w:spacing w:after="0" w:line="200" w:lineRule="exact"/>
        <w:rPr>
          <w:sz w:val="20"/>
          <w:szCs w:val="20"/>
          <w:color w:val="auto"/>
        </w:rPr>
      </w:pPr>
    </w:p>
    <w:p>
      <w:pPr>
        <w:sectPr>
          <w:pgSz w:w="11900" w:h="16838" w:orient="portrait"/>
          <w:cols w:equalWidth="0" w:num="3">
            <w:col w:w="3740" w:space="340"/>
            <w:col w:w="3240" w:space="280"/>
            <w:col w:w="2620"/>
          </w:cols>
          <w:pgMar w:left="240" w:top="648" w:right="1439" w:bottom="1440" w:gutter="0" w:footer="0" w:header="0"/>
          <w:type w:val="continuous"/>
        </w:sectPr>
      </w:pPr>
    </w:p>
    <w:p>
      <w:pPr>
        <w:spacing w:after="0" w:line="260" w:lineRule="exact"/>
        <w:rPr>
          <w:sz w:val="20"/>
          <w:szCs w:val="20"/>
          <w:color w:val="auto"/>
        </w:rPr>
      </w:pPr>
    </w:p>
    <w:p>
      <w:pPr>
        <w:ind w:left="1240"/>
        <w:spacing w:after="0"/>
        <w:rPr>
          <w:sz w:val="20"/>
          <w:szCs w:val="20"/>
          <w:color w:val="auto"/>
        </w:rPr>
      </w:pPr>
      <w:r>
        <w:rPr>
          <w:rFonts w:ascii="Arial" w:cs="Arial" w:eastAsia="Arial" w:hAnsi="Arial"/>
          <w:sz w:val="16"/>
          <w:szCs w:val="16"/>
          <w:b w:val="1"/>
          <w:bCs w:val="1"/>
          <w:color w:val="auto"/>
        </w:rPr>
        <w:t>Impairments of Long-Lived Assets</w:t>
      </w:r>
    </w:p>
    <w:p>
      <w:pPr>
        <w:sectPr>
          <w:pgSz w:w="11900" w:h="16838" w:orient="portrait"/>
          <w:cols w:equalWidth="0" w:num="1">
            <w:col w:w="10220"/>
          </w:cols>
          <w:pgMar w:left="240" w:top="648" w:right="1439" w:bottom="1440" w:gutter="0" w:footer="0" w:header="0"/>
          <w:type w:val="continuous"/>
        </w:sectPr>
      </w:pPr>
    </w:p>
    <w:p>
      <w:pPr>
        <w:spacing w:after="0" w:line="63" w:lineRule="exact"/>
        <w:rPr>
          <w:sz w:val="20"/>
          <w:szCs w:val="20"/>
          <w:color w:val="auto"/>
        </w:rPr>
      </w:pPr>
    </w:p>
    <w:p>
      <w:pPr>
        <w:ind w:left="1240"/>
        <w:spacing w:after="0" w:line="269" w:lineRule="auto"/>
        <w:rPr>
          <w:sz w:val="20"/>
          <w:szCs w:val="20"/>
          <w:color w:val="auto"/>
        </w:rPr>
      </w:pPr>
      <w:r>
        <w:rPr>
          <w:rFonts w:ascii="Arial" w:cs="Arial" w:eastAsia="Arial" w:hAnsi="Arial"/>
          <w:sz w:val="17"/>
          <w:szCs w:val="17"/>
          <w:color w:val="auto"/>
        </w:rPr>
        <w:t xml:space="preserve">SFAS 144, </w:t>
      </w:r>
      <w:r>
        <w:rPr>
          <w:rFonts w:ascii="Arial" w:cs="Arial" w:eastAsia="Arial" w:hAnsi="Arial"/>
          <w:sz w:val="17"/>
          <w:szCs w:val="17"/>
          <w:i w:val="1"/>
          <w:iCs w:val="1"/>
          <w:color w:val="auto"/>
        </w:rPr>
        <w:t>Accounting for the</w:t>
      </w:r>
      <w:r>
        <w:rPr>
          <w:rFonts w:ascii="Arial" w:cs="Arial" w:eastAsia="Arial" w:hAnsi="Arial"/>
          <w:sz w:val="17"/>
          <w:szCs w:val="17"/>
          <w:color w:val="auto"/>
        </w:rPr>
        <w:t xml:space="preserve"> </w:t>
      </w:r>
      <w:r>
        <w:rPr>
          <w:rFonts w:ascii="Arial" w:cs="Arial" w:eastAsia="Arial" w:hAnsi="Arial"/>
          <w:sz w:val="17"/>
          <w:szCs w:val="17"/>
          <w:i w:val="1"/>
          <w:iCs w:val="1"/>
          <w:color w:val="auto"/>
        </w:rPr>
        <w:t>Impairment or Disposal of Long-Lived Assets</w:t>
      </w:r>
      <w:r>
        <w:rPr>
          <w:rFonts w:ascii="Arial" w:cs="Arial" w:eastAsia="Arial" w:hAnsi="Arial"/>
          <w:sz w:val="17"/>
          <w:szCs w:val="17"/>
          <w:color w:val="auto"/>
        </w:rPr>
        <w:t>, requires that long-lived assets be evaluated as necessary for impairment whenever events or changes in circumstances indicate that the carrying amount of any such assets may not be recoverable or the assets meet the held-for-sale criteria under SFAS 144.</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Whenever events or changes in circumstances indicate that an asset's carrying amount may not be recoverable, the company applies SFAS 157 to estimate the fair value of its long-lived assets and may consider data from multiple market participants and multiple valuation methods. Judgment is exercised to estimate the future cash flows and the useful lives of long-lived assets and to determine management's intent to use the assets. Management's intent to use or dispose of assets is subject to re-evaluation and can change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-1812925</wp:posOffset>
            </wp:positionH>
            <wp:positionV relativeFrom="paragraph">
              <wp:posOffset>403225</wp:posOffset>
            </wp:positionV>
            <wp:extent cx="571119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1119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In connection with the evaluation of long-lived assets in accordance with the requirements of SFAS 144, the fair value of the asset can vary if different estimates and assumptions are used in the applied valuation techniques. Discussion of impairment of long-lived assets is included in Note 1 of the Notes to Consolidated Financial Statements. In addition, details of the company's impairment loss relating to Bangor Gas and Frontier Energy are discussed in Note 5 of the Notes to Consolidated Financial Statements.</w:t>
      </w:r>
    </w:p>
    <w:p>
      <w:pPr>
        <w:spacing w:after="0" w:line="200" w:lineRule="exact"/>
        <w:rPr>
          <w:sz w:val="20"/>
          <w:szCs w:val="20"/>
          <w:color w:val="auto"/>
        </w:rPr>
      </w:pPr>
    </w:p>
    <w:p>
      <w:pPr>
        <w:sectPr>
          <w:pgSz w:w="11900" w:h="16838" w:orient="portrait"/>
          <w:cols w:equalWidth="0" w:num="3">
            <w:col w:w="3800" w:space="280"/>
            <w:col w:w="3220" w:space="300"/>
            <w:col w:w="2620"/>
          </w:cols>
          <w:pgMar w:left="240" w:top="648" w:right="1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0220"/>
          </w:cols>
          <w:pgMar w:left="240" w:top="648" w:right="1439" w:bottom="1440" w:gutter="0" w:footer="0" w:header="0"/>
          <w:type w:val="continuous"/>
        </w:sectPr>
      </w:pPr>
    </w:p>
    <w:bookmarkStart w:id="104" w:name="page105"/>
    <w:bookmarkEnd w:id="104"/>
    <w:tbl>
      <w:tblPr>
        <w:tblLayout w:type="fixed"/>
        <w:tblInd w:w="1220" w:type="dxa"/>
        <w:tblCellMar>
          <w:top w:w="0" w:type="dxa"/>
          <w:left w:w="0" w:type="dxa"/>
          <w:bottom w:w="0" w:type="dxa"/>
          <w:right w:w="0" w:type="dxa"/>
        </w:tblCellMar>
      </w:tblPr>
      <w:tr>
        <w:trPr>
          <w:trHeight w:val="216"/>
        </w:trPr>
        <w:tc>
          <w:tcPr>
            <w:tcW w:w="246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860" w:type="dxa"/>
            <w:vAlign w:val="bottom"/>
          </w:tcPr>
          <w:p>
            <w:pPr>
              <w:jc w:val="center"/>
              <w:ind w:left="130"/>
              <w:spacing w:after="0"/>
              <w:rPr>
                <w:sz w:val="20"/>
                <w:szCs w:val="20"/>
                <w:color w:val="auto"/>
              </w:rPr>
            </w:pPr>
            <w:r>
              <w:rPr>
                <w:rFonts w:ascii="Arial" w:cs="Arial" w:eastAsia="Arial" w:hAnsi="Arial"/>
                <w:sz w:val="18"/>
                <w:szCs w:val="18"/>
                <w:b w:val="1"/>
                <w:bCs w:val="1"/>
                <w:color w:val="auto"/>
                <w:w w:val="90"/>
              </w:rPr>
              <w:t>Effect if Different Assumptions</w:t>
            </w:r>
          </w:p>
        </w:tc>
      </w:tr>
      <w:tr>
        <w:trPr>
          <w:trHeight w:val="241"/>
        </w:trPr>
        <w:tc>
          <w:tcPr>
            <w:tcW w:w="2460" w:type="dxa"/>
            <w:vAlign w:val="bottom"/>
            <w:tcBorders>
              <w:bottom w:val="single" w:sz="8" w:color="auto"/>
            </w:tcBorders>
          </w:tcPr>
          <w:p>
            <w:pPr>
              <w:ind w:left="860"/>
              <w:spacing w:after="0"/>
              <w:rPr>
                <w:sz w:val="20"/>
                <w:szCs w:val="20"/>
                <w:color w:val="auto"/>
              </w:rPr>
            </w:pPr>
            <w:r>
              <w:rPr>
                <w:rFonts w:ascii="Arial" w:cs="Arial" w:eastAsia="Arial" w:hAnsi="Arial"/>
                <w:sz w:val="18"/>
                <w:szCs w:val="18"/>
                <w:b w:val="1"/>
                <w:bCs w:val="1"/>
                <w:color w:val="auto"/>
              </w:rPr>
              <w:t>Description</w:t>
            </w:r>
          </w:p>
        </w:tc>
        <w:tc>
          <w:tcPr>
            <w:tcW w:w="3680" w:type="dxa"/>
            <w:vAlign w:val="bottom"/>
            <w:tcBorders>
              <w:bottom w:val="single" w:sz="8" w:color="auto"/>
            </w:tcBorders>
          </w:tcPr>
          <w:p>
            <w:pPr>
              <w:ind w:left="700"/>
              <w:spacing w:after="0"/>
              <w:rPr>
                <w:sz w:val="20"/>
                <w:szCs w:val="20"/>
                <w:color w:val="auto"/>
              </w:rPr>
            </w:pPr>
            <w:r>
              <w:rPr>
                <w:rFonts w:ascii="Arial" w:cs="Arial" w:eastAsia="Arial" w:hAnsi="Arial"/>
                <w:sz w:val="18"/>
                <w:szCs w:val="18"/>
                <w:b w:val="1"/>
                <w:bCs w:val="1"/>
                <w:color w:val="auto"/>
              </w:rPr>
              <w:t>Assumptions &amp; Approach Utilized</w:t>
            </w:r>
          </w:p>
        </w:tc>
        <w:tc>
          <w:tcPr>
            <w:tcW w:w="286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86"/>
              </w:rPr>
              <w:t>Used</w:t>
            </w:r>
          </w:p>
        </w:tc>
      </w:tr>
    </w:tbl>
    <w:p>
      <w:pPr>
        <w:spacing w:after="0" w:line="238"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Impairments of Equity Method Investments</w:t>
      </w:r>
    </w:p>
    <w:p>
      <w:pPr>
        <w:sectPr>
          <w:pgSz w:w="11900" w:h="16838" w:orient="portrait"/>
          <w:cols w:equalWidth="0" w:num="1">
            <w:col w:w="10220"/>
          </w:cols>
          <w:pgMar w:left="240" w:top="405" w:right="1439" w:bottom="1440" w:gutter="0" w:footer="0" w:header="0"/>
        </w:sectPr>
      </w:pPr>
    </w:p>
    <w:p>
      <w:pPr>
        <w:spacing w:after="0" w:line="40" w:lineRule="exact"/>
        <w:rPr>
          <w:sz w:val="20"/>
          <w:szCs w:val="20"/>
          <w:color w:val="auto"/>
        </w:rPr>
      </w:pPr>
    </w:p>
    <w:p>
      <w:pPr>
        <w:ind w:left="1240"/>
        <w:spacing w:after="0" w:line="267" w:lineRule="auto"/>
        <w:rPr>
          <w:sz w:val="20"/>
          <w:szCs w:val="20"/>
          <w:color w:val="auto"/>
        </w:rPr>
      </w:pPr>
      <w:r>
        <w:rPr>
          <w:rFonts w:ascii="Arial" w:cs="Arial" w:eastAsia="Arial" w:hAnsi="Arial"/>
          <w:sz w:val="17"/>
          <w:szCs w:val="17"/>
          <w:color w:val="auto"/>
        </w:rPr>
        <w:t xml:space="preserve">Under Accounting Principles Board Opinion (APBO) 18, </w:t>
      </w:r>
      <w:r>
        <w:rPr>
          <w:rFonts w:ascii="Arial" w:cs="Arial" w:eastAsia="Arial" w:hAnsi="Arial"/>
          <w:sz w:val="17"/>
          <w:szCs w:val="17"/>
          <w:i w:val="1"/>
          <w:iCs w:val="1"/>
          <w:color w:val="auto"/>
        </w:rPr>
        <w:t>The Equity</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Method of Accounting for Investments in Common Stock, </w:t>
      </w:r>
      <w:r>
        <w:rPr>
          <w:rFonts w:ascii="Arial" w:cs="Arial" w:eastAsia="Arial" w:hAnsi="Arial"/>
          <w:sz w:val="17"/>
          <w:szCs w:val="17"/>
          <w:color w:val="auto"/>
        </w:rPr>
        <w:t xml:space="preserve">investments are generally accounted for under the equity method when the company has an ownership interest of 20 to 50 percent. For the investments the company accounts for under the equity method of accounting, the premium or excess cost over underlying fair value of net assets is referred to as equity method goodwill. In accordance with APBO 18, as amended by SFAS 142, </w:t>
      </w:r>
      <w:r>
        <w:rPr>
          <w:rFonts w:ascii="Arial" w:cs="Arial" w:eastAsia="Arial" w:hAnsi="Arial"/>
          <w:sz w:val="17"/>
          <w:szCs w:val="17"/>
          <w:i w:val="1"/>
          <w:iCs w:val="1"/>
          <w:color w:val="auto"/>
        </w:rPr>
        <w:t>Goodwill and Other</w:t>
      </w:r>
      <w:r>
        <w:rPr>
          <w:rFonts w:ascii="Arial" w:cs="Arial" w:eastAsia="Arial" w:hAnsi="Arial"/>
          <w:sz w:val="17"/>
          <w:szCs w:val="17"/>
          <w:color w:val="auto"/>
        </w:rPr>
        <w:t xml:space="preserve"> </w:t>
      </w:r>
      <w:r>
        <w:rPr>
          <w:rFonts w:ascii="Arial" w:cs="Arial" w:eastAsia="Arial" w:hAnsi="Arial"/>
          <w:sz w:val="17"/>
          <w:szCs w:val="17"/>
          <w:i w:val="1"/>
          <w:iCs w:val="1"/>
          <w:color w:val="auto"/>
        </w:rPr>
        <w:t>Intangible Assets</w:t>
      </w:r>
      <w:r>
        <w:rPr>
          <w:rFonts w:ascii="Arial" w:cs="Arial" w:eastAsia="Arial" w:hAnsi="Arial"/>
          <w:sz w:val="17"/>
          <w:szCs w:val="17"/>
          <w:color w:val="auto"/>
        </w:rPr>
        <w:t>, equity method</w:t>
      </w:r>
      <w:r>
        <w:rPr>
          <w:rFonts w:ascii="Arial" w:cs="Arial" w:eastAsia="Arial" w:hAnsi="Arial"/>
          <w:sz w:val="17"/>
          <w:szCs w:val="17"/>
          <w:i w:val="1"/>
          <w:iCs w:val="1"/>
          <w:color w:val="auto"/>
        </w:rPr>
        <w:t xml:space="preserve"> </w:t>
      </w:r>
      <w:r>
        <w:rPr>
          <w:rFonts w:ascii="Arial" w:cs="Arial" w:eastAsia="Arial" w:hAnsi="Arial"/>
          <w:sz w:val="17"/>
          <w:szCs w:val="17"/>
          <w:color w:val="auto"/>
        </w:rPr>
        <w:t>goodwill is not subject to amortization but rather to impairment testing, as is the equity method investment overall.</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The company considers whether the fair value of each equity investment as a whole, not the underlying net assets, has declined and whether that decline is other than temporary. Therefore, in addition to the annual impairment test of goodwill, the company re-evaluates the amount at which the company carries the excess of cost over fair value of net assets accounted for under the equity method. Unamortized goodwill related to unconsolidated subsidiaries is discussed in Note 1 of the Notes to Consolidated Financial Statements.</w:t>
      </w:r>
    </w:p>
    <w:p>
      <w:pPr>
        <w:spacing w:after="0" w:line="17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When calculating estimates of fair or realizable values, the company considers whether it intends to sell the investment or continue to hold it. For certain investments that will be held, critical assumptions include the availability and costs of natural gas, competing fuels (primarily propane) and electricity.</w:t>
      </w:r>
    </w:p>
    <w:p>
      <w:pPr>
        <w:spacing w:after="0" w:line="17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Sempra Pipelines &amp; Storage owns non-controlling interests in two Argentine natural gas distribution companies. In view of continuing disputes with the Argentine government, the company decided to sell its investments in these companies in December 2006. The company recorded a noncash impairment charge to net income of $221 million in the fourth quarter of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-1812925</wp:posOffset>
            </wp:positionH>
            <wp:positionV relativeFrom="paragraph">
              <wp:posOffset>-12700</wp:posOffset>
            </wp:positionV>
            <wp:extent cx="571119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1119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company estimated the fair value of its Argentine investments using primarily an income-based valuation approach, including risk assumptions for similar investments. The risk assumptions applied by other market participants to value the investments could vary significantly, which could result in a different impairment charge, and ultimately additional loss or gain upon sale. Further details are discussed in Note 4 of the Notes to Consolidated Financial Statements.</w:t>
      </w:r>
    </w:p>
    <w:p>
      <w:pPr>
        <w:spacing w:after="0" w:line="4094" w:lineRule="exact"/>
        <w:rPr>
          <w:sz w:val="20"/>
          <w:szCs w:val="20"/>
          <w:color w:val="auto"/>
        </w:rPr>
      </w:pPr>
    </w:p>
    <w:p>
      <w:pPr>
        <w:sectPr>
          <w:pgSz w:w="11900" w:h="16838" w:orient="portrait"/>
          <w:cols w:equalWidth="0" w:num="3">
            <w:col w:w="3820" w:space="260"/>
            <w:col w:w="3240" w:space="280"/>
            <w:col w:w="2620"/>
          </w:cols>
          <w:pgMar w:left="240" w:top="405" w:right="1439" w:bottom="1440" w:gutter="0" w:footer="0" w:header="0"/>
          <w:type w:val="continuous"/>
        </w:sect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0220"/>
          </w:cols>
          <w:pgMar w:left="240" w:top="405" w:right="1439" w:bottom="1440" w:gutter="0" w:footer="0" w:header="0"/>
          <w:type w:val="continuous"/>
        </w:sectPr>
      </w:pPr>
    </w:p>
    <w:bookmarkStart w:id="105" w:name="page106"/>
    <w:bookmarkEnd w:id="105"/>
    <w:tbl>
      <w:tblPr>
        <w:tblLayout w:type="fixed"/>
        <w:tblInd w:w="1220" w:type="dxa"/>
        <w:tblCellMar>
          <w:top w:w="0" w:type="dxa"/>
          <w:left w:w="0" w:type="dxa"/>
          <w:bottom w:w="0" w:type="dxa"/>
          <w:right w:w="0" w:type="dxa"/>
        </w:tblCellMar>
      </w:tblPr>
      <w:tr>
        <w:trPr>
          <w:trHeight w:val="216"/>
        </w:trPr>
        <w:tc>
          <w:tcPr>
            <w:tcW w:w="246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860" w:type="dxa"/>
            <w:vAlign w:val="bottom"/>
          </w:tcPr>
          <w:p>
            <w:pPr>
              <w:jc w:val="center"/>
              <w:ind w:left="130"/>
              <w:spacing w:after="0"/>
              <w:rPr>
                <w:sz w:val="20"/>
                <w:szCs w:val="20"/>
                <w:color w:val="auto"/>
              </w:rPr>
            </w:pPr>
            <w:r>
              <w:rPr>
                <w:rFonts w:ascii="Arial" w:cs="Arial" w:eastAsia="Arial" w:hAnsi="Arial"/>
                <w:sz w:val="18"/>
                <w:szCs w:val="18"/>
                <w:b w:val="1"/>
                <w:bCs w:val="1"/>
                <w:color w:val="auto"/>
                <w:w w:val="90"/>
              </w:rPr>
              <w:t>Effect if Different Assumptions</w:t>
            </w:r>
          </w:p>
        </w:tc>
      </w:tr>
      <w:tr>
        <w:trPr>
          <w:trHeight w:val="241"/>
        </w:trPr>
        <w:tc>
          <w:tcPr>
            <w:tcW w:w="2460" w:type="dxa"/>
            <w:vAlign w:val="bottom"/>
            <w:tcBorders>
              <w:bottom w:val="single" w:sz="8" w:color="auto"/>
            </w:tcBorders>
          </w:tcPr>
          <w:p>
            <w:pPr>
              <w:ind w:left="860"/>
              <w:spacing w:after="0"/>
              <w:rPr>
                <w:sz w:val="20"/>
                <w:szCs w:val="20"/>
                <w:color w:val="auto"/>
              </w:rPr>
            </w:pPr>
            <w:r>
              <w:rPr>
                <w:rFonts w:ascii="Arial" w:cs="Arial" w:eastAsia="Arial" w:hAnsi="Arial"/>
                <w:sz w:val="18"/>
                <w:szCs w:val="18"/>
                <w:b w:val="1"/>
                <w:bCs w:val="1"/>
                <w:color w:val="auto"/>
              </w:rPr>
              <w:t>Description</w:t>
            </w:r>
          </w:p>
        </w:tc>
        <w:tc>
          <w:tcPr>
            <w:tcW w:w="3680" w:type="dxa"/>
            <w:vAlign w:val="bottom"/>
            <w:tcBorders>
              <w:bottom w:val="single" w:sz="8" w:color="auto"/>
            </w:tcBorders>
          </w:tcPr>
          <w:p>
            <w:pPr>
              <w:ind w:left="700"/>
              <w:spacing w:after="0"/>
              <w:rPr>
                <w:sz w:val="20"/>
                <w:szCs w:val="20"/>
                <w:color w:val="auto"/>
              </w:rPr>
            </w:pPr>
            <w:r>
              <w:rPr>
                <w:rFonts w:ascii="Arial" w:cs="Arial" w:eastAsia="Arial" w:hAnsi="Arial"/>
                <w:sz w:val="18"/>
                <w:szCs w:val="18"/>
                <w:b w:val="1"/>
                <w:bCs w:val="1"/>
                <w:color w:val="auto"/>
              </w:rPr>
              <w:t>Assumptions &amp; Approach Utilized</w:t>
            </w:r>
          </w:p>
        </w:tc>
        <w:tc>
          <w:tcPr>
            <w:tcW w:w="286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86"/>
              </w:rPr>
              <w:t>Used</w:t>
            </w:r>
          </w:p>
        </w:tc>
      </w:tr>
    </w:tbl>
    <w:p>
      <w:pPr>
        <w:spacing w:after="0" w:line="200" w:lineRule="exact"/>
        <w:rPr>
          <w:sz w:val="20"/>
          <w:szCs w:val="20"/>
          <w:color w:val="auto"/>
        </w:rPr>
      </w:pPr>
    </w:p>
    <w:p>
      <w:pPr>
        <w:sectPr>
          <w:pgSz w:w="11900" w:h="16838" w:orient="portrait"/>
          <w:cols w:equalWidth="0" w:num="1">
            <w:col w:w="10300"/>
          </w:cols>
          <w:pgMar w:left="240" w:top="405" w:right="1359" w:bottom="1440" w:gutter="0" w:footer="0" w:header="0"/>
        </w:sectPr>
      </w:pPr>
    </w:p>
    <w:p>
      <w:pPr>
        <w:spacing w:after="0" w:line="38"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Defined Benefit Plans</w:t>
      </w:r>
    </w:p>
    <w:p>
      <w:pPr>
        <w:spacing w:after="0" w:line="40" w:lineRule="exact"/>
        <w:rPr>
          <w:sz w:val="20"/>
          <w:szCs w:val="20"/>
          <w:color w:val="auto"/>
        </w:rPr>
      </w:pPr>
    </w:p>
    <w:p>
      <w:pPr>
        <w:ind w:left="1240"/>
        <w:spacing w:after="0" w:line="285" w:lineRule="auto"/>
        <w:rPr>
          <w:sz w:val="20"/>
          <w:szCs w:val="20"/>
          <w:color w:val="auto"/>
        </w:rPr>
      </w:pPr>
      <w:r>
        <w:rPr>
          <w:rFonts w:ascii="Arial" w:cs="Arial" w:eastAsia="Arial" w:hAnsi="Arial"/>
          <w:sz w:val="16"/>
          <w:szCs w:val="16"/>
          <w:color w:val="auto"/>
        </w:rPr>
        <w:t xml:space="preserve">The company has funded and unfunded noncontributory defined benefit plans that together cover substantially all of its employees. The company also has other postretirement benefit plans covering substantially all of its employees. The company accounts for its pension and other postretirement benefit plans under SFAS 87, </w:t>
      </w:r>
      <w:r>
        <w:rPr>
          <w:rFonts w:ascii="Arial" w:cs="Arial" w:eastAsia="Arial" w:hAnsi="Arial"/>
          <w:sz w:val="16"/>
          <w:szCs w:val="16"/>
          <w:i w:val="1"/>
          <w:iCs w:val="1"/>
          <w:color w:val="auto"/>
        </w:rPr>
        <w:t>Employers' Accounting</w:t>
      </w:r>
      <w:r>
        <w:rPr>
          <w:rFonts w:ascii="Arial" w:cs="Arial" w:eastAsia="Arial" w:hAnsi="Arial"/>
          <w:sz w:val="16"/>
          <w:szCs w:val="16"/>
          <w:color w:val="auto"/>
        </w:rPr>
        <w:t xml:space="preserve"> </w:t>
      </w:r>
      <w:r>
        <w:rPr>
          <w:rFonts w:ascii="Arial" w:cs="Arial" w:eastAsia="Arial" w:hAnsi="Arial"/>
          <w:sz w:val="16"/>
          <w:szCs w:val="16"/>
          <w:i w:val="1"/>
          <w:iCs w:val="1"/>
          <w:color w:val="auto"/>
        </w:rPr>
        <w:t>for Pensions</w:t>
      </w:r>
      <w:r>
        <w:rPr>
          <w:rFonts w:ascii="Arial" w:cs="Arial" w:eastAsia="Arial" w:hAnsi="Arial"/>
          <w:sz w:val="16"/>
          <w:szCs w:val="16"/>
          <w:color w:val="auto"/>
        </w:rPr>
        <w:t>, and SFAS 106,</w:t>
      </w:r>
      <w:r>
        <w:rPr>
          <w:rFonts w:ascii="Arial" w:cs="Arial" w:eastAsia="Arial" w:hAnsi="Arial"/>
          <w:sz w:val="16"/>
          <w:szCs w:val="16"/>
          <w:i w:val="1"/>
          <w:iCs w:val="1"/>
          <w:color w:val="auto"/>
        </w:rPr>
        <w:t xml:space="preserve"> Employers' Accounting for Postretirement Benefits Other than Pensions</w:t>
      </w:r>
      <w:r>
        <w:rPr>
          <w:rFonts w:ascii="Arial" w:cs="Arial" w:eastAsia="Arial" w:hAnsi="Arial"/>
          <w:sz w:val="16"/>
          <w:szCs w:val="16"/>
          <w:color w:val="auto"/>
        </w:rPr>
        <w:t>, respectively, and under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SFAS 158, </w:t>
      </w:r>
      <w:r>
        <w:rPr>
          <w:rFonts w:ascii="Arial" w:cs="Arial" w:eastAsia="Arial" w:hAnsi="Arial"/>
          <w:sz w:val="16"/>
          <w:szCs w:val="16"/>
          <w:i w:val="1"/>
          <w:iCs w:val="1"/>
          <w:color w:val="auto"/>
        </w:rPr>
        <w:t>Employers' Accounting</w:t>
      </w:r>
      <w:r>
        <w:rPr>
          <w:rFonts w:ascii="Arial" w:cs="Arial" w:eastAsia="Arial" w:hAnsi="Arial"/>
          <w:sz w:val="16"/>
          <w:szCs w:val="16"/>
          <w:color w:val="auto"/>
        </w:rPr>
        <w:t xml:space="preserve"> </w:t>
      </w:r>
      <w:r>
        <w:rPr>
          <w:rFonts w:ascii="Arial" w:cs="Arial" w:eastAsia="Arial" w:hAnsi="Arial"/>
          <w:sz w:val="16"/>
          <w:szCs w:val="16"/>
          <w:i w:val="1"/>
          <w:iCs w:val="1"/>
          <w:color w:val="auto"/>
        </w:rPr>
        <w:t>for Defined Benefit Pension and Other Postretirement Plans, an amendment of FASB Statements No. 87, 88, 106, and 132(R)</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6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measurement of the company's pension and postretirement obligations, costs and liabilities is dependent on a variety of assumptions used by the company. The critical assumptions used in developing the required estimates include the following key factors: discount rate, expected return on plan assets, health-care cost trend rates, mortality rates, rate of compensation increases and payout elections (lump sum or annuity). These assumptions are reviewed on an annual basis prior to the beginning of each year and updated when appropriate. The company considers current market conditions, including interest rates, in making these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-1812925</wp:posOffset>
            </wp:positionH>
            <wp:positionV relativeFrom="paragraph">
              <wp:posOffset>3698240</wp:posOffset>
            </wp:positionV>
            <wp:extent cx="571119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1119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5" w:lineRule="exact"/>
        <w:rPr>
          <w:sz w:val="20"/>
          <w:szCs w:val="20"/>
          <w:color w:val="auto"/>
        </w:rPr>
      </w:pPr>
    </w:p>
    <w:p>
      <w:pPr>
        <w:ind w:right="100"/>
        <w:spacing w:after="0" w:line="304" w:lineRule="auto"/>
        <w:rPr>
          <w:sz w:val="20"/>
          <w:szCs w:val="20"/>
          <w:color w:val="auto"/>
        </w:rPr>
      </w:pPr>
      <w:r>
        <w:rPr>
          <w:rFonts w:ascii="Arial" w:cs="Arial" w:eastAsia="Arial" w:hAnsi="Arial"/>
          <w:sz w:val="15"/>
          <w:szCs w:val="15"/>
          <w:color w:val="auto"/>
        </w:rPr>
        <w:t>The actuarial assumptions used may differ materially from actual results due to changing market and economic conditions, higher or lower withdrawal rates, longer or shorter participant life spans, or more or fewer lump sum versus annuity payout elections made by plan participants. These differences, other than as related to the Sempra Utilities plans, where rate recovery offsets any effects of the assumptions on net income, may result in a significant impact to the amount of pension and postretirement benefit expense recorded. For the remaining plans, the approximate annual effect on net income of a 0.25 percent point increase or decrease in the assumed discount rate or the assumed rate of return on plan assets would be less than $1 million in each case.</w:t>
      </w:r>
    </w:p>
    <w:p>
      <w:pPr>
        <w:spacing w:after="0" w:line="379" w:lineRule="exact"/>
        <w:rPr>
          <w:sz w:val="20"/>
          <w:szCs w:val="20"/>
          <w:color w:val="auto"/>
        </w:rPr>
      </w:pPr>
    </w:p>
    <w:p>
      <w:pPr>
        <w:ind w:right="120"/>
        <w:spacing w:after="0" w:line="268" w:lineRule="auto"/>
        <w:rPr>
          <w:sz w:val="20"/>
          <w:szCs w:val="20"/>
          <w:color w:val="auto"/>
        </w:rPr>
      </w:pPr>
      <w:r>
        <w:rPr>
          <w:rFonts w:ascii="Arial" w:cs="Arial" w:eastAsia="Arial" w:hAnsi="Arial"/>
          <w:sz w:val="17"/>
          <w:szCs w:val="17"/>
          <w:color w:val="auto"/>
        </w:rPr>
        <w:t>The health-care cost trend rate is 9.48 percent for 2007. Increasing the health-care cost trend rate by one percentage point would increase the accumulated obligation for postretirement benefit plans by $93 million and total service and interest cost by $11 million. Decreasing the health-care cost trend rate by one percentage point would decrease the accumulated obligation by $77 million and total service and interest cost by $9 million.</w:t>
      </w:r>
    </w:p>
    <w:p>
      <w:pPr>
        <w:spacing w:after="0" w:line="185"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Additional discussion of pension plan assumptions is included in Note 9 of the Notes to Consolidated Financial Statements.</w:t>
      </w:r>
    </w:p>
    <w:p>
      <w:pPr>
        <w:spacing w:after="0" w:line="200" w:lineRule="exact"/>
        <w:rPr>
          <w:sz w:val="20"/>
          <w:szCs w:val="20"/>
          <w:color w:val="auto"/>
        </w:rPr>
      </w:pPr>
    </w:p>
    <w:p>
      <w:pPr>
        <w:sectPr>
          <w:pgSz w:w="11900" w:h="16838" w:orient="portrait"/>
          <w:cols w:equalWidth="0" w:num="3">
            <w:col w:w="3820" w:space="260"/>
            <w:col w:w="3240" w:space="280"/>
            <w:col w:w="2700"/>
          </w:cols>
          <w:pgMar w:left="240" w:top="405" w:right="1359" w:bottom="1440" w:gutter="0" w:footer="0" w:header="0"/>
          <w:type w:val="continuous"/>
        </w:sectPr>
      </w:pPr>
    </w:p>
    <w:p>
      <w:pPr>
        <w:spacing w:after="0" w:line="6"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Choices among alternative accounting policies that are material to the company's financial statements and information concerning significant estimates have been discussed with the audit committee of the board of directors.</w:t>
      </w:r>
    </w:p>
    <w:p>
      <w:pPr>
        <w:spacing w:after="0" w:line="204" w:lineRule="exact"/>
        <w:rPr>
          <w:sz w:val="20"/>
          <w:szCs w:val="20"/>
          <w:color w:val="auto"/>
        </w:rPr>
      </w:pPr>
    </w:p>
    <w:p>
      <w:pPr>
        <w:ind w:right="280"/>
        <w:spacing w:after="0" w:line="260" w:lineRule="auto"/>
        <w:rPr>
          <w:sz w:val="20"/>
          <w:szCs w:val="20"/>
          <w:color w:val="auto"/>
        </w:rPr>
      </w:pPr>
      <w:r>
        <w:rPr>
          <w:rFonts w:ascii="Arial" w:cs="Arial" w:eastAsia="Arial" w:hAnsi="Arial"/>
          <w:sz w:val="20"/>
          <w:szCs w:val="20"/>
          <w:color w:val="auto"/>
        </w:rPr>
        <w:t>Key noncash performance indicators for the company's subsidiaries include number of customers and natural gas volumes and electricity sold for the Sempra Utilities, and plant availability factors</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color w:val="auto"/>
        </w:rPr>
        <w:t>38</w:t>
      </w:r>
    </w:p>
    <w:p>
      <w:pPr>
        <w:sectPr>
          <w:pgSz w:w="11900" w:h="16838" w:orient="portrait"/>
          <w:cols w:equalWidth="0" w:num="1">
            <w:col w:w="10300"/>
          </w:cols>
          <w:pgMar w:left="240" w:top="405" w:right="1359" w:bottom="1440" w:gutter="0" w:footer="0" w:header="0"/>
          <w:type w:val="continuous"/>
        </w:sectPr>
      </w:pPr>
    </w:p>
    <w:bookmarkStart w:id="106" w:name="page107"/>
    <w:bookmarkEnd w:id="106"/>
    <w:p>
      <w:pPr>
        <w:ind w:right="20"/>
        <w:spacing w:after="0" w:line="274" w:lineRule="auto"/>
        <w:rPr>
          <w:sz w:val="20"/>
          <w:szCs w:val="20"/>
          <w:color w:val="auto"/>
        </w:rPr>
      </w:pPr>
      <w:r>
        <w:rPr>
          <w:rFonts w:ascii="Arial" w:cs="Arial" w:eastAsia="Arial" w:hAnsi="Arial"/>
          <w:sz w:val="18"/>
          <w:szCs w:val="18"/>
          <w:color w:val="auto"/>
        </w:rPr>
        <w:t>at Sempra Generation's generating plants. For competitive reasons, Sempra Generation does not disclose its plant availability factors. The Sempra Utilities information is provided in "Overview" and "Results of Operations." Sempra Commodities does not use noncash performance factors. Its key indicators are profit margins by product line and by geographic area. The table under "Business Unit Results– Sempra Commodities" provides this information for Sempra Commodities. As of December 31, 2007, Sempra Pipelines &amp; Storage's only consolidated operations are in Mexico. The natural gas distribution utility that operates in three separate areas in Mexico had a customer count of 95,600 and sales volume of 51 million cubic feet per day in 2007, which is comparable to amounts in 2006. The pipeline system in Mexico had contracted capacity of 450 million cubic feet per day in 2007 and 2006.</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NEW ACCOUNTING STANDARDS</w:t>
      </w:r>
    </w:p>
    <w:p>
      <w:pPr>
        <w:spacing w:after="0" w:line="249"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Relevant pronouncements that have recently become effective and have had or may have a significant effect on the company's financial statements are described in Note 2 of the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0"/>
          <w:szCs w:val="20"/>
          <w:color w:val="auto"/>
        </w:rPr>
        <w:t>39</w:t>
      </w:r>
    </w:p>
    <w:p>
      <w:pPr>
        <w:sectPr>
          <w:pgSz w:w="11900" w:h="16838" w:orient="portrait"/>
          <w:cols w:equalWidth="0" w:num="1">
            <w:col w:w="10740"/>
          </w:cols>
          <w:pgMar w:left="240" w:top="122" w:right="919" w:bottom="1440" w:gutter="0" w:footer="0" w:header="0"/>
        </w:sectPr>
      </w:pPr>
    </w:p>
    <w:bookmarkStart w:id="107" w:name="page108"/>
    <w:bookmarkEnd w:id="107"/>
    <w:p>
      <w:pPr>
        <w:jc w:val="center"/>
        <w:ind w:right="-19"/>
        <w:spacing w:after="0"/>
        <w:rPr>
          <w:sz w:val="20"/>
          <w:szCs w:val="20"/>
          <w:color w:val="auto"/>
        </w:rPr>
      </w:pPr>
      <w:r>
        <w:rPr>
          <w:rFonts w:ascii="Arial" w:cs="Arial" w:eastAsia="Arial" w:hAnsi="Arial"/>
          <w:sz w:val="20"/>
          <w:szCs w:val="20"/>
          <w:color w:val="auto"/>
        </w:rPr>
        <w:t>INFORMATION REGARDING FORWARD-LOOKING STATEMENTS</w:t>
      </w:r>
    </w:p>
    <w:p>
      <w:pPr>
        <w:spacing w:after="0" w:line="243"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This Annual Report contains statements that are not historical fact and constitute forward-looking statements within the meaning of the Private Securities Litigation Reform Act of 1995. The words "estimates," "believes," "expects," "anticipates," "plans," "intends," "may," "could," "would" and "should" or similar expressions, or discussions of strategy or of plans are intended to identify forward-looking statements. Forward-looking statements are not guarantees of performance. They involve risks, uncertainties and assumptions. Future results may differ materially from those expressed in these forward-looking statements.</w:t>
      </w:r>
    </w:p>
    <w:p>
      <w:pPr>
        <w:spacing w:after="0" w:line="222" w:lineRule="exact"/>
        <w:rPr>
          <w:sz w:val="20"/>
          <w:szCs w:val="20"/>
          <w:color w:val="auto"/>
        </w:rPr>
      </w:pPr>
    </w:p>
    <w:p>
      <w:pPr>
        <w:ind w:right="40"/>
        <w:spacing w:after="0" w:line="270" w:lineRule="auto"/>
        <w:rPr>
          <w:sz w:val="20"/>
          <w:szCs w:val="20"/>
          <w:color w:val="auto"/>
        </w:rPr>
      </w:pPr>
      <w:r>
        <w:rPr>
          <w:rFonts w:ascii="Arial" w:cs="Arial" w:eastAsia="Arial" w:hAnsi="Arial"/>
          <w:sz w:val="18"/>
          <w:szCs w:val="18"/>
          <w:color w:val="auto"/>
        </w:rPr>
        <w:t>Forward-looking statements are necessarily based upon various assumptions involving judgments with respect to the future and other risks, including, among others, local, regional, national and international economic, competitive, political, legislative and regulatory conditions and developments; actions by the California Public Utilities Commission, the California State Legislature, the California Department of Water Resources, the Federal Energy Regulatory Commission, the Federal Reserve Board, the U.K. Financial Services Authority and other regulatory bodies in the United States and other countries; capital markets conditions, inflation rates, interest rates and exchange rates; energy and trading markets, including the timing and extent of changes in commodity prices; the availability of electric power, natural gas and liquefied natural gas; weather conditions and conservation efforts; war and terrorist attacks; business, regulatory , environmental and legal decisions and requirements; the status of deregulation of retail natural gas and electricity delivery; the timing and success of business development efforts; the resolution of litigation; and other uncertainties, all of which are difficult to predict and many of which are beyond the control of the company. Readers are cautioned not to rely unduly on any forward-looking statements and are urged to review and consider carefully the risks, uncertainties and other factors which affect the company's business described in this report and other reports filed by the company from time to time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0"/>
          <w:szCs w:val="20"/>
          <w:color w:val="auto"/>
        </w:rPr>
        <w:t>40</w:t>
      </w:r>
    </w:p>
    <w:p>
      <w:pPr>
        <w:sectPr>
          <w:pgSz w:w="11900" w:h="16838" w:orient="portrait"/>
          <w:cols w:equalWidth="0" w:num="1">
            <w:col w:w="11320"/>
          </w:cols>
          <w:pgMar w:left="240" w:top="852" w:right="339" w:bottom="1440" w:gutter="0" w:footer="0" w:header="0"/>
        </w:sectPr>
      </w:pPr>
    </w:p>
    <w:bookmarkStart w:id="108" w:name="page109"/>
    <w:bookmarkEnd w:id="108"/>
    <w:p>
      <w:pPr>
        <w:ind w:left="2060"/>
        <w:spacing w:after="0"/>
        <w:rPr>
          <w:sz w:val="20"/>
          <w:szCs w:val="20"/>
          <w:color w:val="auto"/>
        </w:rPr>
      </w:pPr>
      <w:r>
        <w:rPr>
          <w:rFonts w:ascii="Arial" w:cs="Arial" w:eastAsia="Arial" w:hAnsi="Arial"/>
          <w:sz w:val="20"/>
          <w:szCs w:val="20"/>
          <w:b w:val="1"/>
          <w:bCs w:val="1"/>
          <w:color w:val="auto"/>
        </w:rPr>
        <w:t>QUARTERLY COMMON STOCK DATA</w:t>
      </w:r>
    </w:p>
    <w:p>
      <w:pPr>
        <w:spacing w:after="0" w:line="278" w:lineRule="exact"/>
        <w:rPr>
          <w:sz w:val="20"/>
          <w:szCs w:val="20"/>
          <w:color w:val="auto"/>
        </w:rPr>
      </w:pPr>
    </w:p>
    <w:tbl>
      <w:tblPr>
        <w:tblLayout w:type="fixed"/>
        <w:tblInd w:w="2040" w:type="dxa"/>
        <w:tblCellMar>
          <w:top w:w="0" w:type="dxa"/>
          <w:left w:w="0" w:type="dxa"/>
          <w:bottom w:w="0" w:type="dxa"/>
          <w:right w:w="0" w:type="dxa"/>
        </w:tblCellMar>
      </w:tblPr>
      <w:tr>
        <w:trPr>
          <w:trHeight w:val="216"/>
        </w:trPr>
        <w:tc>
          <w:tcPr>
            <w:tcW w:w="1260" w:type="dxa"/>
            <w:vAlign w:val="bottom"/>
          </w:tcPr>
          <w:p>
            <w:pPr>
              <w:spacing w:after="0"/>
              <w:rPr>
                <w:sz w:val="18"/>
                <w:szCs w:val="18"/>
                <w:color w:val="auto"/>
              </w:rPr>
            </w:pPr>
          </w:p>
        </w:tc>
        <w:tc>
          <w:tcPr>
            <w:tcW w:w="1280" w:type="dxa"/>
            <w:vAlign w:val="bottom"/>
          </w:tcPr>
          <w:p>
            <w:pPr>
              <w:ind w:left="280"/>
              <w:spacing w:after="0"/>
              <w:rPr>
                <w:sz w:val="20"/>
                <w:szCs w:val="20"/>
                <w:color w:val="auto"/>
              </w:rPr>
            </w:pPr>
            <w:r>
              <w:rPr>
                <w:rFonts w:ascii="Arial" w:cs="Arial" w:eastAsia="Arial" w:hAnsi="Arial"/>
                <w:sz w:val="18"/>
                <w:szCs w:val="18"/>
                <w:color w:val="auto"/>
              </w:rPr>
              <w:t>First</w:t>
            </w:r>
          </w:p>
        </w:tc>
        <w:tc>
          <w:tcPr>
            <w:tcW w:w="1480" w:type="dxa"/>
            <w:vAlign w:val="bottom"/>
          </w:tcPr>
          <w:p>
            <w:pPr>
              <w:ind w:left="440"/>
              <w:spacing w:after="0"/>
              <w:rPr>
                <w:sz w:val="20"/>
                <w:szCs w:val="20"/>
                <w:color w:val="auto"/>
              </w:rPr>
            </w:pPr>
            <w:r>
              <w:rPr>
                <w:rFonts w:ascii="Arial" w:cs="Arial" w:eastAsia="Arial" w:hAnsi="Arial"/>
                <w:sz w:val="18"/>
                <w:szCs w:val="18"/>
                <w:color w:val="auto"/>
              </w:rPr>
              <w:t>Second</w:t>
            </w:r>
          </w:p>
        </w:tc>
        <w:tc>
          <w:tcPr>
            <w:tcW w:w="1540" w:type="dxa"/>
            <w:vAlign w:val="bottom"/>
          </w:tcPr>
          <w:p>
            <w:pPr>
              <w:ind w:left="500"/>
              <w:spacing w:after="0"/>
              <w:rPr>
                <w:sz w:val="20"/>
                <w:szCs w:val="20"/>
                <w:color w:val="auto"/>
              </w:rPr>
            </w:pPr>
            <w:r>
              <w:rPr>
                <w:rFonts w:ascii="Arial" w:cs="Arial" w:eastAsia="Arial" w:hAnsi="Arial"/>
                <w:sz w:val="18"/>
                <w:szCs w:val="18"/>
                <w:color w:val="auto"/>
              </w:rPr>
              <w:t>Third</w:t>
            </w:r>
          </w:p>
        </w:tc>
        <w:tc>
          <w:tcPr>
            <w:tcW w:w="1780" w:type="dxa"/>
            <w:vAlign w:val="bottom"/>
          </w:tcPr>
          <w:p>
            <w:pPr>
              <w:ind w:left="520"/>
              <w:spacing w:after="0"/>
              <w:rPr>
                <w:sz w:val="20"/>
                <w:szCs w:val="20"/>
                <w:color w:val="auto"/>
              </w:rPr>
            </w:pPr>
            <w:r>
              <w:rPr>
                <w:rFonts w:ascii="Arial" w:cs="Arial" w:eastAsia="Arial" w:hAnsi="Arial"/>
                <w:sz w:val="18"/>
                <w:szCs w:val="18"/>
                <w:color w:val="auto"/>
              </w:rPr>
              <w:t>Fourth</w:t>
            </w:r>
          </w:p>
        </w:tc>
      </w:tr>
      <w:tr>
        <w:trPr>
          <w:trHeight w:val="237"/>
        </w:trPr>
        <w:tc>
          <w:tcPr>
            <w:tcW w:w="1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Quarter</w:t>
            </w:r>
          </w:p>
        </w:tc>
        <w:tc>
          <w:tcPr>
            <w:tcW w:w="148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Quarter</w:t>
            </w:r>
          </w:p>
        </w:tc>
        <w:tc>
          <w:tcPr>
            <w:tcW w:w="154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Quarter</w:t>
            </w:r>
          </w:p>
        </w:tc>
        <w:tc>
          <w:tcPr>
            <w:tcW w:w="178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Quarter</w:t>
            </w:r>
          </w:p>
        </w:tc>
      </w:tr>
      <w:tr>
        <w:trPr>
          <w:trHeight w:val="230"/>
        </w:trPr>
        <w:tc>
          <w:tcPr>
            <w:tcW w:w="1260" w:type="dxa"/>
            <w:vAlign w:val="bottom"/>
          </w:tcPr>
          <w:p>
            <w:pPr>
              <w:ind w:left="20"/>
              <w:spacing w:after="0"/>
              <w:rPr>
                <w:sz w:val="20"/>
                <w:szCs w:val="20"/>
                <w:color w:val="auto"/>
              </w:rPr>
            </w:pPr>
            <w:r>
              <w:rPr>
                <w:rFonts w:ascii="Arial" w:cs="Arial" w:eastAsia="Arial" w:hAnsi="Arial"/>
                <w:sz w:val="18"/>
                <w:szCs w:val="18"/>
                <w:color w:val="auto"/>
              </w:rPr>
              <w:t>2007</w:t>
            </w:r>
          </w:p>
        </w:tc>
        <w:tc>
          <w:tcPr>
            <w:tcW w:w="12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242"/>
        </w:trPr>
        <w:tc>
          <w:tcPr>
            <w:tcW w:w="1260" w:type="dxa"/>
            <w:vAlign w:val="bottom"/>
          </w:tcPr>
          <w:p>
            <w:pPr>
              <w:ind w:left="20"/>
              <w:spacing w:after="0"/>
              <w:rPr>
                <w:sz w:val="20"/>
                <w:szCs w:val="20"/>
                <w:color w:val="auto"/>
              </w:rPr>
            </w:pPr>
            <w:r>
              <w:rPr>
                <w:rFonts w:ascii="Arial" w:cs="Arial" w:eastAsia="Arial" w:hAnsi="Arial"/>
                <w:sz w:val="18"/>
                <w:szCs w:val="18"/>
                <w:color w:val="auto"/>
              </w:rPr>
              <w:t>Market price</w:t>
            </w:r>
          </w:p>
        </w:tc>
        <w:tc>
          <w:tcPr>
            <w:tcW w:w="12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780" w:type="dxa"/>
            <w:vAlign w:val="bottom"/>
          </w:tcPr>
          <w:p>
            <w:pPr>
              <w:spacing w:after="0"/>
              <w:rPr>
                <w:sz w:val="21"/>
                <w:szCs w:val="21"/>
                <w:color w:val="auto"/>
              </w:rPr>
            </w:pPr>
          </w:p>
        </w:tc>
      </w:tr>
      <w:tr>
        <w:trPr>
          <w:trHeight w:val="243"/>
        </w:trPr>
        <w:tc>
          <w:tcPr>
            <w:tcW w:w="1260" w:type="dxa"/>
            <w:vAlign w:val="bottom"/>
          </w:tcPr>
          <w:p>
            <w:pPr>
              <w:ind w:left="620"/>
              <w:spacing w:after="0"/>
              <w:rPr>
                <w:sz w:val="20"/>
                <w:szCs w:val="20"/>
                <w:color w:val="auto"/>
              </w:rPr>
            </w:pPr>
            <w:r>
              <w:rPr>
                <w:rFonts w:ascii="Arial" w:cs="Arial" w:eastAsia="Arial" w:hAnsi="Arial"/>
                <w:sz w:val="18"/>
                <w:szCs w:val="18"/>
                <w:color w:val="auto"/>
              </w:rPr>
              <w:t>High</w:t>
            </w:r>
          </w:p>
        </w:tc>
        <w:tc>
          <w:tcPr>
            <w:tcW w:w="1280" w:type="dxa"/>
            <w:vAlign w:val="bottom"/>
          </w:tcPr>
          <w:p>
            <w:pPr>
              <w:ind w:left="280"/>
              <w:spacing w:after="0"/>
              <w:rPr>
                <w:sz w:val="20"/>
                <w:szCs w:val="20"/>
                <w:color w:val="auto"/>
              </w:rPr>
            </w:pPr>
            <w:r>
              <w:rPr>
                <w:rFonts w:ascii="Arial" w:cs="Arial" w:eastAsia="Arial" w:hAnsi="Arial"/>
                <w:sz w:val="18"/>
                <w:szCs w:val="18"/>
                <w:color w:val="auto"/>
              </w:rPr>
              <w:t>$63.03</w:t>
            </w:r>
          </w:p>
        </w:tc>
        <w:tc>
          <w:tcPr>
            <w:tcW w:w="1480" w:type="dxa"/>
            <w:vAlign w:val="bottom"/>
          </w:tcPr>
          <w:p>
            <w:pPr>
              <w:ind w:left="440"/>
              <w:spacing w:after="0"/>
              <w:rPr>
                <w:sz w:val="20"/>
                <w:szCs w:val="20"/>
                <w:color w:val="auto"/>
              </w:rPr>
            </w:pPr>
            <w:r>
              <w:rPr>
                <w:rFonts w:ascii="Arial" w:cs="Arial" w:eastAsia="Arial" w:hAnsi="Arial"/>
                <w:sz w:val="18"/>
                <w:szCs w:val="18"/>
                <w:color w:val="auto"/>
              </w:rPr>
              <w:t>$66.38</w:t>
            </w:r>
          </w:p>
        </w:tc>
        <w:tc>
          <w:tcPr>
            <w:tcW w:w="1540" w:type="dxa"/>
            <w:vAlign w:val="bottom"/>
          </w:tcPr>
          <w:p>
            <w:pPr>
              <w:ind w:left="500"/>
              <w:spacing w:after="0"/>
              <w:rPr>
                <w:sz w:val="20"/>
                <w:szCs w:val="20"/>
                <w:color w:val="auto"/>
              </w:rPr>
            </w:pPr>
            <w:r>
              <w:rPr>
                <w:rFonts w:ascii="Arial" w:cs="Arial" w:eastAsia="Arial" w:hAnsi="Arial"/>
                <w:sz w:val="18"/>
                <w:szCs w:val="18"/>
                <w:color w:val="auto"/>
              </w:rPr>
              <w:t>$62.25</w:t>
            </w:r>
          </w:p>
        </w:tc>
        <w:tc>
          <w:tcPr>
            <w:tcW w:w="1780" w:type="dxa"/>
            <w:vAlign w:val="bottom"/>
          </w:tcPr>
          <w:p>
            <w:pPr>
              <w:ind w:left="520"/>
              <w:spacing w:after="0"/>
              <w:rPr>
                <w:sz w:val="20"/>
                <w:szCs w:val="20"/>
                <w:color w:val="auto"/>
              </w:rPr>
            </w:pPr>
            <w:r>
              <w:rPr>
                <w:rFonts w:ascii="Arial" w:cs="Arial" w:eastAsia="Arial" w:hAnsi="Arial"/>
                <w:sz w:val="18"/>
                <w:szCs w:val="18"/>
                <w:color w:val="auto"/>
              </w:rPr>
              <w:t>$64.21</w:t>
            </w:r>
          </w:p>
        </w:tc>
      </w:tr>
      <w:tr>
        <w:trPr>
          <w:trHeight w:val="243"/>
        </w:trPr>
        <w:tc>
          <w:tcPr>
            <w:tcW w:w="1260" w:type="dxa"/>
            <w:vAlign w:val="bottom"/>
          </w:tcPr>
          <w:p>
            <w:pPr>
              <w:ind w:left="620"/>
              <w:spacing w:after="0"/>
              <w:rPr>
                <w:sz w:val="20"/>
                <w:szCs w:val="20"/>
                <w:color w:val="auto"/>
              </w:rPr>
            </w:pPr>
            <w:r>
              <w:rPr>
                <w:rFonts w:ascii="Arial" w:cs="Arial" w:eastAsia="Arial" w:hAnsi="Arial"/>
                <w:sz w:val="18"/>
                <w:szCs w:val="18"/>
                <w:color w:val="auto"/>
              </w:rPr>
              <w:t>Low</w:t>
            </w:r>
          </w:p>
        </w:tc>
        <w:tc>
          <w:tcPr>
            <w:tcW w:w="1280" w:type="dxa"/>
            <w:vAlign w:val="bottom"/>
          </w:tcPr>
          <w:p>
            <w:pPr>
              <w:ind w:left="280"/>
              <w:spacing w:after="0"/>
              <w:rPr>
                <w:sz w:val="20"/>
                <w:szCs w:val="20"/>
                <w:color w:val="auto"/>
              </w:rPr>
            </w:pPr>
            <w:r>
              <w:rPr>
                <w:rFonts w:ascii="Arial" w:cs="Arial" w:eastAsia="Arial" w:hAnsi="Arial"/>
                <w:sz w:val="18"/>
                <w:szCs w:val="18"/>
                <w:color w:val="auto"/>
              </w:rPr>
              <w:t>$54.73</w:t>
            </w:r>
          </w:p>
        </w:tc>
        <w:tc>
          <w:tcPr>
            <w:tcW w:w="1480" w:type="dxa"/>
            <w:vAlign w:val="bottom"/>
          </w:tcPr>
          <w:p>
            <w:pPr>
              <w:ind w:left="440"/>
              <w:spacing w:after="0"/>
              <w:rPr>
                <w:sz w:val="20"/>
                <w:szCs w:val="20"/>
                <w:color w:val="auto"/>
              </w:rPr>
            </w:pPr>
            <w:r>
              <w:rPr>
                <w:rFonts w:ascii="Arial" w:cs="Arial" w:eastAsia="Arial" w:hAnsi="Arial"/>
                <w:sz w:val="18"/>
                <w:szCs w:val="18"/>
                <w:color w:val="auto"/>
              </w:rPr>
              <w:t>$57.04</w:t>
            </w:r>
          </w:p>
        </w:tc>
        <w:tc>
          <w:tcPr>
            <w:tcW w:w="1540" w:type="dxa"/>
            <w:vAlign w:val="bottom"/>
          </w:tcPr>
          <w:p>
            <w:pPr>
              <w:ind w:left="500"/>
              <w:spacing w:after="0"/>
              <w:rPr>
                <w:sz w:val="20"/>
                <w:szCs w:val="20"/>
                <w:color w:val="auto"/>
              </w:rPr>
            </w:pPr>
            <w:r>
              <w:rPr>
                <w:rFonts w:ascii="Arial" w:cs="Arial" w:eastAsia="Arial" w:hAnsi="Arial"/>
                <w:sz w:val="18"/>
                <w:szCs w:val="18"/>
                <w:color w:val="auto"/>
              </w:rPr>
              <w:t>$50.95</w:t>
            </w:r>
          </w:p>
        </w:tc>
        <w:tc>
          <w:tcPr>
            <w:tcW w:w="1780" w:type="dxa"/>
            <w:vAlign w:val="bottom"/>
          </w:tcPr>
          <w:p>
            <w:pPr>
              <w:ind w:left="520"/>
              <w:spacing w:after="0"/>
              <w:rPr>
                <w:sz w:val="20"/>
                <w:szCs w:val="20"/>
                <w:color w:val="auto"/>
              </w:rPr>
            </w:pPr>
            <w:r>
              <w:rPr>
                <w:rFonts w:ascii="Arial" w:cs="Arial" w:eastAsia="Arial" w:hAnsi="Arial"/>
                <w:sz w:val="18"/>
                <w:szCs w:val="18"/>
                <w:color w:val="auto"/>
              </w:rPr>
              <w:t>$57.62</w:t>
            </w:r>
          </w:p>
        </w:tc>
      </w:tr>
      <w:tr>
        <w:trPr>
          <w:trHeight w:val="486"/>
        </w:trPr>
        <w:tc>
          <w:tcPr>
            <w:tcW w:w="1260" w:type="dxa"/>
            <w:vAlign w:val="bottom"/>
          </w:tcPr>
          <w:p>
            <w:pPr>
              <w:ind w:left="20"/>
              <w:spacing w:after="0"/>
              <w:rPr>
                <w:sz w:val="20"/>
                <w:szCs w:val="20"/>
                <w:color w:val="auto"/>
              </w:rPr>
            </w:pPr>
            <w:r>
              <w:rPr>
                <w:rFonts w:ascii="Arial" w:cs="Arial" w:eastAsia="Arial" w:hAnsi="Arial"/>
                <w:sz w:val="18"/>
                <w:szCs w:val="18"/>
                <w:color w:val="auto"/>
              </w:rPr>
              <w:t>2006</w:t>
            </w:r>
          </w:p>
        </w:tc>
        <w:tc>
          <w:tcPr>
            <w:tcW w:w="1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43"/>
        </w:trPr>
        <w:tc>
          <w:tcPr>
            <w:tcW w:w="1260" w:type="dxa"/>
            <w:vAlign w:val="bottom"/>
          </w:tcPr>
          <w:p>
            <w:pPr>
              <w:ind w:left="20"/>
              <w:spacing w:after="0"/>
              <w:rPr>
                <w:sz w:val="20"/>
                <w:szCs w:val="20"/>
                <w:color w:val="auto"/>
              </w:rPr>
            </w:pPr>
            <w:r>
              <w:rPr>
                <w:rFonts w:ascii="Arial" w:cs="Arial" w:eastAsia="Arial" w:hAnsi="Arial"/>
                <w:sz w:val="18"/>
                <w:szCs w:val="18"/>
                <w:color w:val="auto"/>
              </w:rPr>
              <w:t>Market price</w:t>
            </w:r>
          </w:p>
        </w:tc>
        <w:tc>
          <w:tcPr>
            <w:tcW w:w="12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780" w:type="dxa"/>
            <w:vAlign w:val="bottom"/>
          </w:tcPr>
          <w:p>
            <w:pPr>
              <w:spacing w:after="0"/>
              <w:rPr>
                <w:sz w:val="21"/>
                <w:szCs w:val="21"/>
                <w:color w:val="auto"/>
              </w:rPr>
            </w:pPr>
          </w:p>
        </w:tc>
      </w:tr>
      <w:tr>
        <w:trPr>
          <w:trHeight w:val="243"/>
        </w:trPr>
        <w:tc>
          <w:tcPr>
            <w:tcW w:w="1260" w:type="dxa"/>
            <w:vAlign w:val="bottom"/>
          </w:tcPr>
          <w:p>
            <w:pPr>
              <w:ind w:left="620"/>
              <w:spacing w:after="0"/>
              <w:rPr>
                <w:sz w:val="20"/>
                <w:szCs w:val="20"/>
                <w:color w:val="auto"/>
              </w:rPr>
            </w:pPr>
            <w:r>
              <w:rPr>
                <w:rFonts w:ascii="Arial" w:cs="Arial" w:eastAsia="Arial" w:hAnsi="Arial"/>
                <w:sz w:val="18"/>
                <w:szCs w:val="18"/>
                <w:color w:val="auto"/>
              </w:rPr>
              <w:t>High</w:t>
            </w:r>
          </w:p>
        </w:tc>
        <w:tc>
          <w:tcPr>
            <w:tcW w:w="1280" w:type="dxa"/>
            <w:vAlign w:val="bottom"/>
          </w:tcPr>
          <w:p>
            <w:pPr>
              <w:ind w:left="280"/>
              <w:spacing w:after="0"/>
              <w:rPr>
                <w:sz w:val="20"/>
                <w:szCs w:val="20"/>
                <w:color w:val="auto"/>
              </w:rPr>
            </w:pPr>
            <w:r>
              <w:rPr>
                <w:rFonts w:ascii="Arial" w:cs="Arial" w:eastAsia="Arial" w:hAnsi="Arial"/>
                <w:sz w:val="18"/>
                <w:szCs w:val="18"/>
                <w:color w:val="auto"/>
              </w:rPr>
              <w:t>$49.54</w:t>
            </w:r>
          </w:p>
        </w:tc>
        <w:tc>
          <w:tcPr>
            <w:tcW w:w="1480" w:type="dxa"/>
            <w:vAlign w:val="bottom"/>
          </w:tcPr>
          <w:p>
            <w:pPr>
              <w:ind w:left="440"/>
              <w:spacing w:after="0"/>
              <w:rPr>
                <w:sz w:val="20"/>
                <w:szCs w:val="20"/>
                <w:color w:val="auto"/>
              </w:rPr>
            </w:pPr>
            <w:r>
              <w:rPr>
                <w:rFonts w:ascii="Arial" w:cs="Arial" w:eastAsia="Arial" w:hAnsi="Arial"/>
                <w:sz w:val="18"/>
                <w:szCs w:val="18"/>
                <w:color w:val="auto"/>
              </w:rPr>
              <w:t>$47.29</w:t>
            </w:r>
          </w:p>
        </w:tc>
        <w:tc>
          <w:tcPr>
            <w:tcW w:w="1540" w:type="dxa"/>
            <w:vAlign w:val="bottom"/>
          </w:tcPr>
          <w:p>
            <w:pPr>
              <w:ind w:left="500"/>
              <w:spacing w:after="0"/>
              <w:rPr>
                <w:sz w:val="20"/>
                <w:szCs w:val="20"/>
                <w:color w:val="auto"/>
              </w:rPr>
            </w:pPr>
            <w:r>
              <w:rPr>
                <w:rFonts w:ascii="Arial" w:cs="Arial" w:eastAsia="Arial" w:hAnsi="Arial"/>
                <w:sz w:val="18"/>
                <w:szCs w:val="18"/>
                <w:color w:val="auto"/>
              </w:rPr>
              <w:t>$50.91</w:t>
            </w:r>
          </w:p>
        </w:tc>
        <w:tc>
          <w:tcPr>
            <w:tcW w:w="1780" w:type="dxa"/>
            <w:vAlign w:val="bottom"/>
          </w:tcPr>
          <w:p>
            <w:pPr>
              <w:ind w:left="520"/>
              <w:spacing w:after="0"/>
              <w:rPr>
                <w:sz w:val="20"/>
                <w:szCs w:val="20"/>
                <w:color w:val="auto"/>
              </w:rPr>
            </w:pPr>
            <w:r>
              <w:rPr>
                <w:rFonts w:ascii="Arial" w:cs="Arial" w:eastAsia="Arial" w:hAnsi="Arial"/>
                <w:sz w:val="18"/>
                <w:szCs w:val="18"/>
                <w:color w:val="auto"/>
              </w:rPr>
              <w:t>$57.35</w:t>
            </w:r>
          </w:p>
        </w:tc>
      </w:tr>
      <w:tr>
        <w:trPr>
          <w:trHeight w:val="243"/>
        </w:trPr>
        <w:tc>
          <w:tcPr>
            <w:tcW w:w="1260" w:type="dxa"/>
            <w:vAlign w:val="bottom"/>
          </w:tcPr>
          <w:p>
            <w:pPr>
              <w:ind w:left="620"/>
              <w:spacing w:after="0"/>
              <w:rPr>
                <w:sz w:val="20"/>
                <w:szCs w:val="20"/>
                <w:color w:val="auto"/>
              </w:rPr>
            </w:pPr>
            <w:r>
              <w:rPr>
                <w:rFonts w:ascii="Arial" w:cs="Arial" w:eastAsia="Arial" w:hAnsi="Arial"/>
                <w:sz w:val="18"/>
                <w:szCs w:val="18"/>
                <w:color w:val="auto"/>
              </w:rPr>
              <w:t>Low</w:t>
            </w:r>
          </w:p>
        </w:tc>
        <w:tc>
          <w:tcPr>
            <w:tcW w:w="1280" w:type="dxa"/>
            <w:vAlign w:val="bottom"/>
          </w:tcPr>
          <w:p>
            <w:pPr>
              <w:ind w:left="280"/>
              <w:spacing w:after="0"/>
              <w:rPr>
                <w:sz w:val="20"/>
                <w:szCs w:val="20"/>
                <w:color w:val="auto"/>
              </w:rPr>
            </w:pPr>
            <w:r>
              <w:rPr>
                <w:rFonts w:ascii="Arial" w:cs="Arial" w:eastAsia="Arial" w:hAnsi="Arial"/>
                <w:sz w:val="18"/>
                <w:szCs w:val="18"/>
                <w:color w:val="auto"/>
              </w:rPr>
              <w:t>$44.66</w:t>
            </w:r>
          </w:p>
        </w:tc>
        <w:tc>
          <w:tcPr>
            <w:tcW w:w="1480" w:type="dxa"/>
            <w:vAlign w:val="bottom"/>
          </w:tcPr>
          <w:p>
            <w:pPr>
              <w:ind w:left="440"/>
              <w:spacing w:after="0"/>
              <w:rPr>
                <w:sz w:val="20"/>
                <w:szCs w:val="20"/>
                <w:color w:val="auto"/>
              </w:rPr>
            </w:pPr>
            <w:r>
              <w:rPr>
                <w:rFonts w:ascii="Arial" w:cs="Arial" w:eastAsia="Arial" w:hAnsi="Arial"/>
                <w:sz w:val="18"/>
                <w:szCs w:val="18"/>
                <w:color w:val="auto"/>
              </w:rPr>
              <w:t>$42.90</w:t>
            </w:r>
          </w:p>
        </w:tc>
        <w:tc>
          <w:tcPr>
            <w:tcW w:w="1540" w:type="dxa"/>
            <w:vAlign w:val="bottom"/>
          </w:tcPr>
          <w:p>
            <w:pPr>
              <w:ind w:left="500"/>
              <w:spacing w:after="0"/>
              <w:rPr>
                <w:sz w:val="20"/>
                <w:szCs w:val="20"/>
                <w:color w:val="auto"/>
              </w:rPr>
            </w:pPr>
            <w:r>
              <w:rPr>
                <w:rFonts w:ascii="Arial" w:cs="Arial" w:eastAsia="Arial" w:hAnsi="Arial"/>
                <w:sz w:val="18"/>
                <w:szCs w:val="18"/>
                <w:color w:val="auto"/>
              </w:rPr>
              <w:t>$44.42</w:t>
            </w:r>
          </w:p>
        </w:tc>
        <w:tc>
          <w:tcPr>
            <w:tcW w:w="1780" w:type="dxa"/>
            <w:vAlign w:val="bottom"/>
          </w:tcPr>
          <w:p>
            <w:pPr>
              <w:ind w:left="520"/>
              <w:spacing w:after="0"/>
              <w:rPr>
                <w:sz w:val="20"/>
                <w:szCs w:val="20"/>
                <w:color w:val="auto"/>
              </w:rPr>
            </w:pPr>
            <w:r>
              <w:rPr>
                <w:rFonts w:ascii="Arial" w:cs="Arial" w:eastAsia="Arial" w:hAnsi="Arial"/>
                <w:sz w:val="18"/>
                <w:szCs w:val="18"/>
                <w:color w:val="auto"/>
              </w:rPr>
              <w:t>$50.19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1299845</wp:posOffset>
            </wp:positionH>
            <wp:positionV relativeFrom="paragraph">
              <wp:posOffset>8890</wp:posOffset>
            </wp:positionV>
            <wp:extent cx="4656455"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656455" cy="26035"/>
                    </a:xfrm>
                    <a:prstGeom prst="rect">
                      <a:avLst/>
                    </a:prstGeom>
                    <a:noFill/>
                  </pic:spPr>
                </pic:pic>
              </a:graphicData>
            </a:graphic>
          </wp:anchor>
        </w:drawing>
      </w:r>
    </w:p>
    <w:p>
      <w:pPr>
        <w:spacing w:after="0" w:line="33" w:lineRule="exact"/>
        <w:rPr>
          <w:sz w:val="20"/>
          <w:szCs w:val="20"/>
          <w:color w:val="auto"/>
        </w:rPr>
      </w:pPr>
    </w:p>
    <w:p>
      <w:pPr>
        <w:ind w:left="2060"/>
        <w:spacing w:after="0"/>
        <w:rPr>
          <w:sz w:val="20"/>
          <w:szCs w:val="20"/>
          <w:color w:val="auto"/>
        </w:rPr>
      </w:pPr>
      <w:r>
        <w:rPr>
          <w:rFonts w:ascii="Arial" w:cs="Arial" w:eastAsia="Arial" w:hAnsi="Arial"/>
          <w:sz w:val="16"/>
          <w:szCs w:val="16"/>
          <w:color w:val="auto"/>
        </w:rPr>
        <w:t>Dividends declared were $0.31 and $0.30 per share in each quarter in 2007 and 2006,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20"/>
          <w:szCs w:val="20"/>
          <w:color w:val="auto"/>
        </w:rPr>
        <w:t>41</w:t>
      </w:r>
    </w:p>
    <w:p>
      <w:pPr>
        <w:sectPr>
          <w:pgSz w:w="11900" w:h="16838" w:orient="portrait"/>
          <w:cols w:equalWidth="0" w:num="1">
            <w:col w:w="10219"/>
          </w:cols>
          <w:pgMar w:left="240" w:top="1130" w:right="1440" w:bottom="1440" w:gutter="0" w:footer="0" w:header="0"/>
        </w:sectPr>
      </w:pPr>
    </w:p>
    <w:bookmarkStart w:id="109" w:name="page110"/>
    <w:bookmarkEnd w:id="109"/>
    <w:p>
      <w:pPr>
        <w:spacing w:after="0"/>
        <w:rPr>
          <w:sz w:val="20"/>
          <w:szCs w:val="20"/>
          <w:color w:val="auto"/>
        </w:rPr>
      </w:pPr>
      <w:r>
        <w:rPr>
          <w:rFonts w:ascii="Arial" w:cs="Arial" w:eastAsia="Arial" w:hAnsi="Arial"/>
          <w:sz w:val="20"/>
          <w:szCs w:val="20"/>
          <w:b w:val="1"/>
          <w:bCs w:val="1"/>
          <w:color w:val="auto"/>
        </w:rPr>
        <w:t>PERFORMANCE GRAPH -- COMPARATIVE TOTAL SHAREHOLDER RETURNS</w:t>
      </w:r>
    </w:p>
    <w:p>
      <w:pPr>
        <w:spacing w:after="0" w:line="250"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The following graph compares the percentage change in the cumulative total shareholder return on the company's common stock for the five-year period ending December 31, 2007, with the performance over the same period of the Standard &amp; Poor's 500 Index and the Standard &amp; Poor's Utilities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300355</wp:posOffset>
            </wp:positionV>
            <wp:extent cx="5857240" cy="35077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857240" cy="3507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460"/>
        <w:spacing w:after="0" w:line="260" w:lineRule="auto"/>
        <w:rPr>
          <w:sz w:val="20"/>
          <w:szCs w:val="20"/>
          <w:color w:val="auto"/>
        </w:rPr>
      </w:pPr>
      <w:r>
        <w:rPr>
          <w:rFonts w:ascii="Arial" w:cs="Arial" w:eastAsia="Arial" w:hAnsi="Arial"/>
          <w:sz w:val="20"/>
          <w:szCs w:val="20"/>
          <w:color w:val="auto"/>
        </w:rPr>
        <w:t>These returns were calculated assuming an initial investment of $100 in the company's common stock, the S&amp;P 500 Index and the S&amp;P Utilities Index on December 31, 2002, and the reinvestment of all dividends.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0"/>
          <w:szCs w:val="20"/>
          <w:color w:val="auto"/>
        </w:rPr>
        <w:t>42</w:t>
      </w:r>
    </w:p>
    <w:p>
      <w:pPr>
        <w:sectPr>
          <w:pgSz w:w="11900" w:h="16838" w:orient="portrait"/>
          <w:cols w:equalWidth="0" w:num="1">
            <w:col w:w="11200"/>
          </w:cols>
          <w:pgMar w:left="240" w:top="115" w:right="459" w:bottom="1440" w:gutter="0" w:footer="0" w:header="0"/>
        </w:sectPr>
      </w:pPr>
    </w:p>
    <w:bookmarkStart w:id="110" w:name="page111"/>
    <w:bookmarkEnd w:id="110"/>
    <w:p>
      <w:pPr>
        <w:spacing w:after="0"/>
        <w:rPr>
          <w:sz w:val="20"/>
          <w:szCs w:val="20"/>
          <w:color w:val="auto"/>
        </w:rPr>
      </w:pPr>
      <w:r>
        <w:rPr>
          <w:rFonts w:ascii="Arial" w:cs="Arial" w:eastAsia="Arial" w:hAnsi="Arial"/>
          <w:sz w:val="22"/>
          <w:szCs w:val="22"/>
          <w:b w:val="1"/>
          <w:bCs w:val="1"/>
          <w:color w:val="auto"/>
        </w:rPr>
        <w:t>FIVE-YEAR SUMMARY</w:t>
      </w:r>
    </w:p>
    <w:p>
      <w:pPr>
        <w:spacing w:after="0" w:line="287" w:lineRule="exact"/>
        <w:rPr>
          <w:sz w:val="20"/>
          <w:szCs w:val="20"/>
          <w:color w:val="auto"/>
        </w:rPr>
      </w:pPr>
    </w:p>
    <w:tbl>
      <w:tblPr>
        <w:tblLayout w:type="fixed"/>
        <w:tblInd w:w="720" w:type="dxa"/>
        <w:tblCellMar>
          <w:top w:w="0" w:type="dxa"/>
          <w:left w:w="0" w:type="dxa"/>
          <w:bottom w:w="0" w:type="dxa"/>
          <w:right w:w="0" w:type="dxa"/>
        </w:tblCellMar>
      </w:tblPr>
      <w:tr>
        <w:trPr>
          <w:trHeight w:val="237"/>
        </w:trPr>
        <w:tc>
          <w:tcPr>
            <w:tcW w:w="3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 millions, except per share amounts)</w:t>
            </w: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348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8"/>
                <w:szCs w:val="18"/>
                <w:color w:val="auto"/>
                <w:w w:val="93"/>
              </w:rPr>
              <w:t>At December 31 or for the years then ended</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r>
      <w:tr>
        <w:trPr>
          <w:trHeight w:val="237"/>
        </w:trPr>
        <w:tc>
          <w:tcPr>
            <w:tcW w:w="37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2007</w:t>
            </w:r>
          </w:p>
        </w:tc>
        <w:tc>
          <w:tcPr>
            <w:tcW w:w="4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2006</w:t>
            </w:r>
          </w:p>
        </w:tc>
        <w:tc>
          <w:tcPr>
            <w:tcW w:w="4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2005</w:t>
            </w:r>
          </w:p>
        </w:tc>
        <w:tc>
          <w:tcPr>
            <w:tcW w:w="4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2004</w:t>
            </w:r>
          </w:p>
        </w:tc>
        <w:tc>
          <w:tcPr>
            <w:tcW w:w="3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2003</w:t>
            </w:r>
          </w:p>
        </w:tc>
      </w:tr>
      <w:tr>
        <w:trPr>
          <w:trHeight w:val="230"/>
        </w:trPr>
        <w:tc>
          <w:tcPr>
            <w:tcW w:w="3720" w:type="dxa"/>
            <w:vAlign w:val="bottom"/>
          </w:tcPr>
          <w:p>
            <w:pPr>
              <w:ind w:left="20"/>
              <w:spacing w:after="0"/>
              <w:rPr>
                <w:sz w:val="20"/>
                <w:szCs w:val="20"/>
                <w:color w:val="auto"/>
              </w:rPr>
            </w:pPr>
            <w:r>
              <w:rPr>
                <w:rFonts w:ascii="Arial" w:cs="Arial" w:eastAsia="Arial" w:hAnsi="Arial"/>
                <w:sz w:val="18"/>
                <w:szCs w:val="18"/>
                <w:color w:val="auto"/>
              </w:rPr>
              <w:t>Operating revenues</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43"/>
        </w:trPr>
        <w:tc>
          <w:tcPr>
            <w:tcW w:w="3720" w:type="dxa"/>
            <w:vAlign w:val="bottom"/>
          </w:tcPr>
          <w:p>
            <w:pPr>
              <w:ind w:left="20"/>
              <w:spacing w:after="0"/>
              <w:rPr>
                <w:sz w:val="20"/>
                <w:szCs w:val="20"/>
                <w:color w:val="auto"/>
              </w:rPr>
            </w:pPr>
            <w:r>
              <w:rPr>
                <w:rFonts w:ascii="Arial" w:cs="Arial" w:eastAsia="Arial" w:hAnsi="Arial"/>
                <w:sz w:val="18"/>
                <w:szCs w:val="18"/>
                <w:color w:val="auto"/>
              </w:rPr>
              <w:t>Sempra Utilities:</w:t>
            </w: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43"/>
        </w:trPr>
        <w:tc>
          <w:tcPr>
            <w:tcW w:w="3720" w:type="dxa"/>
            <w:vAlign w:val="bottom"/>
          </w:tcPr>
          <w:p>
            <w:pPr>
              <w:ind w:left="280"/>
              <w:spacing w:after="0"/>
              <w:rPr>
                <w:sz w:val="20"/>
                <w:szCs w:val="20"/>
                <w:color w:val="auto"/>
              </w:rPr>
            </w:pPr>
            <w:r>
              <w:rPr>
                <w:rFonts w:ascii="Arial" w:cs="Arial" w:eastAsia="Arial" w:hAnsi="Arial"/>
                <w:sz w:val="18"/>
                <w:szCs w:val="18"/>
                <w:color w:val="auto"/>
              </w:rPr>
              <w:t>Natural gas</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50"/>
              <w:spacing w:after="0"/>
              <w:rPr>
                <w:sz w:val="20"/>
                <w:szCs w:val="20"/>
                <w:color w:val="auto"/>
              </w:rPr>
            </w:pPr>
            <w:r>
              <w:rPr>
                <w:rFonts w:ascii="Arial" w:cs="Arial" w:eastAsia="Arial" w:hAnsi="Arial"/>
                <w:sz w:val="18"/>
                <w:szCs w:val="18"/>
                <w:color w:val="auto"/>
              </w:rPr>
              <w:t>4,869</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50"/>
              <w:spacing w:after="0"/>
              <w:rPr>
                <w:sz w:val="20"/>
                <w:szCs w:val="20"/>
                <w:color w:val="auto"/>
              </w:rPr>
            </w:pPr>
            <w:r>
              <w:rPr>
                <w:rFonts w:ascii="Arial" w:cs="Arial" w:eastAsia="Arial" w:hAnsi="Arial"/>
                <w:sz w:val="18"/>
                <w:szCs w:val="18"/>
                <w:color w:val="auto"/>
              </w:rPr>
              <w:t>4,763</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70"/>
              <w:spacing w:after="0"/>
              <w:rPr>
                <w:sz w:val="20"/>
                <w:szCs w:val="20"/>
                <w:color w:val="auto"/>
              </w:rPr>
            </w:pPr>
            <w:r>
              <w:rPr>
                <w:rFonts w:ascii="Arial" w:cs="Arial" w:eastAsia="Arial" w:hAnsi="Arial"/>
                <w:sz w:val="18"/>
                <w:szCs w:val="18"/>
                <w:color w:val="auto"/>
              </w:rPr>
              <w:t>5,253</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4,537</w:t>
            </w:r>
          </w:p>
        </w:tc>
        <w:tc>
          <w:tcPr>
            <w:tcW w:w="34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50"/>
              <w:spacing w:after="0"/>
              <w:rPr>
                <w:sz w:val="20"/>
                <w:szCs w:val="20"/>
                <w:color w:val="auto"/>
              </w:rPr>
            </w:pPr>
            <w:r>
              <w:rPr>
                <w:rFonts w:ascii="Arial" w:cs="Arial" w:eastAsia="Arial" w:hAnsi="Arial"/>
                <w:sz w:val="18"/>
                <w:szCs w:val="18"/>
                <w:color w:val="auto"/>
              </w:rPr>
              <w:t>4,005</w:t>
            </w:r>
          </w:p>
        </w:tc>
      </w:tr>
      <w:tr>
        <w:trPr>
          <w:trHeight w:val="243"/>
        </w:trPr>
        <w:tc>
          <w:tcPr>
            <w:tcW w:w="3720" w:type="dxa"/>
            <w:vAlign w:val="bottom"/>
          </w:tcPr>
          <w:p>
            <w:pPr>
              <w:ind w:left="280"/>
              <w:spacing w:after="0"/>
              <w:rPr>
                <w:sz w:val="20"/>
                <w:szCs w:val="20"/>
                <w:color w:val="auto"/>
              </w:rPr>
            </w:pPr>
            <w:r>
              <w:rPr>
                <w:rFonts w:ascii="Arial" w:cs="Arial" w:eastAsia="Arial" w:hAnsi="Arial"/>
                <w:sz w:val="18"/>
                <w:szCs w:val="18"/>
                <w:color w:val="auto"/>
              </w:rPr>
              <w:t>Electric</w:t>
            </w:r>
          </w:p>
        </w:tc>
        <w:tc>
          <w:tcPr>
            <w:tcW w:w="240" w:type="dxa"/>
            <w:vAlign w:val="bottom"/>
          </w:tcPr>
          <w:p>
            <w:pPr>
              <w:spacing w:after="0"/>
              <w:rPr>
                <w:sz w:val="21"/>
                <w:szCs w:val="21"/>
                <w:color w:val="auto"/>
              </w:rPr>
            </w:pPr>
          </w:p>
        </w:tc>
        <w:tc>
          <w:tcPr>
            <w:tcW w:w="820" w:type="dxa"/>
            <w:vAlign w:val="bottom"/>
          </w:tcPr>
          <w:p>
            <w:pPr>
              <w:jc w:val="right"/>
              <w:ind w:right="150"/>
              <w:spacing w:after="0"/>
              <w:rPr>
                <w:sz w:val="20"/>
                <w:szCs w:val="20"/>
                <w:color w:val="auto"/>
              </w:rPr>
            </w:pPr>
            <w:r>
              <w:rPr>
                <w:rFonts w:ascii="Arial" w:cs="Arial" w:eastAsia="Arial" w:hAnsi="Arial"/>
                <w:sz w:val="18"/>
                <w:szCs w:val="18"/>
                <w:color w:val="auto"/>
              </w:rPr>
              <w:t>2,184</w:t>
            </w:r>
          </w:p>
        </w:tc>
        <w:tc>
          <w:tcPr>
            <w:tcW w:w="440" w:type="dxa"/>
            <w:vAlign w:val="bottom"/>
          </w:tcPr>
          <w:p>
            <w:pPr>
              <w:spacing w:after="0"/>
              <w:rPr>
                <w:sz w:val="21"/>
                <w:szCs w:val="21"/>
                <w:color w:val="auto"/>
              </w:rPr>
            </w:pPr>
          </w:p>
        </w:tc>
        <w:tc>
          <w:tcPr>
            <w:tcW w:w="820" w:type="dxa"/>
            <w:vAlign w:val="bottom"/>
          </w:tcPr>
          <w:p>
            <w:pPr>
              <w:jc w:val="right"/>
              <w:ind w:right="150"/>
              <w:spacing w:after="0"/>
              <w:rPr>
                <w:sz w:val="20"/>
                <w:szCs w:val="20"/>
                <w:color w:val="auto"/>
              </w:rPr>
            </w:pPr>
            <w:r>
              <w:rPr>
                <w:rFonts w:ascii="Arial" w:cs="Arial" w:eastAsia="Arial" w:hAnsi="Arial"/>
                <w:sz w:val="18"/>
                <w:szCs w:val="18"/>
                <w:color w:val="auto"/>
              </w:rPr>
              <w:t>2,136</w:t>
            </w:r>
          </w:p>
        </w:tc>
        <w:tc>
          <w:tcPr>
            <w:tcW w:w="440" w:type="dxa"/>
            <w:vAlign w:val="bottom"/>
          </w:tcPr>
          <w:p>
            <w:pPr>
              <w:spacing w:after="0"/>
              <w:rPr>
                <w:sz w:val="21"/>
                <w:szCs w:val="21"/>
                <w:color w:val="auto"/>
              </w:rPr>
            </w:pPr>
          </w:p>
        </w:tc>
        <w:tc>
          <w:tcPr>
            <w:tcW w:w="840" w:type="dxa"/>
            <w:vAlign w:val="bottom"/>
          </w:tcPr>
          <w:p>
            <w:pPr>
              <w:jc w:val="right"/>
              <w:ind w:right="170"/>
              <w:spacing w:after="0"/>
              <w:rPr>
                <w:sz w:val="20"/>
                <w:szCs w:val="20"/>
                <w:color w:val="auto"/>
              </w:rPr>
            </w:pPr>
            <w:r>
              <w:rPr>
                <w:rFonts w:ascii="Arial" w:cs="Arial" w:eastAsia="Arial" w:hAnsi="Arial"/>
                <w:sz w:val="18"/>
                <w:szCs w:val="18"/>
                <w:color w:val="auto"/>
              </w:rPr>
              <w:t>1,789</w:t>
            </w:r>
          </w:p>
        </w:tc>
        <w:tc>
          <w:tcPr>
            <w:tcW w:w="4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1,658</w:t>
            </w: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color w:val="auto"/>
              </w:rPr>
              <w:t>1,786</w:t>
            </w:r>
          </w:p>
        </w:tc>
      </w:tr>
      <w:tr>
        <w:trPr>
          <w:trHeight w:val="257"/>
        </w:trPr>
        <w:tc>
          <w:tcPr>
            <w:tcW w:w="3720" w:type="dxa"/>
            <w:vAlign w:val="bottom"/>
          </w:tcPr>
          <w:p>
            <w:pPr>
              <w:ind w:left="20"/>
              <w:spacing w:after="0"/>
              <w:rPr>
                <w:sz w:val="20"/>
                <w:szCs w:val="20"/>
                <w:color w:val="auto"/>
              </w:rPr>
            </w:pPr>
            <w:r>
              <w:rPr>
                <w:rFonts w:ascii="Arial" w:cs="Arial" w:eastAsia="Arial" w:hAnsi="Arial"/>
                <w:sz w:val="18"/>
                <w:szCs w:val="18"/>
                <w:color w:val="auto"/>
              </w:rPr>
              <w:t>Sempra Global and parent</w:t>
            </w: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4,385</w:t>
            </w: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4,862</w:t>
            </w:r>
          </w:p>
        </w:tc>
        <w:tc>
          <w:tcPr>
            <w:tcW w:w="4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4,470</w:t>
            </w:r>
          </w:p>
        </w:tc>
        <w:tc>
          <w:tcPr>
            <w:tcW w:w="4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3,039</w:t>
            </w:r>
          </w:p>
        </w:tc>
        <w:tc>
          <w:tcPr>
            <w:tcW w:w="34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1,906</w:t>
            </w:r>
          </w:p>
        </w:tc>
      </w:tr>
      <w:tr>
        <w:trPr>
          <w:trHeight w:val="257"/>
        </w:trPr>
        <w:tc>
          <w:tcPr>
            <w:tcW w:w="3720" w:type="dxa"/>
            <w:vAlign w:val="bottom"/>
          </w:tcPr>
          <w:p>
            <w:pPr>
              <w:ind w:left="280"/>
              <w:spacing w:after="0"/>
              <w:rPr>
                <w:sz w:val="20"/>
                <w:szCs w:val="20"/>
                <w:color w:val="auto"/>
              </w:rPr>
            </w:pPr>
            <w:r>
              <w:rPr>
                <w:rFonts w:ascii="Arial" w:cs="Arial" w:eastAsia="Arial" w:hAnsi="Arial"/>
                <w:sz w:val="18"/>
                <w:szCs w:val="18"/>
                <w:color w:val="auto"/>
              </w:rPr>
              <w:t>Total operating revenues</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11,438</w:t>
            </w:r>
          </w:p>
        </w:tc>
        <w:tc>
          <w:tcPr>
            <w:tcW w:w="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11,761</w:t>
            </w:r>
          </w:p>
        </w:tc>
        <w:tc>
          <w:tcPr>
            <w:tcW w:w="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11,512</w:t>
            </w:r>
          </w:p>
        </w:tc>
        <w:tc>
          <w:tcPr>
            <w:tcW w:w="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9,234</w:t>
            </w:r>
          </w:p>
        </w:tc>
        <w:tc>
          <w:tcPr>
            <w:tcW w:w="34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7,697</w:t>
            </w:r>
          </w:p>
        </w:tc>
      </w:tr>
      <w:tr>
        <w:trPr>
          <w:trHeight w:val="230"/>
        </w:trPr>
        <w:tc>
          <w:tcPr>
            <w:tcW w:w="372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50"/>
              <w:spacing w:after="0"/>
              <w:rPr>
                <w:sz w:val="20"/>
                <w:szCs w:val="20"/>
                <w:color w:val="auto"/>
              </w:rPr>
            </w:pPr>
            <w:r>
              <w:rPr>
                <w:rFonts w:ascii="Arial" w:cs="Arial" w:eastAsia="Arial" w:hAnsi="Arial"/>
                <w:sz w:val="18"/>
                <w:szCs w:val="18"/>
                <w:color w:val="auto"/>
              </w:rPr>
              <w:t>1,679</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50"/>
              <w:spacing w:after="0"/>
              <w:rPr>
                <w:sz w:val="20"/>
                <w:szCs w:val="20"/>
                <w:color w:val="auto"/>
              </w:rPr>
            </w:pPr>
            <w:r>
              <w:rPr>
                <w:rFonts w:ascii="Arial" w:cs="Arial" w:eastAsia="Arial" w:hAnsi="Arial"/>
                <w:sz w:val="18"/>
                <w:szCs w:val="18"/>
                <w:color w:val="auto"/>
              </w:rPr>
              <w:t>1,785</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70"/>
              <w:spacing w:after="0"/>
              <w:rPr>
                <w:sz w:val="20"/>
                <w:szCs w:val="20"/>
                <w:color w:val="auto"/>
              </w:rPr>
            </w:pPr>
            <w:r>
              <w:rPr>
                <w:rFonts w:ascii="Arial" w:cs="Arial" w:eastAsia="Arial" w:hAnsi="Arial"/>
                <w:sz w:val="18"/>
                <w:szCs w:val="18"/>
                <w:color w:val="auto"/>
              </w:rPr>
              <w:t>1,089</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1,272</w:t>
            </w:r>
          </w:p>
        </w:tc>
        <w:tc>
          <w:tcPr>
            <w:tcW w:w="34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50"/>
              <w:spacing w:after="0"/>
              <w:rPr>
                <w:sz w:val="20"/>
                <w:szCs w:val="20"/>
                <w:color w:val="auto"/>
              </w:rPr>
            </w:pPr>
            <w:r>
              <w:rPr>
                <w:rFonts w:ascii="Arial" w:cs="Arial" w:eastAsia="Arial" w:hAnsi="Arial"/>
                <w:sz w:val="18"/>
                <w:szCs w:val="18"/>
                <w:color w:val="auto"/>
              </w:rPr>
              <w:t>1,012</w:t>
            </w:r>
          </w:p>
        </w:tc>
      </w:tr>
      <w:tr>
        <w:trPr>
          <w:trHeight w:val="228"/>
        </w:trPr>
        <w:tc>
          <w:tcPr>
            <w:tcW w:w="3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&lt;</w:t>
            </w:r>
          </w:p>
        </w:tc>
      </w:tr>
      <w:tr>
        <w:trPr>
          <w:trHeight w:val="230"/>
        </w:trPr>
        <w:tc>
          <w:tcPr>
            <w:tcW w:w="3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/P&gt;</w:t>
            </w:r>
          </w:p>
        </w:tc>
      </w:tr>
      <w:tr>
        <w:trPr>
          <w:trHeight w:val="229"/>
        </w:trPr>
        <w:tc>
          <w:tcPr>
            <w:tcW w:w="3720" w:type="dxa"/>
            <w:vAlign w:val="bottom"/>
          </w:tcPr>
          <w:p>
            <w:pPr>
              <w:ind w:left="20"/>
              <w:spacing w:after="0"/>
              <w:rPr>
                <w:sz w:val="20"/>
                <w:szCs w:val="20"/>
                <w:color w:val="auto"/>
              </w:rPr>
            </w:pPr>
            <w:r>
              <w:rPr>
                <w:rFonts w:ascii="Arial" w:cs="Arial" w:eastAsia="Arial" w:hAnsi="Arial"/>
                <w:sz w:val="18"/>
                <w:szCs w:val="18"/>
                <w:color w:val="auto"/>
              </w:rPr>
              <w:t>Income from continuing operations before</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8"/>
                <w:szCs w:val="18"/>
                <w:color w:val="auto"/>
              </w:rPr>
              <w:t>cumulative effect of changes in accounting</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0"/>
        </w:trPr>
        <w:tc>
          <w:tcPr>
            <w:tcW w:w="3720" w:type="dxa"/>
            <w:vAlign w:val="bottom"/>
          </w:tcPr>
          <w:p>
            <w:pPr>
              <w:ind w:left="120"/>
              <w:spacing w:after="0"/>
              <w:rPr>
                <w:sz w:val="20"/>
                <w:szCs w:val="20"/>
                <w:color w:val="auto"/>
              </w:rPr>
            </w:pPr>
            <w:r>
              <w:rPr>
                <w:rFonts w:ascii="Arial" w:cs="Arial" w:eastAsia="Arial" w:hAnsi="Arial"/>
                <w:sz w:val="18"/>
                <w:szCs w:val="18"/>
                <w:color w:val="auto"/>
              </w:rPr>
              <w:t>principles</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50"/>
              <w:spacing w:after="0"/>
              <w:rPr>
                <w:sz w:val="20"/>
                <w:szCs w:val="20"/>
                <w:color w:val="auto"/>
              </w:rPr>
            </w:pPr>
            <w:r>
              <w:rPr>
                <w:rFonts w:ascii="Arial" w:cs="Arial" w:eastAsia="Arial" w:hAnsi="Arial"/>
                <w:sz w:val="18"/>
                <w:szCs w:val="18"/>
                <w:color w:val="auto"/>
              </w:rPr>
              <w:t>1,125</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50"/>
              <w:spacing w:after="0"/>
              <w:rPr>
                <w:sz w:val="20"/>
                <w:szCs w:val="20"/>
                <w:color w:val="auto"/>
              </w:rPr>
            </w:pPr>
            <w:r>
              <w:rPr>
                <w:rFonts w:ascii="Arial" w:cs="Arial" w:eastAsia="Arial" w:hAnsi="Arial"/>
                <w:sz w:val="18"/>
                <w:szCs w:val="18"/>
                <w:color w:val="auto"/>
              </w:rPr>
              <w:t>1,091</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70"/>
              <w:spacing w:after="0"/>
              <w:rPr>
                <w:sz w:val="20"/>
                <w:szCs w:val="20"/>
                <w:color w:val="auto"/>
              </w:rPr>
            </w:pPr>
            <w:r>
              <w:rPr>
                <w:rFonts w:ascii="Arial" w:cs="Arial" w:eastAsia="Arial" w:hAnsi="Arial"/>
                <w:sz w:val="18"/>
                <w:szCs w:val="18"/>
                <w:color w:val="auto"/>
              </w:rPr>
              <w:t>913</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915</w:t>
            </w:r>
          </w:p>
        </w:tc>
        <w:tc>
          <w:tcPr>
            <w:tcW w:w="34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50"/>
              <w:spacing w:after="0"/>
              <w:rPr>
                <w:sz w:val="20"/>
                <w:szCs w:val="20"/>
                <w:color w:val="auto"/>
              </w:rPr>
            </w:pPr>
            <w:r>
              <w:rPr>
                <w:rFonts w:ascii="Arial" w:cs="Arial" w:eastAsia="Arial" w:hAnsi="Arial"/>
                <w:sz w:val="18"/>
                <w:szCs w:val="18"/>
                <w:color w:val="auto"/>
              </w:rPr>
              <w:t>745</w:t>
            </w:r>
          </w:p>
        </w:tc>
      </w:tr>
      <w:tr>
        <w:trPr>
          <w:trHeight w:val="243"/>
        </w:trPr>
        <w:tc>
          <w:tcPr>
            <w:tcW w:w="37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50"/>
              <w:spacing w:after="0"/>
              <w:rPr>
                <w:sz w:val="20"/>
                <w:szCs w:val="20"/>
                <w:color w:val="auto"/>
              </w:rPr>
            </w:pPr>
            <w:r>
              <w:rPr>
                <w:rFonts w:ascii="Arial" w:cs="Arial" w:eastAsia="Arial" w:hAnsi="Arial"/>
                <w:sz w:val="18"/>
                <w:szCs w:val="18"/>
                <w:color w:val="auto"/>
              </w:rPr>
              <w:t>1,099</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50"/>
              <w:spacing w:after="0"/>
              <w:rPr>
                <w:sz w:val="20"/>
                <w:szCs w:val="20"/>
                <w:color w:val="auto"/>
              </w:rPr>
            </w:pPr>
            <w:r>
              <w:rPr>
                <w:rFonts w:ascii="Arial" w:cs="Arial" w:eastAsia="Arial" w:hAnsi="Arial"/>
                <w:sz w:val="18"/>
                <w:szCs w:val="18"/>
                <w:color w:val="auto"/>
              </w:rPr>
              <w:t>1,406</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70"/>
              <w:spacing w:after="0"/>
              <w:rPr>
                <w:sz w:val="20"/>
                <w:szCs w:val="20"/>
                <w:color w:val="auto"/>
              </w:rPr>
            </w:pPr>
            <w:r>
              <w:rPr>
                <w:rFonts w:ascii="Arial" w:cs="Arial" w:eastAsia="Arial" w:hAnsi="Arial"/>
                <w:sz w:val="18"/>
                <w:szCs w:val="18"/>
                <w:color w:val="auto"/>
              </w:rPr>
              <w:t>920</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895</w:t>
            </w:r>
          </w:p>
        </w:tc>
        <w:tc>
          <w:tcPr>
            <w:tcW w:w="34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50"/>
              <w:spacing w:after="0"/>
              <w:rPr>
                <w:sz w:val="20"/>
                <w:szCs w:val="20"/>
                <w:color w:val="auto"/>
              </w:rPr>
            </w:pPr>
            <w:r>
              <w:rPr>
                <w:rFonts w:ascii="Arial" w:cs="Arial" w:eastAsia="Arial" w:hAnsi="Arial"/>
                <w:sz w:val="18"/>
                <w:szCs w:val="18"/>
                <w:color w:val="auto"/>
              </w:rPr>
              <w:t>649</w:t>
            </w:r>
          </w:p>
        </w:tc>
      </w:tr>
      <w:tr>
        <w:trPr>
          <w:trHeight w:val="243"/>
        </w:trPr>
        <w:tc>
          <w:tcPr>
            <w:tcW w:w="3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ind w:right="570"/>
              <w:spacing w:after="0"/>
              <w:rPr>
                <w:sz w:val="20"/>
                <w:szCs w:val="20"/>
                <w:color w:val="auto"/>
              </w:rPr>
            </w:pPr>
            <w:r>
              <w:rPr>
                <w:rFonts w:ascii="Arial" w:cs="Arial" w:eastAsia="Arial" w:hAnsi="Arial"/>
                <w:sz w:val="18"/>
                <w:szCs w:val="18"/>
                <w:color w:val="auto"/>
                <w:w w:val="89"/>
              </w:rPr>
              <w:t>&lt; P&gt;</w:t>
            </w:r>
          </w:p>
        </w:tc>
      </w:tr>
      <w:tr>
        <w:trPr>
          <w:trHeight w:val="404"/>
        </w:trPr>
        <w:tc>
          <w:tcPr>
            <w:tcW w:w="3720" w:type="dxa"/>
            <w:vAlign w:val="bottom"/>
          </w:tcPr>
          <w:p>
            <w:pPr>
              <w:ind w:left="20"/>
              <w:spacing w:after="0"/>
              <w:rPr>
                <w:sz w:val="20"/>
                <w:szCs w:val="20"/>
                <w:color w:val="auto"/>
              </w:rPr>
            </w:pPr>
            <w:r>
              <w:rPr>
                <w:rFonts w:ascii="Arial" w:cs="Arial" w:eastAsia="Arial" w:hAnsi="Arial"/>
                <w:sz w:val="18"/>
                <w:szCs w:val="18"/>
                <w:color w:val="auto"/>
              </w:rPr>
              <w:t>Income per common share from continuing</w:t>
            </w: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8"/>
                <w:szCs w:val="18"/>
                <w:color w:val="auto"/>
              </w:rPr>
              <w:t>operations before cumulative effect of</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0"/>
        </w:trPr>
        <w:tc>
          <w:tcPr>
            <w:tcW w:w="3720" w:type="dxa"/>
            <w:vAlign w:val="bottom"/>
          </w:tcPr>
          <w:p>
            <w:pPr>
              <w:ind w:left="120"/>
              <w:spacing w:after="0"/>
              <w:rPr>
                <w:sz w:val="20"/>
                <w:szCs w:val="20"/>
                <w:color w:val="auto"/>
              </w:rPr>
            </w:pPr>
            <w:r>
              <w:rPr>
                <w:rFonts w:ascii="Arial" w:cs="Arial" w:eastAsia="Arial" w:hAnsi="Arial"/>
                <w:sz w:val="18"/>
                <w:szCs w:val="18"/>
                <w:color w:val="auto"/>
              </w:rPr>
              <w:t>changes in accounting principles:</w:t>
            </w: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43"/>
        </w:trPr>
        <w:tc>
          <w:tcPr>
            <w:tcW w:w="3720" w:type="dxa"/>
            <w:vAlign w:val="bottom"/>
          </w:tcPr>
          <w:p>
            <w:pPr>
              <w:ind w:left="540"/>
              <w:spacing w:after="0"/>
              <w:rPr>
                <w:sz w:val="20"/>
                <w:szCs w:val="20"/>
                <w:color w:val="auto"/>
              </w:rPr>
            </w:pPr>
            <w:r>
              <w:rPr>
                <w:rFonts w:ascii="Arial" w:cs="Arial" w:eastAsia="Arial" w:hAnsi="Arial"/>
                <w:sz w:val="18"/>
                <w:szCs w:val="18"/>
                <w:color w:val="auto"/>
              </w:rPr>
              <w:t>Basic</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50"/>
              <w:spacing w:after="0"/>
              <w:rPr>
                <w:sz w:val="20"/>
                <w:szCs w:val="20"/>
                <w:color w:val="auto"/>
              </w:rPr>
            </w:pPr>
            <w:r>
              <w:rPr>
                <w:rFonts w:ascii="Arial" w:cs="Arial" w:eastAsia="Arial" w:hAnsi="Arial"/>
                <w:sz w:val="18"/>
                <w:szCs w:val="18"/>
                <w:color w:val="auto"/>
              </w:rPr>
              <w:t>4.34</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50"/>
              <w:spacing w:after="0"/>
              <w:rPr>
                <w:sz w:val="20"/>
                <w:szCs w:val="20"/>
                <w:color w:val="auto"/>
              </w:rPr>
            </w:pPr>
            <w:r>
              <w:rPr>
                <w:rFonts w:ascii="Arial" w:cs="Arial" w:eastAsia="Arial" w:hAnsi="Arial"/>
                <w:sz w:val="18"/>
                <w:szCs w:val="18"/>
                <w:color w:val="auto"/>
              </w:rPr>
              <w:t>4.25</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70"/>
              <w:spacing w:after="0"/>
              <w:rPr>
                <w:sz w:val="20"/>
                <w:szCs w:val="20"/>
                <w:color w:val="auto"/>
              </w:rPr>
            </w:pPr>
            <w:r>
              <w:rPr>
                <w:rFonts w:ascii="Arial" w:cs="Arial" w:eastAsia="Arial" w:hAnsi="Arial"/>
                <w:sz w:val="18"/>
                <w:szCs w:val="18"/>
                <w:color w:val="auto"/>
              </w:rPr>
              <w:t>3.71</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4.01</w:t>
            </w:r>
          </w:p>
        </w:tc>
        <w:tc>
          <w:tcPr>
            <w:tcW w:w="34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50"/>
              <w:spacing w:after="0"/>
              <w:rPr>
                <w:sz w:val="20"/>
                <w:szCs w:val="20"/>
                <w:color w:val="auto"/>
              </w:rPr>
            </w:pPr>
            <w:r>
              <w:rPr>
                <w:rFonts w:ascii="Arial" w:cs="Arial" w:eastAsia="Arial" w:hAnsi="Arial"/>
                <w:sz w:val="18"/>
                <w:szCs w:val="18"/>
                <w:color w:val="auto"/>
              </w:rPr>
              <w:t>3.53</w:t>
            </w:r>
          </w:p>
        </w:tc>
      </w:tr>
      <w:tr>
        <w:trPr>
          <w:trHeight w:val="243"/>
        </w:trPr>
        <w:tc>
          <w:tcPr>
            <w:tcW w:w="3720" w:type="dxa"/>
            <w:vAlign w:val="bottom"/>
          </w:tcPr>
          <w:p>
            <w:pPr>
              <w:ind w:left="540"/>
              <w:spacing w:after="0"/>
              <w:rPr>
                <w:sz w:val="20"/>
                <w:szCs w:val="20"/>
                <w:color w:val="auto"/>
              </w:rPr>
            </w:pPr>
            <w:r>
              <w:rPr>
                <w:rFonts w:ascii="Arial" w:cs="Arial" w:eastAsia="Arial" w:hAnsi="Arial"/>
                <w:sz w:val="18"/>
                <w:szCs w:val="18"/>
                <w:color w:val="auto"/>
              </w:rPr>
              <w:t>Diluted</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50"/>
              <w:spacing w:after="0"/>
              <w:rPr>
                <w:sz w:val="20"/>
                <w:szCs w:val="20"/>
                <w:color w:val="auto"/>
              </w:rPr>
            </w:pPr>
            <w:r>
              <w:rPr>
                <w:rFonts w:ascii="Arial" w:cs="Arial" w:eastAsia="Arial" w:hAnsi="Arial"/>
                <w:sz w:val="18"/>
                <w:szCs w:val="18"/>
                <w:color w:val="auto"/>
              </w:rPr>
              <w:t>4.26</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50"/>
              <w:spacing w:after="0"/>
              <w:rPr>
                <w:sz w:val="20"/>
                <w:szCs w:val="20"/>
                <w:color w:val="auto"/>
              </w:rPr>
            </w:pPr>
            <w:r>
              <w:rPr>
                <w:rFonts w:ascii="Arial" w:cs="Arial" w:eastAsia="Arial" w:hAnsi="Arial"/>
                <w:sz w:val="18"/>
                <w:szCs w:val="18"/>
                <w:color w:val="auto"/>
              </w:rPr>
              <w:t>4.17</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70"/>
              <w:spacing w:after="0"/>
              <w:rPr>
                <w:sz w:val="20"/>
                <w:szCs w:val="20"/>
                <w:color w:val="auto"/>
              </w:rPr>
            </w:pPr>
            <w:r>
              <w:rPr>
                <w:rFonts w:ascii="Arial" w:cs="Arial" w:eastAsia="Arial" w:hAnsi="Arial"/>
                <w:sz w:val="18"/>
                <w:szCs w:val="18"/>
                <w:color w:val="auto"/>
              </w:rPr>
              <w:t>3.62</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3.92</w:t>
            </w:r>
          </w:p>
        </w:tc>
        <w:tc>
          <w:tcPr>
            <w:tcW w:w="34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50"/>
              <w:spacing w:after="0"/>
              <w:rPr>
                <w:sz w:val="20"/>
                <w:szCs w:val="20"/>
                <w:color w:val="auto"/>
              </w:rPr>
            </w:pPr>
            <w:r>
              <w:rPr>
                <w:rFonts w:ascii="Arial" w:cs="Arial" w:eastAsia="Arial" w:hAnsi="Arial"/>
                <w:sz w:val="18"/>
                <w:szCs w:val="18"/>
                <w:color w:val="auto"/>
              </w:rPr>
              <w:t>3.48</w:t>
            </w:r>
          </w:p>
        </w:tc>
      </w:tr>
      <w:tr>
        <w:trPr>
          <w:trHeight w:val="243"/>
        </w:trPr>
        <w:tc>
          <w:tcPr>
            <w:tcW w:w="3720" w:type="dxa"/>
            <w:vAlign w:val="bottom"/>
          </w:tcPr>
          <w:p>
            <w:pPr>
              <w:ind w:left="20"/>
              <w:spacing w:after="0"/>
              <w:rPr>
                <w:sz w:val="20"/>
                <w:szCs w:val="20"/>
                <w:color w:val="auto"/>
              </w:rPr>
            </w:pPr>
            <w:r>
              <w:rPr>
                <w:rFonts w:ascii="Arial" w:cs="Arial" w:eastAsia="Arial" w:hAnsi="Arial"/>
                <w:sz w:val="18"/>
                <w:szCs w:val="18"/>
                <w:color w:val="auto"/>
              </w:rPr>
              <w:t>Net income per common share:</w:t>
            </w: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43"/>
        </w:trPr>
        <w:tc>
          <w:tcPr>
            <w:tcW w:w="3720" w:type="dxa"/>
            <w:vAlign w:val="bottom"/>
          </w:tcPr>
          <w:p>
            <w:pPr>
              <w:ind w:left="540"/>
              <w:spacing w:after="0"/>
              <w:rPr>
                <w:sz w:val="20"/>
                <w:szCs w:val="20"/>
                <w:color w:val="auto"/>
              </w:rPr>
            </w:pPr>
            <w:r>
              <w:rPr>
                <w:rFonts w:ascii="Arial" w:cs="Arial" w:eastAsia="Arial" w:hAnsi="Arial"/>
                <w:sz w:val="18"/>
                <w:szCs w:val="18"/>
                <w:color w:val="auto"/>
              </w:rPr>
              <w:t>Basic</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50"/>
              <w:spacing w:after="0"/>
              <w:rPr>
                <w:sz w:val="20"/>
                <w:szCs w:val="20"/>
                <w:color w:val="auto"/>
              </w:rPr>
            </w:pPr>
            <w:r>
              <w:rPr>
                <w:rFonts w:ascii="Arial" w:cs="Arial" w:eastAsia="Arial" w:hAnsi="Arial"/>
                <w:sz w:val="18"/>
                <w:szCs w:val="18"/>
                <w:color w:val="auto"/>
              </w:rPr>
              <w:t>4.24</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50"/>
              <w:spacing w:after="0"/>
              <w:rPr>
                <w:sz w:val="20"/>
                <w:szCs w:val="20"/>
                <w:color w:val="auto"/>
              </w:rPr>
            </w:pPr>
            <w:r>
              <w:rPr>
                <w:rFonts w:ascii="Arial" w:cs="Arial" w:eastAsia="Arial" w:hAnsi="Arial"/>
                <w:sz w:val="18"/>
                <w:szCs w:val="18"/>
                <w:color w:val="auto"/>
              </w:rPr>
              <w:t>5.48</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70"/>
              <w:spacing w:after="0"/>
              <w:rPr>
                <w:sz w:val="20"/>
                <w:szCs w:val="20"/>
                <w:color w:val="auto"/>
              </w:rPr>
            </w:pPr>
            <w:r>
              <w:rPr>
                <w:rFonts w:ascii="Arial" w:cs="Arial" w:eastAsia="Arial" w:hAnsi="Arial"/>
                <w:sz w:val="18"/>
                <w:szCs w:val="18"/>
                <w:color w:val="auto"/>
              </w:rPr>
              <w:t>3.74</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3.92</w:t>
            </w:r>
          </w:p>
        </w:tc>
        <w:tc>
          <w:tcPr>
            <w:tcW w:w="34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50"/>
              <w:spacing w:after="0"/>
              <w:rPr>
                <w:sz w:val="20"/>
                <w:szCs w:val="20"/>
                <w:color w:val="auto"/>
              </w:rPr>
            </w:pPr>
            <w:r>
              <w:rPr>
                <w:rFonts w:ascii="Arial" w:cs="Arial" w:eastAsia="Arial" w:hAnsi="Arial"/>
                <w:sz w:val="18"/>
                <w:szCs w:val="18"/>
                <w:color w:val="auto"/>
              </w:rPr>
              <w:t>3.07</w:t>
            </w:r>
          </w:p>
        </w:tc>
      </w:tr>
      <w:tr>
        <w:trPr>
          <w:trHeight w:val="243"/>
        </w:trPr>
        <w:tc>
          <w:tcPr>
            <w:tcW w:w="3720" w:type="dxa"/>
            <w:vAlign w:val="bottom"/>
          </w:tcPr>
          <w:p>
            <w:pPr>
              <w:ind w:left="540"/>
              <w:spacing w:after="0"/>
              <w:rPr>
                <w:sz w:val="20"/>
                <w:szCs w:val="20"/>
                <w:color w:val="auto"/>
              </w:rPr>
            </w:pPr>
            <w:r>
              <w:rPr>
                <w:rFonts w:ascii="Arial" w:cs="Arial" w:eastAsia="Arial" w:hAnsi="Arial"/>
                <w:sz w:val="18"/>
                <w:szCs w:val="18"/>
                <w:color w:val="auto"/>
              </w:rPr>
              <w:t>Diluted</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50"/>
              <w:spacing w:after="0"/>
              <w:rPr>
                <w:sz w:val="20"/>
                <w:szCs w:val="20"/>
                <w:color w:val="auto"/>
              </w:rPr>
            </w:pPr>
            <w:r>
              <w:rPr>
                <w:rFonts w:ascii="Arial" w:cs="Arial" w:eastAsia="Arial" w:hAnsi="Arial"/>
                <w:sz w:val="18"/>
                <w:szCs w:val="18"/>
                <w:color w:val="auto"/>
              </w:rPr>
              <w:t>4.16</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50"/>
              <w:spacing w:after="0"/>
              <w:rPr>
                <w:sz w:val="20"/>
                <w:szCs w:val="20"/>
                <w:color w:val="auto"/>
              </w:rPr>
            </w:pPr>
            <w:r>
              <w:rPr>
                <w:rFonts w:ascii="Arial" w:cs="Arial" w:eastAsia="Arial" w:hAnsi="Arial"/>
                <w:sz w:val="18"/>
                <w:szCs w:val="18"/>
                <w:color w:val="auto"/>
              </w:rPr>
              <w:t>5.38</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70"/>
              <w:spacing w:after="0"/>
              <w:rPr>
                <w:sz w:val="20"/>
                <w:szCs w:val="20"/>
                <w:color w:val="auto"/>
              </w:rPr>
            </w:pPr>
            <w:r>
              <w:rPr>
                <w:rFonts w:ascii="Arial" w:cs="Arial" w:eastAsia="Arial" w:hAnsi="Arial"/>
                <w:sz w:val="18"/>
                <w:szCs w:val="18"/>
                <w:color w:val="auto"/>
              </w:rPr>
              <w:t>3.65</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3.83</w:t>
            </w:r>
          </w:p>
        </w:tc>
        <w:tc>
          <w:tcPr>
            <w:tcW w:w="34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50"/>
              <w:spacing w:after="0"/>
              <w:rPr>
                <w:sz w:val="20"/>
                <w:szCs w:val="20"/>
                <w:color w:val="auto"/>
              </w:rPr>
            </w:pPr>
            <w:r>
              <w:rPr>
                <w:rFonts w:ascii="Arial" w:cs="Arial" w:eastAsia="Arial" w:hAnsi="Arial"/>
                <w:sz w:val="18"/>
                <w:szCs w:val="18"/>
                <w:color w:val="auto"/>
              </w:rPr>
              <w:t>3.03</w:t>
            </w:r>
          </w:p>
        </w:tc>
      </w:tr>
      <w:tr>
        <w:trPr>
          <w:trHeight w:val="243"/>
        </w:trPr>
        <w:tc>
          <w:tcPr>
            <w:tcW w:w="3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ind w:right="570"/>
              <w:spacing w:after="0"/>
              <w:rPr>
                <w:sz w:val="20"/>
                <w:szCs w:val="20"/>
                <w:color w:val="auto"/>
              </w:rPr>
            </w:pPr>
            <w:r>
              <w:rPr>
                <w:rFonts w:ascii="Arial" w:cs="Arial" w:eastAsia="Arial" w:hAnsi="Arial"/>
                <w:sz w:val="18"/>
                <w:szCs w:val="18"/>
                <w:color w:val="auto"/>
                <w:w w:val="89"/>
              </w:rPr>
              <w:t>&lt; P&gt;</w:t>
            </w:r>
          </w:p>
        </w:tc>
      </w:tr>
      <w:tr>
        <w:trPr>
          <w:trHeight w:val="419"/>
        </w:trPr>
        <w:tc>
          <w:tcPr>
            <w:tcW w:w="3720" w:type="dxa"/>
            <w:vAlign w:val="bottom"/>
          </w:tcPr>
          <w:p>
            <w:pPr>
              <w:ind w:left="20"/>
              <w:spacing w:after="0"/>
              <w:rPr>
                <w:sz w:val="20"/>
                <w:szCs w:val="20"/>
                <w:color w:val="auto"/>
              </w:rPr>
            </w:pPr>
            <w:r>
              <w:rPr>
                <w:rFonts w:ascii="Arial" w:cs="Arial" w:eastAsia="Arial" w:hAnsi="Arial"/>
                <w:sz w:val="18"/>
                <w:szCs w:val="18"/>
                <w:color w:val="auto"/>
              </w:rPr>
              <w:t>Dividends declared per common share</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50"/>
              <w:spacing w:after="0"/>
              <w:rPr>
                <w:sz w:val="20"/>
                <w:szCs w:val="20"/>
                <w:color w:val="auto"/>
              </w:rPr>
            </w:pPr>
            <w:r>
              <w:rPr>
                <w:rFonts w:ascii="Arial" w:cs="Arial" w:eastAsia="Arial" w:hAnsi="Arial"/>
                <w:sz w:val="18"/>
                <w:szCs w:val="18"/>
                <w:color w:val="auto"/>
              </w:rPr>
              <w:t>1.24</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50"/>
              <w:spacing w:after="0"/>
              <w:rPr>
                <w:sz w:val="20"/>
                <w:szCs w:val="20"/>
                <w:color w:val="auto"/>
              </w:rPr>
            </w:pPr>
            <w:r>
              <w:rPr>
                <w:rFonts w:ascii="Arial" w:cs="Arial" w:eastAsia="Arial" w:hAnsi="Arial"/>
                <w:sz w:val="18"/>
                <w:szCs w:val="18"/>
                <w:color w:val="auto"/>
              </w:rPr>
              <w:t>1.20</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70"/>
              <w:spacing w:after="0"/>
              <w:rPr>
                <w:sz w:val="20"/>
                <w:szCs w:val="20"/>
                <w:color w:val="auto"/>
              </w:rPr>
            </w:pPr>
            <w:r>
              <w:rPr>
                <w:rFonts w:ascii="Arial" w:cs="Arial" w:eastAsia="Arial" w:hAnsi="Arial"/>
                <w:sz w:val="18"/>
                <w:szCs w:val="18"/>
                <w:color w:val="auto"/>
              </w:rPr>
              <w:t>1.16</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1.00</w:t>
            </w:r>
          </w:p>
        </w:tc>
        <w:tc>
          <w:tcPr>
            <w:tcW w:w="3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50"/>
              <w:spacing w:after="0"/>
              <w:rPr>
                <w:sz w:val="20"/>
                <w:szCs w:val="20"/>
                <w:color w:val="auto"/>
              </w:rPr>
            </w:pPr>
            <w:r>
              <w:rPr>
                <w:rFonts w:ascii="Arial" w:cs="Arial" w:eastAsia="Arial" w:hAnsi="Arial"/>
                <w:sz w:val="18"/>
                <w:szCs w:val="18"/>
                <w:color w:val="auto"/>
              </w:rPr>
              <w:t>1.00</w:t>
            </w:r>
          </w:p>
        </w:tc>
      </w:tr>
      <w:tr>
        <w:trPr>
          <w:trHeight w:val="243"/>
        </w:trPr>
        <w:tc>
          <w:tcPr>
            <w:tcW w:w="3720" w:type="dxa"/>
            <w:vAlign w:val="bottom"/>
          </w:tcPr>
          <w:p>
            <w:pPr>
              <w:ind w:left="20"/>
              <w:spacing w:after="0"/>
              <w:rPr>
                <w:sz w:val="20"/>
                <w:szCs w:val="20"/>
                <w:color w:val="auto"/>
              </w:rPr>
            </w:pPr>
            <w:r>
              <w:rPr>
                <w:rFonts w:ascii="Arial" w:cs="Arial" w:eastAsia="Arial" w:hAnsi="Arial"/>
                <w:sz w:val="18"/>
                <w:szCs w:val="18"/>
                <w:color w:val="auto"/>
              </w:rPr>
              <w:t>Return on common equity</w:t>
            </w:r>
          </w:p>
        </w:tc>
        <w:tc>
          <w:tcPr>
            <w:tcW w:w="240" w:type="dxa"/>
            <w:vAlign w:val="bottom"/>
          </w:tcPr>
          <w:p>
            <w:pPr>
              <w:spacing w:after="0"/>
              <w:rPr>
                <w:sz w:val="21"/>
                <w:szCs w:val="21"/>
                <w:color w:val="auto"/>
              </w:rPr>
            </w:pPr>
          </w:p>
        </w:tc>
        <w:tc>
          <w:tcPr>
            <w:tcW w:w="820" w:type="dxa"/>
            <w:vAlign w:val="bottom"/>
          </w:tcPr>
          <w:p>
            <w:pPr>
              <w:jc w:val="right"/>
              <w:ind w:right="150"/>
              <w:spacing w:after="0"/>
              <w:rPr>
                <w:sz w:val="20"/>
                <w:szCs w:val="20"/>
                <w:color w:val="auto"/>
              </w:rPr>
            </w:pPr>
            <w:r>
              <w:rPr>
                <w:rFonts w:ascii="Arial" w:cs="Arial" w:eastAsia="Arial" w:hAnsi="Arial"/>
                <w:sz w:val="18"/>
                <w:szCs w:val="18"/>
                <w:color w:val="auto"/>
              </w:rPr>
              <w:t>13.9%</w:t>
            </w:r>
          </w:p>
        </w:tc>
        <w:tc>
          <w:tcPr>
            <w:tcW w:w="440" w:type="dxa"/>
            <w:vAlign w:val="bottom"/>
          </w:tcPr>
          <w:p>
            <w:pPr>
              <w:spacing w:after="0"/>
              <w:rPr>
                <w:sz w:val="21"/>
                <w:szCs w:val="21"/>
                <w:color w:val="auto"/>
              </w:rPr>
            </w:pPr>
          </w:p>
        </w:tc>
        <w:tc>
          <w:tcPr>
            <w:tcW w:w="820" w:type="dxa"/>
            <w:vAlign w:val="bottom"/>
          </w:tcPr>
          <w:p>
            <w:pPr>
              <w:jc w:val="right"/>
              <w:ind w:right="150"/>
              <w:spacing w:after="0"/>
              <w:rPr>
                <w:sz w:val="20"/>
                <w:szCs w:val="20"/>
                <w:color w:val="auto"/>
              </w:rPr>
            </w:pPr>
            <w:r>
              <w:rPr>
                <w:rFonts w:ascii="Arial" w:cs="Arial" w:eastAsia="Arial" w:hAnsi="Arial"/>
                <w:sz w:val="18"/>
                <w:szCs w:val="18"/>
                <w:color w:val="auto"/>
              </w:rPr>
              <w:t>20.6%</w:t>
            </w:r>
          </w:p>
        </w:tc>
        <w:tc>
          <w:tcPr>
            <w:tcW w:w="440" w:type="dxa"/>
            <w:vAlign w:val="bottom"/>
          </w:tcPr>
          <w:p>
            <w:pPr>
              <w:spacing w:after="0"/>
              <w:rPr>
                <w:sz w:val="21"/>
                <w:szCs w:val="21"/>
                <w:color w:val="auto"/>
              </w:rPr>
            </w:pPr>
          </w:p>
        </w:tc>
        <w:tc>
          <w:tcPr>
            <w:tcW w:w="840" w:type="dxa"/>
            <w:vAlign w:val="bottom"/>
          </w:tcPr>
          <w:p>
            <w:pPr>
              <w:jc w:val="right"/>
              <w:ind w:right="170"/>
              <w:spacing w:after="0"/>
              <w:rPr>
                <w:sz w:val="20"/>
                <w:szCs w:val="20"/>
                <w:color w:val="auto"/>
              </w:rPr>
            </w:pPr>
            <w:r>
              <w:rPr>
                <w:rFonts w:ascii="Arial" w:cs="Arial" w:eastAsia="Arial" w:hAnsi="Arial"/>
                <w:sz w:val="18"/>
                <w:szCs w:val="18"/>
                <w:color w:val="auto"/>
              </w:rPr>
              <w:t>16.7%</w:t>
            </w:r>
          </w:p>
        </w:tc>
        <w:tc>
          <w:tcPr>
            <w:tcW w:w="4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20.5%</w:t>
            </w: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color w:val="auto"/>
              </w:rPr>
              <w:t>19.3%</w:t>
            </w:r>
          </w:p>
        </w:tc>
      </w:tr>
      <w:tr>
        <w:trPr>
          <w:trHeight w:val="243"/>
        </w:trPr>
        <w:tc>
          <w:tcPr>
            <w:tcW w:w="3720" w:type="dxa"/>
            <w:vAlign w:val="bottom"/>
          </w:tcPr>
          <w:p>
            <w:pPr>
              <w:ind w:left="20"/>
              <w:spacing w:after="0"/>
              <w:rPr>
                <w:sz w:val="20"/>
                <w:szCs w:val="20"/>
                <w:color w:val="auto"/>
              </w:rPr>
            </w:pPr>
            <w:r>
              <w:rPr>
                <w:rFonts w:ascii="Arial" w:cs="Arial" w:eastAsia="Arial" w:hAnsi="Arial"/>
                <w:sz w:val="18"/>
                <w:szCs w:val="18"/>
                <w:color w:val="auto"/>
              </w:rPr>
              <w:t>Effective income tax rate</w:t>
            </w:r>
          </w:p>
        </w:tc>
        <w:tc>
          <w:tcPr>
            <w:tcW w:w="240" w:type="dxa"/>
            <w:vAlign w:val="bottom"/>
          </w:tcPr>
          <w:p>
            <w:pPr>
              <w:spacing w:after="0"/>
              <w:rPr>
                <w:sz w:val="21"/>
                <w:szCs w:val="21"/>
                <w:color w:val="auto"/>
              </w:rPr>
            </w:pPr>
          </w:p>
        </w:tc>
        <w:tc>
          <w:tcPr>
            <w:tcW w:w="820" w:type="dxa"/>
            <w:vAlign w:val="bottom"/>
          </w:tcPr>
          <w:p>
            <w:pPr>
              <w:jc w:val="right"/>
              <w:ind w:right="150"/>
              <w:spacing w:after="0"/>
              <w:rPr>
                <w:sz w:val="20"/>
                <w:szCs w:val="20"/>
                <w:color w:val="auto"/>
              </w:rPr>
            </w:pPr>
            <w:r>
              <w:rPr>
                <w:rFonts w:ascii="Arial" w:cs="Arial" w:eastAsia="Arial" w:hAnsi="Arial"/>
                <w:sz w:val="18"/>
                <w:szCs w:val="18"/>
                <w:color w:val="auto"/>
              </w:rPr>
              <w:t>34%</w:t>
            </w:r>
          </w:p>
        </w:tc>
        <w:tc>
          <w:tcPr>
            <w:tcW w:w="440" w:type="dxa"/>
            <w:vAlign w:val="bottom"/>
          </w:tcPr>
          <w:p>
            <w:pPr>
              <w:spacing w:after="0"/>
              <w:rPr>
                <w:sz w:val="21"/>
                <w:szCs w:val="21"/>
                <w:color w:val="auto"/>
              </w:rPr>
            </w:pPr>
          </w:p>
        </w:tc>
        <w:tc>
          <w:tcPr>
            <w:tcW w:w="820" w:type="dxa"/>
            <w:vAlign w:val="bottom"/>
          </w:tcPr>
          <w:p>
            <w:pPr>
              <w:jc w:val="right"/>
              <w:ind w:right="150"/>
              <w:spacing w:after="0"/>
              <w:rPr>
                <w:sz w:val="20"/>
                <w:szCs w:val="20"/>
                <w:color w:val="auto"/>
              </w:rPr>
            </w:pPr>
            <w:r>
              <w:rPr>
                <w:rFonts w:ascii="Arial" w:cs="Arial" w:eastAsia="Arial" w:hAnsi="Arial"/>
                <w:sz w:val="18"/>
                <w:szCs w:val="18"/>
                <w:color w:val="auto"/>
              </w:rPr>
              <w:t>33%</w:t>
            </w:r>
          </w:p>
        </w:tc>
        <w:tc>
          <w:tcPr>
            <w:tcW w:w="440" w:type="dxa"/>
            <w:vAlign w:val="bottom"/>
          </w:tcPr>
          <w:p>
            <w:pPr>
              <w:spacing w:after="0"/>
              <w:rPr>
                <w:sz w:val="21"/>
                <w:szCs w:val="21"/>
                <w:color w:val="auto"/>
              </w:rPr>
            </w:pPr>
          </w:p>
        </w:tc>
        <w:tc>
          <w:tcPr>
            <w:tcW w:w="840" w:type="dxa"/>
            <w:vAlign w:val="bottom"/>
          </w:tcPr>
          <w:p>
            <w:pPr>
              <w:jc w:val="right"/>
              <w:ind w:right="170"/>
              <w:spacing w:after="0"/>
              <w:rPr>
                <w:sz w:val="20"/>
                <w:szCs w:val="20"/>
                <w:color w:val="auto"/>
              </w:rPr>
            </w:pPr>
            <w:r>
              <w:rPr>
                <w:rFonts w:ascii="Arial" w:cs="Arial" w:eastAsia="Arial" w:hAnsi="Arial"/>
                <w:sz w:val="18"/>
                <w:szCs w:val="18"/>
                <w:color w:val="auto"/>
              </w:rPr>
              <w:t>4%</w:t>
            </w:r>
          </w:p>
        </w:tc>
        <w:tc>
          <w:tcPr>
            <w:tcW w:w="4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w:t>
            </w: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color w:val="auto"/>
              </w:rPr>
              <w:t>9%</w:t>
            </w:r>
          </w:p>
        </w:tc>
      </w:tr>
      <w:tr>
        <w:trPr>
          <w:trHeight w:val="243"/>
        </w:trPr>
        <w:tc>
          <w:tcPr>
            <w:tcW w:w="3720" w:type="dxa"/>
            <w:vAlign w:val="bottom"/>
          </w:tcPr>
          <w:p>
            <w:pPr>
              <w:ind w:left="20"/>
              <w:spacing w:after="0"/>
              <w:rPr>
                <w:sz w:val="20"/>
                <w:szCs w:val="20"/>
                <w:color w:val="auto"/>
              </w:rPr>
            </w:pPr>
            <w:r>
              <w:rPr>
                <w:rFonts w:ascii="Arial" w:cs="Arial" w:eastAsia="Arial" w:hAnsi="Arial"/>
                <w:sz w:val="18"/>
                <w:szCs w:val="18"/>
                <w:color w:val="auto"/>
              </w:rPr>
              <w:t>Price range of common shares</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50"/>
              <w:spacing w:after="0"/>
              <w:rPr>
                <w:sz w:val="20"/>
                <w:szCs w:val="20"/>
                <w:color w:val="auto"/>
              </w:rPr>
            </w:pPr>
            <w:r>
              <w:rPr>
                <w:rFonts w:ascii="Arial" w:cs="Arial" w:eastAsia="Arial" w:hAnsi="Arial"/>
                <w:sz w:val="18"/>
                <w:szCs w:val="18"/>
                <w:color w:val="auto"/>
              </w:rPr>
              <w:t>66.38-</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50"/>
              <w:spacing w:after="0"/>
              <w:rPr>
                <w:sz w:val="20"/>
                <w:szCs w:val="20"/>
                <w:color w:val="auto"/>
              </w:rPr>
            </w:pPr>
            <w:r>
              <w:rPr>
                <w:rFonts w:ascii="Arial" w:cs="Arial" w:eastAsia="Arial" w:hAnsi="Arial"/>
                <w:sz w:val="18"/>
                <w:szCs w:val="18"/>
                <w:color w:val="auto"/>
              </w:rPr>
              <w:t>57.35-</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70"/>
              <w:spacing w:after="0"/>
              <w:rPr>
                <w:sz w:val="20"/>
                <w:szCs w:val="20"/>
                <w:color w:val="auto"/>
              </w:rPr>
            </w:pPr>
            <w:r>
              <w:rPr>
                <w:rFonts w:ascii="Arial" w:cs="Arial" w:eastAsia="Arial" w:hAnsi="Arial"/>
                <w:sz w:val="18"/>
                <w:szCs w:val="18"/>
                <w:color w:val="auto"/>
              </w:rPr>
              <w:t>47.86-</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37.93-</w:t>
            </w:r>
          </w:p>
        </w:tc>
        <w:tc>
          <w:tcPr>
            <w:tcW w:w="34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50"/>
              <w:spacing w:after="0"/>
              <w:rPr>
                <w:sz w:val="20"/>
                <w:szCs w:val="20"/>
                <w:color w:val="auto"/>
              </w:rPr>
            </w:pPr>
            <w:r>
              <w:rPr>
                <w:rFonts w:ascii="Arial" w:cs="Arial" w:eastAsia="Arial" w:hAnsi="Arial"/>
                <w:sz w:val="18"/>
                <w:szCs w:val="18"/>
                <w:color w:val="auto"/>
              </w:rPr>
              <w:t>30.90-</w:t>
            </w:r>
          </w:p>
        </w:tc>
      </w:tr>
      <w:tr>
        <w:trPr>
          <w:trHeight w:val="243"/>
        </w:trPr>
        <w:tc>
          <w:tcPr>
            <w:tcW w:w="3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ind w:right="150"/>
              <w:spacing w:after="0"/>
              <w:rPr>
                <w:sz w:val="20"/>
                <w:szCs w:val="20"/>
                <w:color w:val="auto"/>
              </w:rPr>
            </w:pPr>
            <w:r>
              <w:rPr>
                <w:rFonts w:ascii="Arial" w:cs="Arial" w:eastAsia="Arial" w:hAnsi="Arial"/>
                <w:sz w:val="18"/>
                <w:szCs w:val="18"/>
                <w:color w:val="auto"/>
              </w:rPr>
              <w:t>50.95</w:t>
            </w:r>
          </w:p>
        </w:tc>
        <w:tc>
          <w:tcPr>
            <w:tcW w:w="440" w:type="dxa"/>
            <w:vAlign w:val="bottom"/>
          </w:tcPr>
          <w:p>
            <w:pPr>
              <w:spacing w:after="0"/>
              <w:rPr>
                <w:sz w:val="21"/>
                <w:szCs w:val="21"/>
                <w:color w:val="auto"/>
              </w:rPr>
            </w:pPr>
          </w:p>
        </w:tc>
        <w:tc>
          <w:tcPr>
            <w:tcW w:w="820" w:type="dxa"/>
            <w:vAlign w:val="bottom"/>
          </w:tcPr>
          <w:p>
            <w:pPr>
              <w:jc w:val="right"/>
              <w:ind w:right="150"/>
              <w:spacing w:after="0"/>
              <w:rPr>
                <w:sz w:val="20"/>
                <w:szCs w:val="20"/>
                <w:color w:val="auto"/>
              </w:rPr>
            </w:pPr>
            <w:r>
              <w:rPr>
                <w:rFonts w:ascii="Arial" w:cs="Arial" w:eastAsia="Arial" w:hAnsi="Arial"/>
                <w:sz w:val="18"/>
                <w:szCs w:val="18"/>
                <w:color w:val="auto"/>
              </w:rPr>
              <w:t>42.90</w:t>
            </w:r>
          </w:p>
        </w:tc>
        <w:tc>
          <w:tcPr>
            <w:tcW w:w="440" w:type="dxa"/>
            <w:vAlign w:val="bottom"/>
          </w:tcPr>
          <w:p>
            <w:pPr>
              <w:spacing w:after="0"/>
              <w:rPr>
                <w:sz w:val="21"/>
                <w:szCs w:val="21"/>
                <w:color w:val="auto"/>
              </w:rPr>
            </w:pPr>
          </w:p>
        </w:tc>
        <w:tc>
          <w:tcPr>
            <w:tcW w:w="840" w:type="dxa"/>
            <w:vAlign w:val="bottom"/>
          </w:tcPr>
          <w:p>
            <w:pPr>
              <w:jc w:val="right"/>
              <w:ind w:right="170"/>
              <w:spacing w:after="0"/>
              <w:rPr>
                <w:sz w:val="20"/>
                <w:szCs w:val="20"/>
                <w:color w:val="auto"/>
              </w:rPr>
            </w:pPr>
            <w:r>
              <w:rPr>
                <w:rFonts w:ascii="Arial" w:cs="Arial" w:eastAsia="Arial" w:hAnsi="Arial"/>
                <w:sz w:val="18"/>
                <w:szCs w:val="18"/>
                <w:color w:val="auto"/>
              </w:rPr>
              <w:t>35.53</w:t>
            </w:r>
          </w:p>
        </w:tc>
        <w:tc>
          <w:tcPr>
            <w:tcW w:w="4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29.51</w:t>
            </w: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color w:val="auto"/>
              </w:rPr>
              <w:t>22.25</w:t>
            </w:r>
          </w:p>
        </w:tc>
      </w:tr>
      <w:tr>
        <w:trPr>
          <w:trHeight w:val="243"/>
        </w:trPr>
        <w:tc>
          <w:tcPr>
            <w:tcW w:w="3720" w:type="dxa"/>
            <w:vAlign w:val="bottom"/>
          </w:tcPr>
          <w:p>
            <w:pPr>
              <w:ind w:left="20"/>
              <w:spacing w:after="0"/>
              <w:rPr>
                <w:sz w:val="20"/>
                <w:szCs w:val="20"/>
                <w:color w:val="auto"/>
              </w:rPr>
            </w:pPr>
            <w:r>
              <w:rPr>
                <w:rFonts w:ascii="Arial" w:cs="Arial" w:eastAsia="Arial" w:hAnsi="Arial"/>
                <w:sz w:val="18"/>
                <w:szCs w:val="18"/>
                <w:color w:val="auto"/>
              </w:rPr>
              <w:t>Weighted average rate base:</w:t>
            </w: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43"/>
        </w:trPr>
        <w:tc>
          <w:tcPr>
            <w:tcW w:w="3720" w:type="dxa"/>
            <w:vAlign w:val="bottom"/>
          </w:tcPr>
          <w:p>
            <w:pPr>
              <w:ind w:left="280"/>
              <w:spacing w:after="0"/>
              <w:rPr>
                <w:sz w:val="20"/>
                <w:szCs w:val="20"/>
                <w:color w:val="auto"/>
              </w:rPr>
            </w:pPr>
            <w:r>
              <w:rPr>
                <w:rFonts w:ascii="Arial" w:cs="Arial" w:eastAsia="Arial" w:hAnsi="Arial"/>
                <w:sz w:val="18"/>
                <w:szCs w:val="18"/>
                <w:color w:val="auto"/>
              </w:rPr>
              <w:t>SoCalGas</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50"/>
              <w:spacing w:after="0"/>
              <w:rPr>
                <w:sz w:val="20"/>
                <w:szCs w:val="20"/>
                <w:color w:val="auto"/>
              </w:rPr>
            </w:pPr>
            <w:r>
              <w:rPr>
                <w:rFonts w:ascii="Arial" w:cs="Arial" w:eastAsia="Arial" w:hAnsi="Arial"/>
                <w:sz w:val="18"/>
                <w:szCs w:val="18"/>
                <w:color w:val="auto"/>
              </w:rPr>
              <w:t>2,642</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50"/>
              <w:spacing w:after="0"/>
              <w:rPr>
                <w:sz w:val="20"/>
                <w:szCs w:val="20"/>
                <w:color w:val="auto"/>
              </w:rPr>
            </w:pPr>
            <w:r>
              <w:rPr>
                <w:rFonts w:ascii="Arial" w:cs="Arial" w:eastAsia="Arial" w:hAnsi="Arial"/>
                <w:sz w:val="18"/>
                <w:szCs w:val="18"/>
                <w:color w:val="auto"/>
              </w:rPr>
              <w:t>2,477</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70"/>
              <w:spacing w:after="0"/>
              <w:rPr>
                <w:sz w:val="20"/>
                <w:szCs w:val="20"/>
                <w:color w:val="auto"/>
              </w:rPr>
            </w:pPr>
            <w:r>
              <w:rPr>
                <w:rFonts w:ascii="Arial" w:cs="Arial" w:eastAsia="Arial" w:hAnsi="Arial"/>
                <w:sz w:val="18"/>
                <w:szCs w:val="18"/>
                <w:color w:val="auto"/>
              </w:rPr>
              <w:t>2,386</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2,351</w:t>
            </w:r>
          </w:p>
        </w:tc>
        <w:tc>
          <w:tcPr>
            <w:tcW w:w="34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50"/>
              <w:spacing w:after="0"/>
              <w:rPr>
                <w:sz w:val="20"/>
                <w:szCs w:val="20"/>
                <w:color w:val="auto"/>
              </w:rPr>
            </w:pPr>
            <w:r>
              <w:rPr>
                <w:rFonts w:ascii="Arial" w:cs="Arial" w:eastAsia="Arial" w:hAnsi="Arial"/>
                <w:sz w:val="18"/>
                <w:szCs w:val="18"/>
                <w:color w:val="auto"/>
              </w:rPr>
              <w:t>2,268</w:t>
            </w:r>
          </w:p>
        </w:tc>
      </w:tr>
      <w:tr>
        <w:trPr>
          <w:trHeight w:val="243"/>
        </w:trPr>
        <w:tc>
          <w:tcPr>
            <w:tcW w:w="3720" w:type="dxa"/>
            <w:vAlign w:val="bottom"/>
          </w:tcPr>
          <w:p>
            <w:pPr>
              <w:ind w:left="280"/>
              <w:spacing w:after="0"/>
              <w:rPr>
                <w:sz w:val="20"/>
                <w:szCs w:val="20"/>
                <w:color w:val="auto"/>
              </w:rPr>
            </w:pPr>
            <w:r>
              <w:rPr>
                <w:rFonts w:ascii="Arial" w:cs="Arial" w:eastAsia="Arial" w:hAnsi="Arial"/>
                <w:sz w:val="18"/>
                <w:szCs w:val="18"/>
                <w:color w:val="auto"/>
              </w:rPr>
              <w:t>SDG&amp;E</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50"/>
              <w:spacing w:after="0"/>
              <w:rPr>
                <w:sz w:val="20"/>
                <w:szCs w:val="20"/>
                <w:color w:val="auto"/>
              </w:rPr>
            </w:pPr>
            <w:r>
              <w:rPr>
                <w:rFonts w:ascii="Arial" w:cs="Arial" w:eastAsia="Arial" w:hAnsi="Arial"/>
                <w:sz w:val="18"/>
                <w:szCs w:val="18"/>
                <w:color w:val="auto"/>
              </w:rPr>
              <w:t>3,846</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50"/>
              <w:spacing w:after="0"/>
              <w:rPr>
                <w:sz w:val="20"/>
                <w:szCs w:val="20"/>
                <w:color w:val="auto"/>
              </w:rPr>
            </w:pPr>
            <w:r>
              <w:rPr>
                <w:rFonts w:ascii="Arial" w:cs="Arial" w:eastAsia="Arial" w:hAnsi="Arial"/>
                <w:sz w:val="18"/>
                <w:szCs w:val="18"/>
                <w:color w:val="auto"/>
              </w:rPr>
              <w:t>3,474</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70"/>
              <w:spacing w:after="0"/>
              <w:rPr>
                <w:sz w:val="20"/>
                <w:szCs w:val="20"/>
                <w:color w:val="auto"/>
              </w:rPr>
            </w:pPr>
            <w:r>
              <w:rPr>
                <w:rFonts w:ascii="Arial" w:cs="Arial" w:eastAsia="Arial" w:hAnsi="Arial"/>
                <w:sz w:val="18"/>
                <w:szCs w:val="18"/>
                <w:color w:val="auto"/>
              </w:rPr>
              <w:t>2,902</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2,755</w:t>
            </w:r>
          </w:p>
        </w:tc>
        <w:tc>
          <w:tcPr>
            <w:tcW w:w="34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50"/>
              <w:spacing w:after="0"/>
              <w:rPr>
                <w:sz w:val="20"/>
                <w:szCs w:val="20"/>
                <w:color w:val="auto"/>
              </w:rPr>
            </w:pPr>
            <w:r>
              <w:rPr>
                <w:rFonts w:ascii="Arial" w:cs="Arial" w:eastAsia="Arial" w:hAnsi="Arial"/>
                <w:sz w:val="18"/>
                <w:szCs w:val="18"/>
                <w:color w:val="auto"/>
              </w:rPr>
              <w:t>2,619</w:t>
            </w:r>
          </w:p>
        </w:tc>
      </w:tr>
      <w:tr>
        <w:trPr>
          <w:trHeight w:val="229"/>
        </w:trPr>
        <w:tc>
          <w:tcPr>
            <w:tcW w:w="3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&lt;</w:t>
            </w:r>
          </w:p>
        </w:tc>
      </w:tr>
      <w:tr>
        <w:trPr>
          <w:trHeight w:val="230"/>
        </w:trPr>
        <w:tc>
          <w:tcPr>
            <w:tcW w:w="3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/P&gt;</w:t>
            </w:r>
          </w:p>
        </w:tc>
      </w:tr>
      <w:tr>
        <w:trPr>
          <w:trHeight w:val="243"/>
        </w:trPr>
        <w:tc>
          <w:tcPr>
            <w:tcW w:w="3720" w:type="dxa"/>
            <w:vAlign w:val="bottom"/>
          </w:tcPr>
          <w:p>
            <w:pPr>
              <w:ind w:left="20"/>
              <w:spacing w:after="0"/>
              <w:rPr>
                <w:sz w:val="20"/>
                <w:szCs w:val="20"/>
                <w:color w:val="auto"/>
              </w:rPr>
            </w:pPr>
            <w:r>
              <w:rPr>
                <w:rFonts w:ascii="Arial" w:cs="Arial" w:eastAsia="Arial" w:hAnsi="Arial"/>
                <w:sz w:val="18"/>
                <w:szCs w:val="18"/>
                <w:color w:val="auto"/>
              </w:rPr>
              <w:t>AT DECEMBER 31</w:t>
            </w: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43"/>
        </w:trPr>
        <w:tc>
          <w:tcPr>
            <w:tcW w:w="37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50"/>
              <w:spacing w:after="0"/>
              <w:rPr>
                <w:sz w:val="20"/>
                <w:szCs w:val="20"/>
                <w:color w:val="auto"/>
              </w:rPr>
            </w:pPr>
            <w:r>
              <w:rPr>
                <w:rFonts w:ascii="Arial" w:cs="Arial" w:eastAsia="Arial" w:hAnsi="Arial"/>
                <w:sz w:val="18"/>
                <w:szCs w:val="18"/>
                <w:color w:val="auto"/>
              </w:rPr>
              <w:t>11,338</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50"/>
              <w:spacing w:after="0"/>
              <w:rPr>
                <w:sz w:val="20"/>
                <w:szCs w:val="20"/>
                <w:color w:val="auto"/>
              </w:rPr>
            </w:pPr>
            <w:r>
              <w:rPr>
                <w:rFonts w:ascii="Arial" w:cs="Arial" w:eastAsia="Arial" w:hAnsi="Arial"/>
                <w:sz w:val="18"/>
                <w:szCs w:val="18"/>
                <w:color w:val="auto"/>
              </w:rPr>
              <w:t>12,016</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70"/>
              <w:spacing w:after="0"/>
              <w:rPr>
                <w:sz w:val="20"/>
                <w:szCs w:val="20"/>
                <w:color w:val="auto"/>
              </w:rPr>
            </w:pPr>
            <w:r>
              <w:rPr>
                <w:rFonts w:ascii="Arial" w:cs="Arial" w:eastAsia="Arial" w:hAnsi="Arial"/>
                <w:sz w:val="18"/>
                <w:szCs w:val="18"/>
                <w:color w:val="auto"/>
              </w:rPr>
              <w:t>13,827</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9,306</w:t>
            </w:r>
          </w:p>
        </w:tc>
        <w:tc>
          <w:tcPr>
            <w:tcW w:w="34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50"/>
              <w:spacing w:after="0"/>
              <w:rPr>
                <w:sz w:val="20"/>
                <w:szCs w:val="20"/>
                <w:color w:val="auto"/>
              </w:rPr>
            </w:pPr>
            <w:r>
              <w:rPr>
                <w:rFonts w:ascii="Arial" w:cs="Arial" w:eastAsia="Arial" w:hAnsi="Arial"/>
                <w:sz w:val="18"/>
                <w:szCs w:val="18"/>
                <w:color w:val="auto"/>
              </w:rPr>
              <w:t>8,310</w:t>
            </w:r>
          </w:p>
        </w:tc>
      </w:tr>
      <w:tr>
        <w:trPr>
          <w:trHeight w:val="243"/>
        </w:trPr>
        <w:tc>
          <w:tcPr>
            <w:tcW w:w="372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50"/>
              <w:spacing w:after="0"/>
              <w:rPr>
                <w:sz w:val="20"/>
                <w:szCs w:val="20"/>
                <w:color w:val="auto"/>
              </w:rPr>
            </w:pPr>
            <w:r>
              <w:rPr>
                <w:rFonts w:ascii="Arial" w:cs="Arial" w:eastAsia="Arial" w:hAnsi="Arial"/>
                <w:sz w:val="18"/>
                <w:szCs w:val="18"/>
                <w:color w:val="auto"/>
              </w:rPr>
              <w:t>30,091</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50"/>
              <w:spacing w:after="0"/>
              <w:rPr>
                <w:sz w:val="20"/>
                <w:szCs w:val="20"/>
                <w:color w:val="auto"/>
              </w:rPr>
            </w:pPr>
            <w:r>
              <w:rPr>
                <w:rFonts w:ascii="Arial" w:cs="Arial" w:eastAsia="Arial" w:hAnsi="Arial"/>
                <w:sz w:val="18"/>
                <w:szCs w:val="18"/>
                <w:color w:val="auto"/>
              </w:rPr>
              <w:t>28,949</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70"/>
              <w:spacing w:after="0"/>
              <w:rPr>
                <w:sz w:val="20"/>
                <w:szCs w:val="20"/>
                <w:color w:val="auto"/>
              </w:rPr>
            </w:pPr>
            <w:r>
              <w:rPr>
                <w:rFonts w:ascii="Arial" w:cs="Arial" w:eastAsia="Arial" w:hAnsi="Arial"/>
                <w:sz w:val="18"/>
                <w:szCs w:val="18"/>
                <w:color w:val="auto"/>
              </w:rPr>
              <w:t>29,246</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23,847</w:t>
            </w:r>
          </w:p>
        </w:tc>
        <w:tc>
          <w:tcPr>
            <w:tcW w:w="34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50"/>
              <w:spacing w:after="0"/>
              <w:rPr>
                <w:sz w:val="20"/>
                <w:szCs w:val="20"/>
                <w:color w:val="auto"/>
              </w:rPr>
            </w:pPr>
            <w:r>
              <w:rPr>
                <w:rFonts w:ascii="Arial" w:cs="Arial" w:eastAsia="Arial" w:hAnsi="Arial"/>
                <w:sz w:val="18"/>
                <w:szCs w:val="18"/>
                <w:color w:val="auto"/>
              </w:rPr>
              <w:t>22,053</w:t>
            </w:r>
          </w:p>
        </w:tc>
      </w:tr>
      <w:tr>
        <w:trPr>
          <w:trHeight w:val="243"/>
        </w:trPr>
        <w:tc>
          <w:tcPr>
            <w:tcW w:w="37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50"/>
              <w:spacing w:after="0"/>
              <w:rPr>
                <w:sz w:val="20"/>
                <w:szCs w:val="20"/>
                <w:color w:val="auto"/>
              </w:rPr>
            </w:pPr>
            <w:r>
              <w:rPr>
                <w:rFonts w:ascii="Arial" w:cs="Arial" w:eastAsia="Arial" w:hAnsi="Arial"/>
                <w:sz w:val="18"/>
                <w:szCs w:val="18"/>
                <w:color w:val="auto"/>
              </w:rPr>
              <w:t>10,394</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50"/>
              <w:spacing w:after="0"/>
              <w:rPr>
                <w:sz w:val="20"/>
                <w:szCs w:val="20"/>
                <w:color w:val="auto"/>
              </w:rPr>
            </w:pPr>
            <w:r>
              <w:rPr>
                <w:rFonts w:ascii="Arial" w:cs="Arial" w:eastAsia="Arial" w:hAnsi="Arial"/>
                <w:sz w:val="18"/>
                <w:szCs w:val="18"/>
                <w:color w:val="auto"/>
              </w:rPr>
              <w:t>10,349</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70"/>
              <w:spacing w:after="0"/>
              <w:rPr>
                <w:sz w:val="20"/>
                <w:szCs w:val="20"/>
                <w:color w:val="auto"/>
              </w:rPr>
            </w:pPr>
            <w:r>
              <w:rPr>
                <w:rFonts w:ascii="Arial" w:cs="Arial" w:eastAsia="Arial" w:hAnsi="Arial"/>
                <w:sz w:val="18"/>
                <w:szCs w:val="18"/>
                <w:color w:val="auto"/>
              </w:rPr>
              <w:t>12,253</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9,183</w:t>
            </w:r>
          </w:p>
        </w:tc>
        <w:tc>
          <w:tcPr>
            <w:tcW w:w="34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50"/>
              <w:spacing w:after="0"/>
              <w:rPr>
                <w:sz w:val="20"/>
                <w:szCs w:val="20"/>
                <w:color w:val="auto"/>
              </w:rPr>
            </w:pPr>
            <w:r>
              <w:rPr>
                <w:rFonts w:ascii="Arial" w:cs="Arial" w:eastAsia="Arial" w:hAnsi="Arial"/>
                <w:sz w:val="18"/>
                <w:szCs w:val="18"/>
                <w:color w:val="auto"/>
              </w:rPr>
              <w:t>8,662</w:t>
            </w:r>
          </w:p>
        </w:tc>
      </w:tr>
      <w:tr>
        <w:trPr>
          <w:trHeight w:val="243"/>
        </w:trPr>
        <w:tc>
          <w:tcPr>
            <w:tcW w:w="3720" w:type="dxa"/>
            <w:vAlign w:val="bottom"/>
          </w:tcPr>
          <w:p>
            <w:pPr>
              <w:ind w:left="20"/>
              <w:spacing w:after="0"/>
              <w:rPr>
                <w:sz w:val="20"/>
                <w:szCs w:val="20"/>
                <w:color w:val="auto"/>
              </w:rPr>
            </w:pPr>
            <w:r>
              <w:rPr>
                <w:rFonts w:ascii="Arial" w:cs="Arial" w:eastAsia="Arial" w:hAnsi="Arial"/>
                <w:sz w:val="18"/>
                <w:szCs w:val="18"/>
                <w:color w:val="auto"/>
              </w:rPr>
              <w:t>Long-term debt (excludes current portion)</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50"/>
              <w:spacing w:after="0"/>
              <w:rPr>
                <w:sz w:val="20"/>
                <w:szCs w:val="20"/>
                <w:color w:val="auto"/>
              </w:rPr>
            </w:pPr>
            <w:r>
              <w:rPr>
                <w:rFonts w:ascii="Arial" w:cs="Arial" w:eastAsia="Arial" w:hAnsi="Arial"/>
                <w:sz w:val="18"/>
                <w:szCs w:val="18"/>
                <w:color w:val="auto"/>
              </w:rPr>
              <w:t>4,553</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50"/>
              <w:spacing w:after="0"/>
              <w:rPr>
                <w:sz w:val="20"/>
                <w:szCs w:val="20"/>
                <w:color w:val="auto"/>
              </w:rPr>
            </w:pPr>
            <w:r>
              <w:rPr>
                <w:rFonts w:ascii="Arial" w:cs="Arial" w:eastAsia="Arial" w:hAnsi="Arial"/>
                <w:sz w:val="18"/>
                <w:szCs w:val="18"/>
                <w:color w:val="auto"/>
              </w:rPr>
              <w:t>4,525</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70"/>
              <w:spacing w:after="0"/>
              <w:rPr>
                <w:sz w:val="20"/>
                <w:szCs w:val="20"/>
                <w:color w:val="auto"/>
              </w:rPr>
            </w:pPr>
            <w:r>
              <w:rPr>
                <w:rFonts w:ascii="Arial" w:cs="Arial" w:eastAsia="Arial" w:hAnsi="Arial"/>
                <w:sz w:val="18"/>
                <w:szCs w:val="18"/>
                <w:color w:val="auto"/>
              </w:rPr>
              <w:t>4,815</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4,182</w:t>
            </w:r>
          </w:p>
        </w:tc>
        <w:tc>
          <w:tcPr>
            <w:tcW w:w="34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50"/>
              <w:spacing w:after="0"/>
              <w:rPr>
                <w:sz w:val="20"/>
                <w:szCs w:val="20"/>
                <w:color w:val="auto"/>
              </w:rPr>
            </w:pPr>
            <w:r>
              <w:rPr>
                <w:rFonts w:ascii="Arial" w:cs="Arial" w:eastAsia="Arial" w:hAnsi="Arial"/>
                <w:sz w:val="18"/>
                <w:szCs w:val="18"/>
                <w:color w:val="auto"/>
              </w:rPr>
              <w:t>3,828</w:t>
            </w:r>
          </w:p>
        </w:tc>
      </w:tr>
      <w:tr>
        <w:trPr>
          <w:trHeight w:val="243"/>
        </w:trPr>
        <w:tc>
          <w:tcPr>
            <w:tcW w:w="3720" w:type="dxa"/>
            <w:vAlign w:val="bottom"/>
          </w:tcPr>
          <w:p>
            <w:pPr>
              <w:ind w:left="20"/>
              <w:spacing w:after="0"/>
              <w:rPr>
                <w:sz w:val="20"/>
                <w:szCs w:val="20"/>
                <w:color w:val="auto"/>
              </w:rPr>
            </w:pPr>
            <w:r>
              <w:rPr>
                <w:rFonts w:ascii="Arial" w:cs="Arial" w:eastAsia="Arial" w:hAnsi="Arial"/>
                <w:sz w:val="18"/>
                <w:szCs w:val="18"/>
                <w:color w:val="auto"/>
              </w:rPr>
              <w:t>Trust preferred securities</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200</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50"/>
              <w:spacing w:after="0"/>
              <w:rPr>
                <w:sz w:val="20"/>
                <w:szCs w:val="20"/>
                <w:color w:val="auto"/>
              </w:rPr>
            </w:pPr>
            <w:r>
              <w:rPr>
                <w:rFonts w:ascii="Arial" w:cs="Arial" w:eastAsia="Arial" w:hAnsi="Arial"/>
                <w:sz w:val="18"/>
                <w:szCs w:val="18"/>
                <w:color w:val="auto"/>
              </w:rPr>
              <w:t>200</w:t>
            </w:r>
          </w:p>
        </w:tc>
      </w:tr>
      <w:tr>
        <w:trPr>
          <w:trHeight w:val="243"/>
        </w:trPr>
        <w:tc>
          <w:tcPr>
            <w:tcW w:w="3720" w:type="dxa"/>
            <w:vAlign w:val="bottom"/>
          </w:tcPr>
          <w:p>
            <w:pPr>
              <w:ind w:left="20"/>
              <w:spacing w:after="0"/>
              <w:rPr>
                <w:sz w:val="20"/>
                <w:szCs w:val="20"/>
                <w:color w:val="auto"/>
              </w:rPr>
            </w:pPr>
            <w:r>
              <w:rPr>
                <w:rFonts w:ascii="Arial" w:cs="Arial" w:eastAsia="Arial" w:hAnsi="Arial"/>
                <w:sz w:val="18"/>
                <w:szCs w:val="18"/>
                <w:color w:val="auto"/>
              </w:rPr>
              <w:t>Shareholders’ equity</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50"/>
              <w:spacing w:after="0"/>
              <w:rPr>
                <w:sz w:val="20"/>
                <w:szCs w:val="20"/>
                <w:color w:val="auto"/>
              </w:rPr>
            </w:pPr>
            <w:r>
              <w:rPr>
                <w:rFonts w:ascii="Arial" w:cs="Arial" w:eastAsia="Arial" w:hAnsi="Arial"/>
                <w:sz w:val="18"/>
                <w:szCs w:val="18"/>
                <w:color w:val="auto"/>
              </w:rPr>
              <w:t>8,339</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50"/>
              <w:spacing w:after="0"/>
              <w:rPr>
                <w:sz w:val="20"/>
                <w:szCs w:val="20"/>
                <w:color w:val="auto"/>
              </w:rPr>
            </w:pPr>
            <w:r>
              <w:rPr>
                <w:rFonts w:ascii="Arial" w:cs="Arial" w:eastAsia="Arial" w:hAnsi="Arial"/>
                <w:sz w:val="18"/>
                <w:szCs w:val="18"/>
                <w:color w:val="auto"/>
              </w:rPr>
              <w:t>7,511</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70"/>
              <w:spacing w:after="0"/>
              <w:rPr>
                <w:sz w:val="20"/>
                <w:szCs w:val="20"/>
                <w:color w:val="auto"/>
              </w:rPr>
            </w:pPr>
            <w:r>
              <w:rPr>
                <w:rFonts w:ascii="Arial" w:cs="Arial" w:eastAsia="Arial" w:hAnsi="Arial"/>
                <w:sz w:val="18"/>
                <w:szCs w:val="18"/>
                <w:color w:val="auto"/>
              </w:rPr>
              <w:t>6,160</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4,865</w:t>
            </w:r>
          </w:p>
        </w:tc>
        <w:tc>
          <w:tcPr>
            <w:tcW w:w="34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50"/>
              <w:spacing w:after="0"/>
              <w:rPr>
                <w:sz w:val="20"/>
                <w:szCs w:val="20"/>
                <w:color w:val="auto"/>
              </w:rPr>
            </w:pPr>
            <w:r>
              <w:rPr>
                <w:rFonts w:ascii="Arial" w:cs="Arial" w:eastAsia="Arial" w:hAnsi="Arial"/>
                <w:sz w:val="18"/>
                <w:szCs w:val="18"/>
                <w:color w:val="auto"/>
              </w:rPr>
              <w:t>3,890</w:t>
            </w:r>
          </w:p>
        </w:tc>
      </w:tr>
      <w:tr>
        <w:trPr>
          <w:trHeight w:val="243"/>
        </w:trPr>
        <w:tc>
          <w:tcPr>
            <w:tcW w:w="3720" w:type="dxa"/>
            <w:vAlign w:val="bottom"/>
          </w:tcPr>
          <w:p>
            <w:pPr>
              <w:ind w:left="20"/>
              <w:spacing w:after="0"/>
              <w:rPr>
                <w:sz w:val="20"/>
                <w:szCs w:val="20"/>
                <w:color w:val="auto"/>
              </w:rPr>
            </w:pPr>
            <w:r>
              <w:rPr>
                <w:rFonts w:ascii="Arial" w:cs="Arial" w:eastAsia="Arial" w:hAnsi="Arial"/>
                <w:sz w:val="18"/>
                <w:szCs w:val="18"/>
                <w:color w:val="auto"/>
              </w:rPr>
              <w:t>Common shares outstanding</w:t>
            </w:r>
          </w:p>
        </w:tc>
        <w:tc>
          <w:tcPr>
            <w:tcW w:w="240" w:type="dxa"/>
            <w:vAlign w:val="bottom"/>
          </w:tcPr>
          <w:p>
            <w:pPr>
              <w:spacing w:after="0"/>
              <w:rPr>
                <w:sz w:val="21"/>
                <w:szCs w:val="21"/>
                <w:color w:val="auto"/>
              </w:rPr>
            </w:pPr>
          </w:p>
        </w:tc>
        <w:tc>
          <w:tcPr>
            <w:tcW w:w="820" w:type="dxa"/>
            <w:vAlign w:val="bottom"/>
          </w:tcPr>
          <w:p>
            <w:pPr>
              <w:jc w:val="right"/>
              <w:ind w:right="150"/>
              <w:spacing w:after="0"/>
              <w:rPr>
                <w:sz w:val="20"/>
                <w:szCs w:val="20"/>
                <w:color w:val="auto"/>
              </w:rPr>
            </w:pPr>
            <w:r>
              <w:rPr>
                <w:rFonts w:ascii="Arial" w:cs="Arial" w:eastAsia="Arial" w:hAnsi="Arial"/>
                <w:sz w:val="18"/>
                <w:szCs w:val="18"/>
                <w:color w:val="auto"/>
              </w:rPr>
              <w:t>261.2</w:t>
            </w:r>
          </w:p>
        </w:tc>
        <w:tc>
          <w:tcPr>
            <w:tcW w:w="440" w:type="dxa"/>
            <w:vAlign w:val="bottom"/>
          </w:tcPr>
          <w:p>
            <w:pPr>
              <w:spacing w:after="0"/>
              <w:rPr>
                <w:sz w:val="21"/>
                <w:szCs w:val="21"/>
                <w:color w:val="auto"/>
              </w:rPr>
            </w:pPr>
          </w:p>
        </w:tc>
        <w:tc>
          <w:tcPr>
            <w:tcW w:w="820" w:type="dxa"/>
            <w:vAlign w:val="bottom"/>
          </w:tcPr>
          <w:p>
            <w:pPr>
              <w:jc w:val="right"/>
              <w:ind w:right="150"/>
              <w:spacing w:after="0"/>
              <w:rPr>
                <w:sz w:val="20"/>
                <w:szCs w:val="20"/>
                <w:color w:val="auto"/>
              </w:rPr>
            </w:pPr>
            <w:r>
              <w:rPr>
                <w:rFonts w:ascii="Arial" w:cs="Arial" w:eastAsia="Arial" w:hAnsi="Arial"/>
                <w:sz w:val="18"/>
                <w:szCs w:val="18"/>
                <w:color w:val="auto"/>
              </w:rPr>
              <w:t>262.0</w:t>
            </w:r>
          </w:p>
        </w:tc>
        <w:tc>
          <w:tcPr>
            <w:tcW w:w="440" w:type="dxa"/>
            <w:vAlign w:val="bottom"/>
          </w:tcPr>
          <w:p>
            <w:pPr>
              <w:spacing w:after="0"/>
              <w:rPr>
                <w:sz w:val="21"/>
                <w:szCs w:val="21"/>
                <w:color w:val="auto"/>
              </w:rPr>
            </w:pPr>
          </w:p>
        </w:tc>
        <w:tc>
          <w:tcPr>
            <w:tcW w:w="840" w:type="dxa"/>
            <w:vAlign w:val="bottom"/>
          </w:tcPr>
          <w:p>
            <w:pPr>
              <w:jc w:val="right"/>
              <w:ind w:right="170"/>
              <w:spacing w:after="0"/>
              <w:rPr>
                <w:sz w:val="20"/>
                <w:szCs w:val="20"/>
                <w:color w:val="auto"/>
              </w:rPr>
            </w:pPr>
            <w:r>
              <w:rPr>
                <w:rFonts w:ascii="Arial" w:cs="Arial" w:eastAsia="Arial" w:hAnsi="Arial"/>
                <w:sz w:val="18"/>
                <w:szCs w:val="18"/>
                <w:color w:val="auto"/>
              </w:rPr>
              <w:t>257.2</w:t>
            </w:r>
          </w:p>
        </w:tc>
        <w:tc>
          <w:tcPr>
            <w:tcW w:w="4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234.2</w:t>
            </w: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color w:val="auto"/>
              </w:rPr>
              <w:t>226.6</w:t>
            </w:r>
          </w:p>
        </w:tc>
      </w:tr>
      <w:tr>
        <w:trPr>
          <w:trHeight w:val="243"/>
        </w:trPr>
        <w:tc>
          <w:tcPr>
            <w:tcW w:w="3720" w:type="dxa"/>
            <w:vAlign w:val="bottom"/>
          </w:tcPr>
          <w:p>
            <w:pPr>
              <w:ind w:left="20"/>
              <w:spacing w:after="0"/>
              <w:rPr>
                <w:sz w:val="20"/>
                <w:szCs w:val="20"/>
                <w:color w:val="auto"/>
              </w:rPr>
            </w:pPr>
            <w:r>
              <w:rPr>
                <w:rFonts w:ascii="Arial" w:cs="Arial" w:eastAsia="Arial" w:hAnsi="Arial"/>
                <w:sz w:val="18"/>
                <w:szCs w:val="18"/>
                <w:color w:val="auto"/>
              </w:rPr>
              <w:t>Book value per share</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50"/>
              <w:spacing w:after="0"/>
              <w:rPr>
                <w:sz w:val="20"/>
                <w:szCs w:val="20"/>
                <w:color w:val="auto"/>
              </w:rPr>
            </w:pPr>
            <w:r>
              <w:rPr>
                <w:rFonts w:ascii="Arial" w:cs="Arial" w:eastAsia="Arial" w:hAnsi="Arial"/>
                <w:sz w:val="18"/>
                <w:szCs w:val="18"/>
                <w:color w:val="auto"/>
              </w:rPr>
              <w:t>31.93</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50"/>
              <w:spacing w:after="0"/>
              <w:rPr>
                <w:sz w:val="20"/>
                <w:szCs w:val="20"/>
                <w:color w:val="auto"/>
              </w:rPr>
            </w:pPr>
            <w:r>
              <w:rPr>
                <w:rFonts w:ascii="Arial" w:cs="Arial" w:eastAsia="Arial" w:hAnsi="Arial"/>
                <w:sz w:val="18"/>
                <w:szCs w:val="18"/>
                <w:color w:val="auto"/>
              </w:rPr>
              <w:t>28.67</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70"/>
              <w:spacing w:after="0"/>
              <w:rPr>
                <w:sz w:val="20"/>
                <w:szCs w:val="20"/>
                <w:color w:val="auto"/>
              </w:rPr>
            </w:pPr>
            <w:r>
              <w:rPr>
                <w:rFonts w:ascii="Arial" w:cs="Arial" w:eastAsia="Arial" w:hAnsi="Arial"/>
                <w:sz w:val="18"/>
                <w:szCs w:val="18"/>
                <w:color w:val="auto"/>
              </w:rPr>
              <w:t>23.95</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20.77</w:t>
            </w:r>
          </w:p>
        </w:tc>
        <w:tc>
          <w:tcPr>
            <w:tcW w:w="34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50"/>
              <w:spacing w:after="0"/>
              <w:rPr>
                <w:sz w:val="20"/>
                <w:szCs w:val="20"/>
                <w:color w:val="auto"/>
              </w:rPr>
            </w:pPr>
            <w:r>
              <w:rPr>
                <w:rFonts w:ascii="Arial" w:cs="Arial" w:eastAsia="Arial" w:hAnsi="Arial"/>
                <w:sz w:val="18"/>
                <w:szCs w:val="18"/>
                <w:color w:val="auto"/>
              </w:rPr>
              <w:t>17.17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459740</wp:posOffset>
            </wp:positionH>
            <wp:positionV relativeFrom="paragraph">
              <wp:posOffset>8890</wp:posOffset>
            </wp:positionV>
            <wp:extent cx="634619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346190" cy="26035"/>
                    </a:xfrm>
                    <a:prstGeom prst="rect">
                      <a:avLst/>
                    </a:prstGeom>
                    <a:noFill/>
                  </pic:spPr>
                </pic:pic>
              </a:graphicData>
            </a:graphic>
          </wp:anchor>
        </w:drawing>
      </w:r>
    </w:p>
    <w:p>
      <w:pPr>
        <w:spacing w:after="0" w:line="33" w:lineRule="exact"/>
        <w:rPr>
          <w:sz w:val="20"/>
          <w:szCs w:val="20"/>
          <w:color w:val="auto"/>
        </w:rPr>
      </w:pPr>
    </w:p>
    <w:p>
      <w:pPr>
        <w:ind w:left="740"/>
        <w:spacing w:after="0"/>
        <w:rPr>
          <w:sz w:val="20"/>
          <w:szCs w:val="20"/>
          <w:color w:val="auto"/>
        </w:rPr>
      </w:pPr>
      <w:r>
        <w:rPr>
          <w:rFonts w:ascii="Arial" w:cs="Arial" w:eastAsia="Arial" w:hAnsi="Arial"/>
          <w:sz w:val="18"/>
          <w:szCs w:val="18"/>
          <w:color w:val="auto"/>
        </w:rPr>
        <w:t>* The company redeemed these securities in February 2005.</w:t>
      </w:r>
    </w:p>
    <w:p>
      <w:pPr>
        <w:spacing w:after="0" w:line="263" w:lineRule="exact"/>
        <w:rPr>
          <w:sz w:val="20"/>
          <w:szCs w:val="20"/>
          <w:color w:val="auto"/>
        </w:rPr>
      </w:pPr>
    </w:p>
    <w:p>
      <w:pPr>
        <w:ind w:right="240"/>
        <w:spacing w:after="0" w:line="260" w:lineRule="auto"/>
        <w:rPr>
          <w:sz w:val="20"/>
          <w:szCs w:val="20"/>
          <w:color w:val="auto"/>
        </w:rPr>
      </w:pPr>
      <w:r>
        <w:rPr>
          <w:rFonts w:ascii="Arial" w:cs="Arial" w:eastAsia="Arial" w:hAnsi="Arial"/>
          <w:sz w:val="20"/>
          <w:szCs w:val="20"/>
          <w:color w:val="auto"/>
        </w:rPr>
        <w:t>Note 5 of the Notes to Consolidated Financial Statements discusses discontinued operations. Note 16 of the Notes to Consolidated Financial Statements discusses litigation and other contingencies.</w:t>
      </w:r>
    </w:p>
    <w:p>
      <w:pPr>
        <w:spacing w:after="0" w:line="204" w:lineRule="exact"/>
        <w:rPr>
          <w:sz w:val="20"/>
          <w:szCs w:val="20"/>
          <w:color w:val="auto"/>
        </w:rPr>
      </w:pPr>
    </w:p>
    <w:p>
      <w:pPr>
        <w:spacing w:after="0" w:line="263" w:lineRule="auto"/>
        <w:rPr>
          <w:sz w:val="20"/>
          <w:szCs w:val="20"/>
          <w:color w:val="auto"/>
        </w:rPr>
      </w:pPr>
      <w:r>
        <w:rPr>
          <w:rFonts w:ascii="Arial" w:cs="Arial" w:eastAsia="Arial" w:hAnsi="Arial"/>
          <w:sz w:val="19"/>
          <w:szCs w:val="19"/>
          <w:color w:val="auto"/>
        </w:rPr>
        <w:t xml:space="preserve">In 2003, the company recorded a $46 million decrease to net income from the cumulative effect of changes in accounting principles. The $46 million included $29 million from the initial effect of the rescission of Emerging Issues Task Force Issue 98-10, </w:t>
      </w:r>
      <w:r>
        <w:rPr>
          <w:rFonts w:ascii="Arial" w:cs="Arial" w:eastAsia="Arial" w:hAnsi="Arial"/>
          <w:sz w:val="19"/>
          <w:szCs w:val="19"/>
          <w:i w:val="1"/>
          <w:iCs w:val="1"/>
          <w:color w:val="auto"/>
        </w:rPr>
        <w:t>Accounting for Contracts</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Involved in Energy Trading and Risk Management Activities </w:t>
      </w:r>
      <w:r>
        <w:rPr>
          <w:rFonts w:ascii="Arial" w:cs="Arial" w:eastAsia="Arial" w:hAnsi="Arial"/>
          <w:sz w:val="19"/>
          <w:szCs w:val="19"/>
          <w:color w:val="auto"/>
        </w:rPr>
        <w:t>and $17 million from the consolidation of two variable interest entities pursuant to</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FIN 46, </w:t>
      </w:r>
      <w:r>
        <w:rPr>
          <w:rFonts w:ascii="Arial" w:cs="Arial" w:eastAsia="Arial" w:hAnsi="Arial"/>
          <w:sz w:val="19"/>
          <w:szCs w:val="19"/>
          <w:i w:val="1"/>
          <w:iCs w:val="1"/>
          <w:color w:val="auto"/>
        </w:rPr>
        <w:t>Consolidation of Variable Interest Entities - an interpretation of Accounting Research Bulletin No. 51</w:t>
      </w:r>
      <w:r>
        <w:rPr>
          <w:rFonts w:ascii="Arial" w:cs="Arial" w:eastAsia="Arial" w:hAnsi="Arial"/>
          <w:sz w:val="19"/>
          <w:szCs w:val="19"/>
          <w:color w:val="auto"/>
        </w:rPr>
        <w:t>.</w:t>
      </w:r>
    </w:p>
    <w:p>
      <w:pPr>
        <w:sectPr>
          <w:pgSz w:w="11900" w:h="16838" w:orient="portrait"/>
          <w:cols w:equalWidth="0" w:num="1">
            <w:col w:w="11360"/>
          </w:cols>
          <w:pgMar w:left="240" w:top="111"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360"/>
          </w:cols>
          <w:pgMar w:left="240" w:top="111" w:right="299" w:bottom="1440" w:gutter="0" w:footer="0" w:header="0"/>
          <w:type w:val="continuous"/>
        </w:sectPr>
      </w:pPr>
    </w:p>
    <w:bookmarkStart w:id="111" w:name="page112"/>
    <w:bookmarkEnd w:id="111"/>
    <w:p>
      <w:pPr>
        <w:spacing w:after="0"/>
        <w:rPr>
          <w:sz w:val="20"/>
          <w:szCs w:val="20"/>
          <w:color w:val="auto"/>
        </w:rPr>
      </w:pPr>
      <w:r>
        <w:rPr>
          <w:rFonts w:ascii="Arial" w:cs="Arial" w:eastAsia="Arial" w:hAnsi="Arial"/>
          <w:sz w:val="20"/>
          <w:szCs w:val="20"/>
          <w:b w:val="1"/>
          <w:bCs w:val="1"/>
          <w:color w:val="auto"/>
        </w:rPr>
        <w:t>MANAGEMENT'S RESPONSIBILITY FOR FINANCIAL STATEMENTS</w:t>
      </w:r>
    </w:p>
    <w:p>
      <w:pPr>
        <w:spacing w:after="0" w:line="250" w:lineRule="exact"/>
        <w:rPr>
          <w:sz w:val="20"/>
          <w:szCs w:val="20"/>
          <w:color w:val="auto"/>
        </w:rPr>
      </w:pPr>
    </w:p>
    <w:p>
      <w:pPr>
        <w:ind w:right="300"/>
        <w:spacing w:after="0" w:line="278" w:lineRule="auto"/>
        <w:rPr>
          <w:sz w:val="20"/>
          <w:szCs w:val="20"/>
          <w:color w:val="auto"/>
        </w:rPr>
      </w:pPr>
      <w:r>
        <w:rPr>
          <w:rFonts w:ascii="Arial" w:cs="Arial" w:eastAsia="Arial" w:hAnsi="Arial"/>
          <w:sz w:val="18"/>
          <w:szCs w:val="18"/>
          <w:color w:val="auto"/>
        </w:rPr>
        <w:t>Management is responsible for the preparation of the company's consolidated financial statements and related information appearing in this report. Management believes that the consolidated financial statements fairly present the form and substance of transactions and that the financial statements reasonably present the company's financial position and results of operations in conformity with accounting principles generally accepted in the United States of America. Management also has included in the company's financial statements amounts that are based on estimates and judgments, which it believes are reasonable under the circumstances.</w:t>
      </w:r>
    </w:p>
    <w:p>
      <w:pPr>
        <w:spacing w:after="0" w:line="192" w:lineRule="exact"/>
        <w:rPr>
          <w:sz w:val="20"/>
          <w:szCs w:val="20"/>
          <w:color w:val="auto"/>
        </w:rPr>
      </w:pPr>
    </w:p>
    <w:p>
      <w:pPr>
        <w:spacing w:after="0" w:line="287" w:lineRule="auto"/>
        <w:rPr>
          <w:sz w:val="20"/>
          <w:szCs w:val="20"/>
          <w:color w:val="auto"/>
        </w:rPr>
      </w:pPr>
      <w:r>
        <w:rPr>
          <w:rFonts w:ascii="Arial" w:cs="Arial" w:eastAsia="Arial" w:hAnsi="Arial"/>
          <w:sz w:val="19"/>
          <w:szCs w:val="19"/>
          <w:color w:val="auto"/>
        </w:rPr>
        <w:t>The board of directors of the company has an Audit Committee composed of six non-management directors. The committee meets periodically with financial management and the internal auditors to review accounting, control, auditing and financial reporting matters.</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MANAGEMENT'S REPORT ON INTERNAL CONTROL OVER FINANCIAL REPORTING</w:t>
      </w:r>
    </w:p>
    <w:p>
      <w:pPr>
        <w:spacing w:after="0" w:line="249" w:lineRule="exact"/>
        <w:rPr>
          <w:sz w:val="20"/>
          <w:szCs w:val="20"/>
          <w:color w:val="auto"/>
        </w:rPr>
      </w:pPr>
    </w:p>
    <w:p>
      <w:pPr>
        <w:spacing w:after="0" w:line="257" w:lineRule="auto"/>
        <w:rPr>
          <w:sz w:val="20"/>
          <w:szCs w:val="20"/>
          <w:color w:val="auto"/>
        </w:rPr>
      </w:pPr>
      <w:r>
        <w:rPr>
          <w:rFonts w:ascii="Arial" w:cs="Arial" w:eastAsia="Arial" w:hAnsi="Arial"/>
          <w:sz w:val="19"/>
          <w:szCs w:val="19"/>
          <w:color w:val="auto"/>
        </w:rPr>
        <w:t xml:space="preserve">Company management is responsible for establishing and maintaining adequate internal control over financial reporting, as defined in Exchange Act Rules 13a-15(f). Under the supervision and with the participation of company management, including the principal executive officer and principal financial officer, the company conducted an evaluation of the effectiveness of its internal control over financial reporting based on the framework in </w:t>
      </w:r>
      <w:r>
        <w:rPr>
          <w:rFonts w:ascii="Arial" w:cs="Arial" w:eastAsia="Arial" w:hAnsi="Arial"/>
          <w:sz w:val="19"/>
          <w:szCs w:val="19"/>
          <w:i w:val="1"/>
          <w:iCs w:val="1"/>
          <w:color w:val="auto"/>
        </w:rPr>
        <w:t>Internal Control -- Integrated Framework</w:t>
      </w:r>
      <w:r>
        <w:rPr>
          <w:rFonts w:ascii="Arial" w:cs="Arial" w:eastAsia="Arial" w:hAnsi="Arial"/>
          <w:sz w:val="19"/>
          <w:szCs w:val="19"/>
          <w:color w:val="auto"/>
        </w:rPr>
        <w:t xml:space="preserve"> issued by the Committee of Sponsoring Organizations of the Treadway Commission. Based on the company's evaluation under the framework in </w:t>
      </w:r>
      <w:r>
        <w:rPr>
          <w:rFonts w:ascii="Arial" w:cs="Arial" w:eastAsia="Arial" w:hAnsi="Arial"/>
          <w:sz w:val="19"/>
          <w:szCs w:val="19"/>
          <w:i w:val="1"/>
          <w:iCs w:val="1"/>
          <w:color w:val="auto"/>
        </w:rPr>
        <w:t>Internal Control -- Integrated Framework</w:t>
      </w:r>
      <w:r>
        <w:rPr>
          <w:rFonts w:ascii="Arial" w:cs="Arial" w:eastAsia="Arial" w:hAnsi="Arial"/>
          <w:sz w:val="19"/>
          <w:szCs w:val="19"/>
          <w:color w:val="auto"/>
        </w:rPr>
        <w:t>, management concluded that the company's internal control over financial reporting was effective as of December 31, 2007. The effectiveness of the company’s internal control over financial reporting as of December 31, 2007, has been audited by Deloitte &amp; Touche LLP, as stated in the ir report, which is included in Item 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20"/>
          <w:szCs w:val="20"/>
          <w:color w:val="auto"/>
        </w:rPr>
        <w:t>44</w:t>
      </w:r>
    </w:p>
    <w:p>
      <w:pPr>
        <w:sectPr>
          <w:pgSz w:w="11900" w:h="16838" w:orient="portrait"/>
          <w:cols w:equalWidth="0" w:num="1">
            <w:col w:w="11340"/>
          </w:cols>
          <w:pgMar w:left="240" w:top="116" w:right="319" w:bottom="1440" w:gutter="0" w:footer="0" w:header="0"/>
        </w:sectPr>
      </w:pPr>
    </w:p>
    <w:bookmarkStart w:id="112" w:name="page113"/>
    <w:bookmarkEnd w:id="112"/>
    <w:p>
      <w:pPr>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color w:val="auto"/>
        </w:rPr>
        <w:t>To the Board of Directors and Shareholders of Sempra Energy:</w:t>
      </w:r>
    </w:p>
    <w:p>
      <w:pPr>
        <w:spacing w:after="0" w:line="243" w:lineRule="exact"/>
        <w:rPr>
          <w:sz w:val="20"/>
          <w:szCs w:val="20"/>
          <w:color w:val="auto"/>
        </w:rPr>
      </w:pPr>
    </w:p>
    <w:p>
      <w:pPr>
        <w:ind w:right="120"/>
        <w:spacing w:after="0" w:line="243" w:lineRule="auto"/>
        <w:rPr>
          <w:sz w:val="20"/>
          <w:szCs w:val="20"/>
          <w:color w:val="auto"/>
        </w:rPr>
      </w:pPr>
      <w:r>
        <w:rPr>
          <w:rFonts w:ascii="Arial" w:cs="Arial" w:eastAsia="Arial" w:hAnsi="Arial"/>
          <w:sz w:val="20"/>
          <w:szCs w:val="20"/>
          <w:color w:val="auto"/>
        </w:rPr>
        <w:t xml:space="preserve">We have audited the internal control over financial reporting of Sempra Energy and subsidiaries (the "Company") as of December 31, 2007 based on criteria established in </w:t>
      </w:r>
      <w:r>
        <w:rPr>
          <w:rFonts w:ascii="Arial" w:cs="Arial" w:eastAsia="Arial" w:hAnsi="Arial"/>
          <w:sz w:val="20"/>
          <w:szCs w:val="20"/>
          <w:i w:val="1"/>
          <w:iCs w:val="1"/>
          <w:color w:val="auto"/>
        </w:rPr>
        <w:t>Internal Control — Integrated Framework</w:t>
      </w:r>
      <w:r>
        <w:rPr>
          <w:rFonts w:ascii="Arial" w:cs="Arial" w:eastAsia="Arial" w:hAnsi="Arial"/>
          <w:sz w:val="20"/>
          <w:szCs w:val="20"/>
          <w:color w:val="auto"/>
        </w:rPr>
        <w:t xml:space="preserve"> issued by the Committee of Sponsoring Organizations of the Treadway Commission. 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224" w:lineRule="exact"/>
        <w:rPr>
          <w:sz w:val="20"/>
          <w:szCs w:val="20"/>
          <w:color w:val="auto"/>
        </w:rPr>
      </w:pPr>
    </w:p>
    <w:p>
      <w:pPr>
        <w:ind w:right="80"/>
        <w:spacing w:after="0" w:line="259" w:lineRule="auto"/>
        <w:rPr>
          <w:sz w:val="20"/>
          <w:szCs w:val="20"/>
          <w:color w:val="auto"/>
        </w:rPr>
      </w:pPr>
      <w:r>
        <w:rPr>
          <w:rFonts w:ascii="Arial" w:cs="Arial" w:eastAsia="Arial" w:hAnsi="Arial"/>
          <w:sz w:val="19"/>
          <w:szCs w:val="19"/>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06" w:lineRule="exact"/>
        <w:rPr>
          <w:sz w:val="20"/>
          <w:szCs w:val="20"/>
          <w:color w:val="auto"/>
        </w:rPr>
      </w:pPr>
    </w:p>
    <w:p>
      <w:pPr>
        <w:ind w:right="60"/>
        <w:spacing w:after="0" w:line="309" w:lineRule="auto"/>
        <w:rPr>
          <w:sz w:val="20"/>
          <w:szCs w:val="20"/>
          <w:color w:val="auto"/>
        </w:rPr>
      </w:pPr>
      <w:r>
        <w:rPr>
          <w:rFonts w:ascii="Arial" w:cs="Arial" w:eastAsia="Arial" w:hAnsi="Arial"/>
          <w:sz w:val="16"/>
          <w:szCs w:val="16"/>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 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07"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222" w:lineRule="exact"/>
        <w:rPr>
          <w:sz w:val="20"/>
          <w:szCs w:val="20"/>
          <w:color w:val="auto"/>
        </w:rPr>
      </w:pPr>
    </w:p>
    <w:p>
      <w:pPr>
        <w:ind w:right="80"/>
        <w:spacing w:after="0" w:line="250" w:lineRule="auto"/>
        <w:rPr>
          <w:sz w:val="20"/>
          <w:szCs w:val="20"/>
          <w:color w:val="auto"/>
        </w:rPr>
      </w:pPr>
      <w:r>
        <w:rPr>
          <w:rFonts w:ascii="Arial" w:cs="Arial" w:eastAsia="Arial" w:hAnsi="Arial"/>
          <w:sz w:val="20"/>
          <w:szCs w:val="20"/>
          <w:color w:val="auto"/>
        </w:rPr>
        <w:t xml:space="preserve">In our opinion, the Company maintained, in all material respects, effective internal control over financial reporting as of December 31, 2007, based on the criteria established in </w:t>
      </w:r>
      <w:r>
        <w:rPr>
          <w:rFonts w:ascii="Arial" w:cs="Arial" w:eastAsia="Arial" w:hAnsi="Arial"/>
          <w:sz w:val="20"/>
          <w:szCs w:val="20"/>
          <w:i w:val="1"/>
          <w:iCs w:val="1"/>
          <w:color w:val="auto"/>
        </w:rPr>
        <w:t>Internal Control — Integrated Framework</w:t>
      </w:r>
      <w:r>
        <w:rPr>
          <w:rFonts w:ascii="Arial" w:cs="Arial" w:eastAsia="Arial" w:hAnsi="Arial"/>
          <w:sz w:val="20"/>
          <w:szCs w:val="20"/>
          <w:color w:val="auto"/>
        </w:rPr>
        <w:t xml:space="preserve"> issued by the Committee of Sponsoring Organizations of the Treadway Commission.</w:t>
      </w:r>
    </w:p>
    <w:p>
      <w:pPr>
        <w:spacing w:after="0" w:line="213" w:lineRule="exact"/>
        <w:rPr>
          <w:sz w:val="20"/>
          <w:szCs w:val="20"/>
          <w:color w:val="auto"/>
        </w:rPr>
      </w:pPr>
    </w:p>
    <w:p>
      <w:pPr>
        <w:ind w:right="580"/>
        <w:spacing w:after="0" w:line="260" w:lineRule="auto"/>
        <w:rPr>
          <w:sz w:val="20"/>
          <w:szCs w:val="20"/>
          <w:color w:val="auto"/>
        </w:rPr>
      </w:pPr>
      <w:r>
        <w:rPr>
          <w:rFonts w:ascii="Arial" w:cs="Arial" w:eastAsia="Arial" w:hAnsi="Arial"/>
          <w:sz w:val="20"/>
          <w:szCs w:val="20"/>
          <w:color w:val="auto"/>
        </w:rPr>
        <w:t>We have also audited, in accordance with the standards of the Public Company Accounting Oversight Board (United States), the consolidated financial statements as of and for the year</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color w:val="auto"/>
        </w:rPr>
        <w:t>45</w:t>
      </w:r>
    </w:p>
    <w:p>
      <w:pPr>
        <w:sectPr>
          <w:pgSz w:w="11900" w:h="16838" w:orient="portrait"/>
          <w:cols w:equalWidth="0" w:num="1">
            <w:col w:w="10760"/>
          </w:cols>
          <w:pgMar w:left="240" w:top="115" w:right="899" w:bottom="1440" w:gutter="0" w:footer="0" w:header="0"/>
        </w:sectPr>
      </w:pPr>
    </w:p>
    <w:bookmarkStart w:id="113" w:name="page114"/>
    <w:bookmarkEnd w:id="113"/>
    <w:p>
      <w:pPr>
        <w:spacing w:after="0" w:line="387" w:lineRule="auto"/>
        <w:rPr>
          <w:sz w:val="20"/>
          <w:szCs w:val="20"/>
          <w:color w:val="auto"/>
        </w:rPr>
      </w:pPr>
      <w:r>
        <w:rPr>
          <w:rFonts w:ascii="Arial" w:cs="Arial" w:eastAsia="Arial" w:hAnsi="Arial"/>
          <w:sz w:val="16"/>
          <w:szCs w:val="16"/>
          <w:color w:val="auto"/>
        </w:rPr>
        <w:t>ended December 31, 2007 of the Company and our report dated February 25, 2008 expressed an unqualified opinion on those financial statements and included an explanatory paragraph regarding the Company’s adoption of two new accounting standards in 2007.</w:t>
      </w:r>
    </w:p>
    <w:p>
      <w:pPr>
        <w:spacing w:after="0" w:line="11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 DELOITTE &amp; TOUCHE LLP</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San Diego, California</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February 25, 2008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20"/>
          <w:szCs w:val="20"/>
          <w:color w:val="auto"/>
        </w:rPr>
        <w:t>46</w:t>
      </w:r>
    </w:p>
    <w:p>
      <w:pPr>
        <w:sectPr>
          <w:pgSz w:w="11900" w:h="16838" w:orient="portrait"/>
          <w:cols w:equalWidth="0" w:num="1">
            <w:col w:w="10700"/>
          </w:cols>
          <w:pgMar w:left="240" w:top="121" w:right="959" w:bottom="1440" w:gutter="0" w:footer="0" w:header="0"/>
        </w:sectPr>
      </w:pPr>
    </w:p>
    <w:bookmarkStart w:id="114" w:name="page115"/>
    <w:bookmarkEnd w:id="114"/>
    <w:p>
      <w:pPr>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color w:val="auto"/>
        </w:rPr>
        <w:t>To the Board of Directors and Shareholders of Sempra Energy:</w:t>
      </w:r>
    </w:p>
    <w:p>
      <w:pPr>
        <w:spacing w:after="0" w:line="243" w:lineRule="exact"/>
        <w:rPr>
          <w:sz w:val="20"/>
          <w:szCs w:val="20"/>
          <w:color w:val="auto"/>
        </w:rPr>
      </w:pPr>
    </w:p>
    <w:p>
      <w:pPr>
        <w:ind w:right="20"/>
        <w:spacing w:after="0" w:line="328" w:lineRule="auto"/>
        <w:rPr>
          <w:sz w:val="20"/>
          <w:szCs w:val="20"/>
          <w:color w:val="auto"/>
        </w:rPr>
      </w:pPr>
      <w:r>
        <w:rPr>
          <w:rFonts w:ascii="Arial" w:cs="Arial" w:eastAsia="Arial" w:hAnsi="Arial"/>
          <w:sz w:val="16"/>
          <w:szCs w:val="16"/>
          <w:color w:val="auto"/>
        </w:rPr>
        <w:t>We have audited the accompanying consolidated balance sheets of Sempra Energy and subsidiaries (the "Company") as of December 31, 2007 and 2006, and the related statements of consolidated income, comprehensive income and changes in shareholders’ equity, and cash flows for each of the three years in the period ended December 31, 2007. These financial statements are the responsibility of the Company's management. Our responsibility is to express an opinion on these financial statements based on our audits.</w:t>
      </w:r>
    </w:p>
    <w:p>
      <w:pPr>
        <w:spacing w:after="0" w:line="156" w:lineRule="exact"/>
        <w:rPr>
          <w:sz w:val="20"/>
          <w:szCs w:val="20"/>
          <w:color w:val="auto"/>
        </w:rPr>
      </w:pPr>
    </w:p>
    <w:p>
      <w:pPr>
        <w:jc w:val="both"/>
        <w:ind w:right="100"/>
        <w:spacing w:after="0" w:line="321"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1"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In our opinion, such consolidated financial statements present fairly, in all material respects, the financial position of Sempra Energy and subsidiaries as of December 31, 2007 and 2006, and the results of their operations and their cash flows for each of the three years in the period ended December 31, 2007, in conformity with accounting principles generally accepted in the United States of America.</w:t>
      </w:r>
    </w:p>
    <w:p>
      <w:pPr>
        <w:spacing w:after="0" w:line="145" w:lineRule="exact"/>
        <w:rPr>
          <w:sz w:val="20"/>
          <w:szCs w:val="20"/>
          <w:color w:val="auto"/>
        </w:rPr>
      </w:pPr>
    </w:p>
    <w:p>
      <w:pPr>
        <w:spacing w:after="0" w:line="321" w:lineRule="auto"/>
        <w:rPr>
          <w:sz w:val="20"/>
          <w:szCs w:val="20"/>
          <w:color w:val="auto"/>
        </w:rPr>
      </w:pPr>
      <w:r>
        <w:rPr>
          <w:rFonts w:ascii="Arial" w:cs="Arial" w:eastAsia="Arial" w:hAnsi="Arial"/>
          <w:sz w:val="16"/>
          <w:szCs w:val="16"/>
          <w:color w:val="auto"/>
        </w:rPr>
        <w:t xml:space="preserve">As discussed in Note 2 to the consolidated financial statements, the Company adopted Financial Accounting Standards Board ("FASB") Statement No. 157, </w:t>
      </w:r>
      <w:r>
        <w:rPr>
          <w:rFonts w:ascii="Arial" w:cs="Arial" w:eastAsia="Arial" w:hAnsi="Arial"/>
          <w:sz w:val="16"/>
          <w:szCs w:val="16"/>
          <w:i w:val="1"/>
          <w:iCs w:val="1"/>
          <w:color w:val="auto"/>
        </w:rPr>
        <w:t>Fair Value Measurements</w:t>
      </w:r>
      <w:r>
        <w:rPr>
          <w:rFonts w:ascii="Arial" w:cs="Arial" w:eastAsia="Arial" w:hAnsi="Arial"/>
          <w:sz w:val="16"/>
          <w:szCs w:val="16"/>
          <w:color w:val="auto"/>
        </w:rPr>
        <w:t xml:space="preserve">, effective January 1, 2007 and FASB Interpretation No. 48, </w:t>
      </w:r>
      <w:r>
        <w:rPr>
          <w:rFonts w:ascii="Arial" w:cs="Arial" w:eastAsia="Arial" w:hAnsi="Arial"/>
          <w:sz w:val="16"/>
          <w:szCs w:val="16"/>
          <w:i w:val="1"/>
          <w:iCs w:val="1"/>
          <w:color w:val="auto"/>
        </w:rPr>
        <w:t>Accounting for</w:t>
      </w:r>
      <w:r>
        <w:rPr>
          <w:rFonts w:ascii="Arial" w:cs="Arial" w:eastAsia="Arial" w:hAnsi="Arial"/>
          <w:sz w:val="16"/>
          <w:szCs w:val="16"/>
          <w:color w:val="auto"/>
        </w:rPr>
        <w:t xml:space="preserve"> </w:t>
      </w:r>
      <w:r>
        <w:rPr>
          <w:rFonts w:ascii="Arial" w:cs="Arial" w:eastAsia="Arial" w:hAnsi="Arial"/>
          <w:sz w:val="16"/>
          <w:szCs w:val="16"/>
          <w:i w:val="1"/>
          <w:iCs w:val="1"/>
          <w:color w:val="auto"/>
        </w:rPr>
        <w:t>Uncertainty in Income Taxes, an interpretation of FASB Statement No. 109</w:t>
      </w:r>
      <w:r>
        <w:rPr>
          <w:rFonts w:ascii="Arial" w:cs="Arial" w:eastAsia="Arial" w:hAnsi="Arial"/>
          <w:sz w:val="16"/>
          <w:szCs w:val="16"/>
          <w:color w:val="auto"/>
        </w:rPr>
        <w:t>, effective January 1, 2007. As discussed in Note 9 to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consolidated financial statements, the Company adopted FASB Statement No. 158, </w:t>
      </w:r>
      <w:r>
        <w:rPr>
          <w:rFonts w:ascii="Arial" w:cs="Arial" w:eastAsia="Arial" w:hAnsi="Arial"/>
          <w:sz w:val="16"/>
          <w:szCs w:val="16"/>
          <w:i w:val="1"/>
          <w:iCs w:val="1"/>
          <w:color w:val="auto"/>
        </w:rPr>
        <w:t>Employers’ Accounting for Defined Benefit Pension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and Other Postretirement Plans, an amendment of FASB Statements No. 87, 88, 106, and 132(R), </w:t>
      </w:r>
      <w:r>
        <w:rPr>
          <w:rFonts w:ascii="Arial" w:cs="Arial" w:eastAsia="Arial" w:hAnsi="Arial"/>
          <w:sz w:val="16"/>
          <w:szCs w:val="16"/>
          <w:color w:val="auto"/>
        </w:rPr>
        <w:t>effective December 31, 2006.</w:t>
      </w:r>
    </w:p>
    <w:p>
      <w:pPr>
        <w:spacing w:after="0" w:line="161"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the Company's internal control over financial reporting as of December 31, 2007, based on the criteria established in </w:t>
      </w:r>
      <w:r>
        <w:rPr>
          <w:rFonts w:ascii="Arial" w:cs="Arial" w:eastAsia="Arial" w:hAnsi="Arial"/>
          <w:sz w:val="18"/>
          <w:szCs w:val="18"/>
          <w:i w:val="1"/>
          <w:iCs w:val="1"/>
          <w:color w:val="auto"/>
        </w:rPr>
        <w:t>Internal Control—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Integrated Framework </w:t>
      </w:r>
      <w:r>
        <w:rPr>
          <w:rFonts w:ascii="Arial" w:cs="Arial" w:eastAsia="Arial" w:hAnsi="Arial"/>
          <w:sz w:val="18"/>
          <w:szCs w:val="18"/>
          <w:color w:val="auto"/>
        </w:rPr>
        <w:t>issued by the Committee of Sponsoring Organizations of the Treadway Commission and our report dated</w:t>
      </w:r>
      <w:r>
        <w:rPr>
          <w:rFonts w:ascii="Arial" w:cs="Arial" w:eastAsia="Arial" w:hAnsi="Arial"/>
          <w:sz w:val="18"/>
          <w:szCs w:val="18"/>
          <w:i w:val="1"/>
          <w:iCs w:val="1"/>
          <w:color w:val="auto"/>
        </w:rPr>
        <w:t xml:space="preserve"> </w:t>
      </w:r>
      <w:r>
        <w:rPr>
          <w:rFonts w:ascii="Arial" w:cs="Arial" w:eastAsia="Arial" w:hAnsi="Arial"/>
          <w:sz w:val="18"/>
          <w:szCs w:val="18"/>
          <w:color w:val="auto"/>
        </w:rPr>
        <w:t>February 25, 2008 expressed an unqualified opinion on the Company's internal control over financial reporting.</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 DELOITTE &amp; TOUCHE LLP</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San Diego, California</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February 25, 2008</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0"/>
          <w:szCs w:val="20"/>
          <w:color w:val="auto"/>
        </w:rPr>
        <w:t>47</w:t>
      </w:r>
    </w:p>
    <w:p>
      <w:pPr>
        <w:sectPr>
          <w:pgSz w:w="11900" w:h="16838" w:orient="portrait"/>
          <w:cols w:equalWidth="0" w:num="1">
            <w:col w:w="10740"/>
          </w:cols>
          <w:pgMar w:left="240" w:top="116" w:right="919" w:bottom="1440" w:gutter="0" w:footer="0" w:header="0"/>
        </w:sectPr>
      </w:pPr>
    </w:p>
    <w:bookmarkStart w:id="115" w:name="page116"/>
    <w:bookmarkEnd w:id="115"/>
    <w:tbl>
      <w:tblPr>
        <w:tblLayout w:type="fixed"/>
        <w:tblInd w:w="1380" w:type="dxa"/>
        <w:tblCellMar>
          <w:top w:w="0" w:type="dxa"/>
          <w:left w:w="0" w:type="dxa"/>
          <w:bottom w:w="0" w:type="dxa"/>
          <w:right w:w="0" w:type="dxa"/>
        </w:tblCellMar>
      </w:tblP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SEMPRA ENERGY</w:t>
            </w: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40" w:type="dxa"/>
            <w:vAlign w:val="bottom"/>
          </w:tcPr>
          <w:p>
            <w:pPr>
              <w:spacing w:after="0"/>
              <w:rPr>
                <w:sz w:val="20"/>
                <w:szCs w:val="20"/>
                <w:color w:val="auto"/>
              </w:rPr>
            </w:pPr>
            <w:r>
              <w:rPr>
                <w:rFonts w:ascii="Arial" w:cs="Arial" w:eastAsia="Arial" w:hAnsi="Arial"/>
                <w:sz w:val="18"/>
                <w:szCs w:val="18"/>
                <w:color w:val="auto"/>
              </w:rPr>
              <w:t>STATEMENTS OF CONSOLIDATED INCOME</w:t>
            </w: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1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580" w:type="dxa"/>
            <w:vAlign w:val="bottom"/>
            <w:tcBorders>
              <w:bottom w:val="single" w:sz="8" w:color="auto"/>
            </w:tcBorders>
            <w:gridSpan w:val="5"/>
          </w:tcPr>
          <w:p>
            <w:pPr>
              <w:ind w:left="600"/>
              <w:spacing w:after="0"/>
              <w:rPr>
                <w:sz w:val="20"/>
                <w:szCs w:val="20"/>
                <w:color w:val="auto"/>
              </w:rPr>
            </w:pPr>
            <w:r>
              <w:rPr>
                <w:rFonts w:ascii="Arial" w:cs="Arial" w:eastAsia="Arial" w:hAnsi="Arial"/>
                <w:sz w:val="18"/>
                <w:szCs w:val="18"/>
                <w:color w:val="auto"/>
                <w:w w:val="89"/>
              </w:rPr>
              <w:t>Years ended December 31,</w:t>
            </w:r>
          </w:p>
        </w:tc>
        <w:tc>
          <w:tcPr>
            <w:tcW w:w="6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(Dollars in millions, except per share amounts)</w:t>
            </w: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2007</w:t>
            </w:r>
          </w:p>
        </w:tc>
        <w:tc>
          <w:tcPr>
            <w:tcW w:w="3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2006</w:t>
            </w:r>
          </w:p>
        </w:tc>
        <w:tc>
          <w:tcPr>
            <w:tcW w:w="1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2005</w:t>
            </w:r>
          </w:p>
        </w:tc>
        <w:tc>
          <w:tcPr>
            <w:tcW w:w="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40" w:type="dxa"/>
            <w:vAlign w:val="bottom"/>
            <w:shd w:val="clear" w:color="auto" w:fill="CCFFCC"/>
          </w:tcPr>
          <w:p>
            <w:pPr>
              <w:spacing w:after="0"/>
              <w:rPr>
                <w:sz w:val="20"/>
                <w:szCs w:val="20"/>
                <w:color w:val="auto"/>
              </w:rPr>
            </w:pPr>
            <w:r>
              <w:rPr>
                <w:rFonts w:ascii="Arial" w:cs="Arial" w:eastAsia="Arial" w:hAnsi="Arial"/>
                <w:sz w:val="18"/>
                <w:szCs w:val="18"/>
                <w:color w:val="auto"/>
              </w:rPr>
              <w:t>OPERATING REVENUES</w:t>
            </w:r>
          </w:p>
        </w:tc>
        <w:tc>
          <w:tcPr>
            <w:tcW w:w="200" w:type="dxa"/>
            <w:vAlign w:val="bottom"/>
            <w:shd w:val="clear" w:color="auto" w:fill="CCFFCC"/>
          </w:tcPr>
          <w:p>
            <w:pPr>
              <w:spacing w:after="0"/>
              <w:rPr>
                <w:sz w:val="21"/>
                <w:szCs w:val="21"/>
                <w:color w:val="auto"/>
              </w:rPr>
            </w:pPr>
          </w:p>
        </w:tc>
        <w:tc>
          <w:tcPr>
            <w:tcW w:w="960" w:type="dxa"/>
            <w:vAlign w:val="bottom"/>
            <w:shd w:val="clear" w:color="auto" w:fill="CCFFCC"/>
          </w:tcPr>
          <w:p>
            <w:pPr>
              <w:spacing w:after="0"/>
              <w:rPr>
                <w:sz w:val="21"/>
                <w:szCs w:val="21"/>
                <w:color w:val="auto"/>
              </w:rPr>
            </w:pPr>
          </w:p>
        </w:tc>
        <w:tc>
          <w:tcPr>
            <w:tcW w:w="360" w:type="dxa"/>
            <w:vAlign w:val="bottom"/>
            <w:shd w:val="clear" w:color="auto" w:fill="CCFFCC"/>
          </w:tcPr>
          <w:p>
            <w:pPr>
              <w:spacing w:after="0"/>
              <w:rPr>
                <w:sz w:val="21"/>
                <w:szCs w:val="21"/>
                <w:color w:val="auto"/>
              </w:rPr>
            </w:pPr>
          </w:p>
        </w:tc>
        <w:tc>
          <w:tcPr>
            <w:tcW w:w="108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60" w:type="dxa"/>
            <w:vAlign w:val="bottom"/>
            <w:shd w:val="clear" w:color="auto" w:fill="CCFFCC"/>
          </w:tcPr>
          <w:p>
            <w:pPr>
              <w:spacing w:after="0"/>
              <w:rPr>
                <w:sz w:val="21"/>
                <w:szCs w:val="21"/>
                <w:color w:val="auto"/>
              </w:rPr>
            </w:pPr>
          </w:p>
        </w:tc>
        <w:tc>
          <w:tcPr>
            <w:tcW w:w="6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40" w:type="dxa"/>
            <w:vAlign w:val="bottom"/>
          </w:tcPr>
          <w:p>
            <w:pPr>
              <w:spacing w:after="0"/>
              <w:rPr>
                <w:sz w:val="20"/>
                <w:szCs w:val="20"/>
                <w:color w:val="auto"/>
              </w:rPr>
            </w:pPr>
            <w:r>
              <w:rPr>
                <w:rFonts w:ascii="Arial" w:cs="Arial" w:eastAsia="Arial" w:hAnsi="Arial"/>
                <w:sz w:val="18"/>
                <w:szCs w:val="18"/>
                <w:color w:val="auto"/>
              </w:rPr>
              <w:t>Sempra Utilities</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30"/>
              <w:spacing w:after="0"/>
              <w:rPr>
                <w:sz w:val="20"/>
                <w:szCs w:val="20"/>
                <w:color w:val="auto"/>
              </w:rPr>
            </w:pPr>
            <w:r>
              <w:rPr>
                <w:rFonts w:ascii="Arial" w:cs="Arial" w:eastAsia="Arial" w:hAnsi="Arial"/>
                <w:sz w:val="18"/>
                <w:szCs w:val="18"/>
                <w:color w:val="auto"/>
              </w:rPr>
              <w:t>7,053</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50"/>
              <w:spacing w:after="0"/>
              <w:rPr>
                <w:sz w:val="20"/>
                <w:szCs w:val="20"/>
                <w:color w:val="auto"/>
              </w:rPr>
            </w:pPr>
            <w:r>
              <w:rPr>
                <w:rFonts w:ascii="Arial" w:cs="Arial" w:eastAsia="Arial" w:hAnsi="Arial"/>
                <w:sz w:val="18"/>
                <w:szCs w:val="18"/>
                <w:color w:val="auto"/>
              </w:rPr>
              <w:t>6,899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7,042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1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Sempra Global and parent</w:t>
            </w:r>
          </w:p>
        </w:tc>
        <w:tc>
          <w:tcPr>
            <w:tcW w:w="200" w:type="dxa"/>
            <w:vAlign w:val="bottom"/>
            <w:tcBorders>
              <w:bottom w:val="single" w:sz="8" w:color="auto"/>
            </w:tcBorders>
            <w:shd w:val="clear" w:color="auto" w:fill="CCFFCC"/>
          </w:tcPr>
          <w:p>
            <w:pPr>
              <w:spacing w:after="0"/>
              <w:rPr>
                <w:sz w:val="21"/>
                <w:szCs w:val="21"/>
                <w:color w:val="auto"/>
              </w:rPr>
            </w:pPr>
          </w:p>
        </w:tc>
        <w:tc>
          <w:tcPr>
            <w:tcW w:w="960" w:type="dxa"/>
            <w:vAlign w:val="bottom"/>
            <w:tcBorders>
              <w:bottom w:val="single" w:sz="8" w:color="auto"/>
            </w:tcBorders>
            <w:shd w:val="clear" w:color="auto" w:fill="CCFFCC"/>
          </w:tcPr>
          <w:p>
            <w:pPr>
              <w:jc w:val="right"/>
              <w:ind w:right="230"/>
              <w:spacing w:after="0"/>
              <w:rPr>
                <w:sz w:val="20"/>
                <w:szCs w:val="20"/>
                <w:color w:val="auto"/>
              </w:rPr>
            </w:pPr>
            <w:r>
              <w:rPr>
                <w:rFonts w:ascii="Arial" w:cs="Arial" w:eastAsia="Arial" w:hAnsi="Arial"/>
                <w:sz w:val="18"/>
                <w:szCs w:val="18"/>
                <w:color w:val="auto"/>
              </w:rPr>
              <w:t>4,385</w:t>
            </w:r>
          </w:p>
        </w:tc>
        <w:tc>
          <w:tcPr>
            <w:tcW w:w="360" w:type="dxa"/>
            <w:vAlign w:val="bottom"/>
            <w:tcBorders>
              <w:bottom w:val="single" w:sz="8" w:color="auto"/>
            </w:tcBorders>
            <w:shd w:val="clear" w:color="auto" w:fill="CCFFCC"/>
          </w:tcPr>
          <w:p>
            <w:pPr>
              <w:spacing w:after="0"/>
              <w:rPr>
                <w:sz w:val="21"/>
                <w:szCs w:val="21"/>
                <w:color w:val="auto"/>
              </w:rPr>
            </w:pPr>
          </w:p>
        </w:tc>
        <w:tc>
          <w:tcPr>
            <w:tcW w:w="1080" w:type="dxa"/>
            <w:vAlign w:val="bottom"/>
            <w:tcBorders>
              <w:bottom w:val="single" w:sz="8" w:color="auto"/>
            </w:tcBorders>
            <w:shd w:val="clear" w:color="auto" w:fill="CCFFCC"/>
          </w:tcPr>
          <w:p>
            <w:pPr>
              <w:jc w:val="right"/>
              <w:ind w:right="350"/>
              <w:spacing w:after="0"/>
              <w:rPr>
                <w:sz w:val="20"/>
                <w:szCs w:val="20"/>
                <w:color w:val="auto"/>
              </w:rPr>
            </w:pPr>
            <w:r>
              <w:rPr>
                <w:rFonts w:ascii="Arial" w:cs="Arial" w:eastAsia="Arial" w:hAnsi="Arial"/>
                <w:sz w:val="18"/>
                <w:szCs w:val="18"/>
                <w:color w:val="auto"/>
              </w:rPr>
              <w:t>4,862</w:t>
            </w:r>
          </w:p>
        </w:tc>
        <w:tc>
          <w:tcPr>
            <w:tcW w:w="120" w:type="dxa"/>
            <w:vAlign w:val="bottom"/>
            <w:tcBorders>
              <w:bottom w:val="single" w:sz="8" w:color="auto"/>
            </w:tcBorders>
            <w:shd w:val="clear" w:color="auto" w:fill="CCFFCC"/>
          </w:tcPr>
          <w:p>
            <w:pPr>
              <w:spacing w:after="0"/>
              <w:rPr>
                <w:sz w:val="21"/>
                <w:szCs w:val="21"/>
                <w:color w:val="auto"/>
              </w:rPr>
            </w:pPr>
          </w:p>
        </w:tc>
        <w:tc>
          <w:tcPr>
            <w:tcW w:w="60" w:type="dxa"/>
            <w:vAlign w:val="bottom"/>
            <w:tcBorders>
              <w:bottom w:val="single" w:sz="8" w:color="auto"/>
            </w:tcBorders>
            <w:shd w:val="clear" w:color="auto" w:fill="CCFFCC"/>
          </w:tcPr>
          <w:p>
            <w:pPr>
              <w:spacing w:after="0"/>
              <w:rPr>
                <w:sz w:val="21"/>
                <w:szCs w:val="21"/>
                <w:color w:val="auto"/>
              </w:rPr>
            </w:pPr>
          </w:p>
        </w:tc>
        <w:tc>
          <w:tcPr>
            <w:tcW w:w="6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4,470</w:t>
            </w:r>
          </w:p>
        </w:tc>
        <w:tc>
          <w:tcPr>
            <w:tcW w:w="120" w:type="dxa"/>
            <w:vAlign w:val="bottom"/>
            <w:tcBorders>
              <w:bottom w:val="single" w:sz="8" w:color="auto"/>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40" w:type="dxa"/>
            <w:vAlign w:val="bottom"/>
          </w:tcPr>
          <w:p>
            <w:pPr>
              <w:ind w:left="560"/>
              <w:spacing w:after="0"/>
              <w:rPr>
                <w:sz w:val="20"/>
                <w:szCs w:val="20"/>
                <w:color w:val="auto"/>
              </w:rPr>
            </w:pPr>
            <w:r>
              <w:rPr>
                <w:rFonts w:ascii="Arial" w:cs="Arial" w:eastAsia="Arial" w:hAnsi="Arial"/>
                <w:sz w:val="18"/>
                <w:szCs w:val="18"/>
                <w:color w:val="auto"/>
              </w:rPr>
              <w:t>Total operating revenues</w:t>
            </w: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11,438</w:t>
            </w:r>
          </w:p>
        </w:tc>
        <w:tc>
          <w:tcPr>
            <w:tcW w:w="3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11,761</w:t>
            </w:r>
          </w:p>
        </w:tc>
        <w:tc>
          <w:tcPr>
            <w:tcW w:w="1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11,512</w:t>
            </w:r>
          </w:p>
        </w:tc>
        <w:tc>
          <w:tcPr>
            <w:tcW w:w="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14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960" w:type="dxa"/>
            <w:vAlign w:val="bottom"/>
            <w:shd w:val="clear" w:color="auto" w:fill="CCFFCC"/>
          </w:tcPr>
          <w:p>
            <w:pPr>
              <w:spacing w:after="0"/>
              <w:rPr>
                <w:sz w:val="20"/>
                <w:szCs w:val="20"/>
                <w:color w:val="auto"/>
              </w:rPr>
            </w:pPr>
          </w:p>
        </w:tc>
        <w:tc>
          <w:tcPr>
            <w:tcW w:w="360" w:type="dxa"/>
            <w:vAlign w:val="bottom"/>
            <w:shd w:val="clear" w:color="auto" w:fill="CCFFCC"/>
          </w:tcPr>
          <w:p>
            <w:pPr>
              <w:spacing w:after="0"/>
              <w:rPr>
                <w:sz w:val="20"/>
                <w:szCs w:val="20"/>
                <w:color w:val="auto"/>
              </w:rPr>
            </w:pPr>
          </w:p>
        </w:tc>
        <w:tc>
          <w:tcPr>
            <w:tcW w:w="108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64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140" w:type="dxa"/>
            <w:vAlign w:val="bottom"/>
          </w:tcPr>
          <w:p>
            <w:pPr>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140" w:type="dxa"/>
            <w:vAlign w:val="bottom"/>
            <w:shd w:val="clear" w:color="auto" w:fill="CCFFCC"/>
          </w:tcPr>
          <w:p>
            <w:pPr>
              <w:spacing w:after="0"/>
              <w:rPr>
                <w:sz w:val="20"/>
                <w:szCs w:val="20"/>
                <w:color w:val="auto"/>
              </w:rPr>
            </w:pPr>
            <w:r>
              <w:rPr>
                <w:rFonts w:ascii="Arial" w:cs="Arial" w:eastAsia="Arial" w:hAnsi="Arial"/>
                <w:sz w:val="18"/>
                <w:szCs w:val="18"/>
                <w:color w:val="auto"/>
              </w:rPr>
              <w:t>Sempra Utilities:</w:t>
            </w:r>
          </w:p>
        </w:tc>
        <w:tc>
          <w:tcPr>
            <w:tcW w:w="200" w:type="dxa"/>
            <w:vAlign w:val="bottom"/>
            <w:shd w:val="clear" w:color="auto" w:fill="CCFFCC"/>
          </w:tcPr>
          <w:p>
            <w:pPr>
              <w:spacing w:after="0"/>
              <w:rPr>
                <w:sz w:val="21"/>
                <w:szCs w:val="21"/>
                <w:color w:val="auto"/>
              </w:rPr>
            </w:pPr>
          </w:p>
        </w:tc>
        <w:tc>
          <w:tcPr>
            <w:tcW w:w="960" w:type="dxa"/>
            <w:vAlign w:val="bottom"/>
            <w:shd w:val="clear" w:color="auto" w:fill="CCFFCC"/>
          </w:tcPr>
          <w:p>
            <w:pPr>
              <w:spacing w:after="0"/>
              <w:rPr>
                <w:sz w:val="21"/>
                <w:szCs w:val="21"/>
                <w:color w:val="auto"/>
              </w:rPr>
            </w:pPr>
          </w:p>
        </w:tc>
        <w:tc>
          <w:tcPr>
            <w:tcW w:w="360" w:type="dxa"/>
            <w:vAlign w:val="bottom"/>
            <w:shd w:val="clear" w:color="auto" w:fill="CCFFCC"/>
          </w:tcPr>
          <w:p>
            <w:pPr>
              <w:spacing w:after="0"/>
              <w:rPr>
                <w:sz w:val="21"/>
                <w:szCs w:val="21"/>
                <w:color w:val="auto"/>
              </w:rPr>
            </w:pPr>
          </w:p>
        </w:tc>
        <w:tc>
          <w:tcPr>
            <w:tcW w:w="108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60" w:type="dxa"/>
            <w:vAlign w:val="bottom"/>
            <w:shd w:val="clear" w:color="auto" w:fill="CCFFCC"/>
          </w:tcPr>
          <w:p>
            <w:pPr>
              <w:spacing w:after="0"/>
              <w:rPr>
                <w:sz w:val="21"/>
                <w:szCs w:val="21"/>
                <w:color w:val="auto"/>
              </w:rPr>
            </w:pPr>
          </w:p>
        </w:tc>
        <w:tc>
          <w:tcPr>
            <w:tcW w:w="6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40" w:type="dxa"/>
            <w:vAlign w:val="bottom"/>
          </w:tcPr>
          <w:p>
            <w:pPr>
              <w:ind w:left="160"/>
              <w:spacing w:after="0"/>
              <w:rPr>
                <w:sz w:val="20"/>
                <w:szCs w:val="20"/>
                <w:color w:val="auto"/>
              </w:rPr>
            </w:pPr>
            <w:r>
              <w:rPr>
                <w:rFonts w:ascii="Arial" w:cs="Arial" w:eastAsia="Arial" w:hAnsi="Arial"/>
                <w:sz w:val="18"/>
                <w:szCs w:val="18"/>
                <w:color w:val="auto"/>
              </w:rPr>
              <w:t>Cost of natural gas</w:t>
            </w:r>
          </w:p>
        </w:tc>
        <w:tc>
          <w:tcPr>
            <w:tcW w:w="200" w:type="dxa"/>
            <w:vAlign w:val="bottom"/>
          </w:tcPr>
          <w:p>
            <w:pPr>
              <w:spacing w:after="0"/>
              <w:rPr>
                <w:sz w:val="20"/>
                <w:szCs w:val="20"/>
                <w:color w:val="auto"/>
              </w:rPr>
            </w:pPr>
          </w:p>
        </w:tc>
        <w:tc>
          <w:tcPr>
            <w:tcW w:w="960" w:type="dxa"/>
            <w:vAlign w:val="bottom"/>
          </w:tcPr>
          <w:p>
            <w:pPr>
              <w:jc w:val="right"/>
              <w:ind w:right="230"/>
              <w:spacing w:after="0"/>
              <w:rPr>
                <w:sz w:val="20"/>
                <w:szCs w:val="20"/>
                <w:color w:val="auto"/>
              </w:rPr>
            </w:pPr>
            <w:r>
              <w:rPr>
                <w:rFonts w:ascii="Arial" w:cs="Arial" w:eastAsia="Arial" w:hAnsi="Arial"/>
                <w:sz w:val="18"/>
                <w:szCs w:val="18"/>
                <w:color w:val="auto"/>
              </w:rPr>
              <w:t>2,763</w:t>
            </w:r>
          </w:p>
        </w:tc>
        <w:tc>
          <w:tcPr>
            <w:tcW w:w="360" w:type="dxa"/>
            <w:vAlign w:val="bottom"/>
          </w:tcPr>
          <w:p>
            <w:pPr>
              <w:spacing w:after="0"/>
              <w:rPr>
                <w:sz w:val="20"/>
                <w:szCs w:val="20"/>
                <w:color w:val="auto"/>
              </w:rPr>
            </w:pPr>
          </w:p>
        </w:tc>
        <w:tc>
          <w:tcPr>
            <w:tcW w:w="1080" w:type="dxa"/>
            <w:vAlign w:val="bottom"/>
          </w:tcPr>
          <w:p>
            <w:pPr>
              <w:jc w:val="right"/>
              <w:ind w:right="350"/>
              <w:spacing w:after="0"/>
              <w:rPr>
                <w:sz w:val="20"/>
                <w:szCs w:val="20"/>
                <w:color w:val="auto"/>
              </w:rPr>
            </w:pPr>
            <w:r>
              <w:rPr>
                <w:rFonts w:ascii="Arial" w:cs="Arial" w:eastAsia="Arial" w:hAnsi="Arial"/>
                <w:sz w:val="18"/>
                <w:szCs w:val="18"/>
                <w:color w:val="auto"/>
              </w:rPr>
              <w:t>2,756</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3,232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1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Cost of electric fuel and purchased power</w:t>
            </w:r>
          </w:p>
        </w:tc>
        <w:tc>
          <w:tcPr>
            <w:tcW w:w="200" w:type="dxa"/>
            <w:vAlign w:val="bottom"/>
            <w:shd w:val="clear" w:color="auto" w:fill="CCFFCC"/>
          </w:tcPr>
          <w:p>
            <w:pPr>
              <w:spacing w:after="0"/>
              <w:rPr>
                <w:sz w:val="21"/>
                <w:szCs w:val="21"/>
                <w:color w:val="auto"/>
              </w:rPr>
            </w:pPr>
          </w:p>
        </w:tc>
        <w:tc>
          <w:tcPr>
            <w:tcW w:w="960" w:type="dxa"/>
            <w:vAlign w:val="bottom"/>
            <w:shd w:val="clear" w:color="auto" w:fill="CCFFCC"/>
          </w:tcPr>
          <w:p>
            <w:pPr>
              <w:jc w:val="right"/>
              <w:ind w:right="230"/>
              <w:spacing w:after="0"/>
              <w:rPr>
                <w:sz w:val="20"/>
                <w:szCs w:val="20"/>
                <w:color w:val="auto"/>
              </w:rPr>
            </w:pPr>
            <w:r>
              <w:rPr>
                <w:rFonts w:ascii="Arial" w:cs="Arial" w:eastAsia="Arial" w:hAnsi="Arial"/>
                <w:sz w:val="18"/>
                <w:szCs w:val="18"/>
                <w:color w:val="auto"/>
              </w:rPr>
              <w:t>699</w:t>
            </w:r>
          </w:p>
        </w:tc>
        <w:tc>
          <w:tcPr>
            <w:tcW w:w="360" w:type="dxa"/>
            <w:vAlign w:val="bottom"/>
            <w:shd w:val="clear" w:color="auto" w:fill="CCFFCC"/>
          </w:tcPr>
          <w:p>
            <w:pPr>
              <w:spacing w:after="0"/>
              <w:rPr>
                <w:sz w:val="21"/>
                <w:szCs w:val="21"/>
                <w:color w:val="auto"/>
              </w:rPr>
            </w:pPr>
          </w:p>
        </w:tc>
        <w:tc>
          <w:tcPr>
            <w:tcW w:w="1080" w:type="dxa"/>
            <w:vAlign w:val="bottom"/>
            <w:shd w:val="clear" w:color="auto" w:fill="CCFFCC"/>
          </w:tcPr>
          <w:p>
            <w:pPr>
              <w:jc w:val="right"/>
              <w:ind w:right="350"/>
              <w:spacing w:after="0"/>
              <w:rPr>
                <w:sz w:val="20"/>
                <w:szCs w:val="20"/>
                <w:color w:val="auto"/>
              </w:rPr>
            </w:pPr>
            <w:r>
              <w:rPr>
                <w:rFonts w:ascii="Arial" w:cs="Arial" w:eastAsia="Arial" w:hAnsi="Arial"/>
                <w:sz w:val="18"/>
                <w:szCs w:val="18"/>
                <w:color w:val="auto"/>
              </w:rPr>
              <w:t>721</w:t>
            </w:r>
          </w:p>
        </w:tc>
        <w:tc>
          <w:tcPr>
            <w:tcW w:w="120" w:type="dxa"/>
            <w:vAlign w:val="bottom"/>
            <w:shd w:val="clear" w:color="auto" w:fill="CCFFCC"/>
          </w:tcPr>
          <w:p>
            <w:pPr>
              <w:spacing w:after="0"/>
              <w:rPr>
                <w:sz w:val="21"/>
                <w:szCs w:val="21"/>
                <w:color w:val="auto"/>
              </w:rPr>
            </w:pPr>
          </w:p>
        </w:tc>
        <w:tc>
          <w:tcPr>
            <w:tcW w:w="60" w:type="dxa"/>
            <w:vAlign w:val="bottom"/>
            <w:shd w:val="clear" w:color="auto" w:fill="CCFFCC"/>
          </w:tcPr>
          <w:p>
            <w:pPr>
              <w:spacing w:after="0"/>
              <w:rPr>
                <w:sz w:val="21"/>
                <w:szCs w:val="21"/>
                <w:color w:val="auto"/>
              </w:rPr>
            </w:pPr>
          </w:p>
        </w:tc>
        <w:tc>
          <w:tcPr>
            <w:tcW w:w="6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624</w:t>
            </w:r>
          </w:p>
        </w:tc>
        <w:tc>
          <w:tcPr>
            <w:tcW w:w="12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40" w:type="dxa"/>
            <w:vAlign w:val="bottom"/>
          </w:tcPr>
          <w:p>
            <w:pPr>
              <w:spacing w:after="0"/>
              <w:rPr>
                <w:sz w:val="20"/>
                <w:szCs w:val="20"/>
                <w:color w:val="auto"/>
              </w:rPr>
            </w:pPr>
            <w:r>
              <w:rPr>
                <w:rFonts w:ascii="Arial" w:cs="Arial" w:eastAsia="Arial" w:hAnsi="Arial"/>
                <w:sz w:val="18"/>
                <w:szCs w:val="18"/>
                <w:color w:val="auto"/>
              </w:rPr>
              <w:t>Sempra Global and parent:</w:t>
            </w: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1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Cost of natural gas, electric fuel and purchased power</w:t>
            </w:r>
          </w:p>
        </w:tc>
        <w:tc>
          <w:tcPr>
            <w:tcW w:w="200" w:type="dxa"/>
            <w:vAlign w:val="bottom"/>
            <w:shd w:val="clear" w:color="auto" w:fill="CCFFCC"/>
          </w:tcPr>
          <w:p>
            <w:pPr>
              <w:spacing w:after="0"/>
              <w:rPr>
                <w:sz w:val="21"/>
                <w:szCs w:val="21"/>
                <w:color w:val="auto"/>
              </w:rPr>
            </w:pPr>
          </w:p>
        </w:tc>
        <w:tc>
          <w:tcPr>
            <w:tcW w:w="960" w:type="dxa"/>
            <w:vAlign w:val="bottom"/>
            <w:shd w:val="clear" w:color="auto" w:fill="CCFFCC"/>
          </w:tcPr>
          <w:p>
            <w:pPr>
              <w:jc w:val="right"/>
              <w:ind w:right="230"/>
              <w:spacing w:after="0"/>
              <w:rPr>
                <w:sz w:val="20"/>
                <w:szCs w:val="20"/>
                <w:color w:val="auto"/>
              </w:rPr>
            </w:pPr>
            <w:r>
              <w:rPr>
                <w:rFonts w:ascii="Arial" w:cs="Arial" w:eastAsia="Arial" w:hAnsi="Arial"/>
                <w:sz w:val="18"/>
                <w:szCs w:val="18"/>
                <w:color w:val="auto"/>
              </w:rPr>
              <w:t>1,302</w:t>
            </w:r>
          </w:p>
        </w:tc>
        <w:tc>
          <w:tcPr>
            <w:tcW w:w="360" w:type="dxa"/>
            <w:vAlign w:val="bottom"/>
            <w:shd w:val="clear" w:color="auto" w:fill="CCFFCC"/>
          </w:tcPr>
          <w:p>
            <w:pPr>
              <w:spacing w:after="0"/>
              <w:rPr>
                <w:sz w:val="21"/>
                <w:szCs w:val="21"/>
                <w:color w:val="auto"/>
              </w:rPr>
            </w:pPr>
          </w:p>
        </w:tc>
        <w:tc>
          <w:tcPr>
            <w:tcW w:w="1080" w:type="dxa"/>
            <w:vAlign w:val="bottom"/>
            <w:shd w:val="clear" w:color="auto" w:fill="CCFFCC"/>
          </w:tcPr>
          <w:p>
            <w:pPr>
              <w:jc w:val="right"/>
              <w:ind w:right="350"/>
              <w:spacing w:after="0"/>
              <w:rPr>
                <w:sz w:val="20"/>
                <w:szCs w:val="20"/>
                <w:color w:val="auto"/>
              </w:rPr>
            </w:pPr>
            <w:r>
              <w:rPr>
                <w:rFonts w:ascii="Arial" w:cs="Arial" w:eastAsia="Arial" w:hAnsi="Arial"/>
                <w:sz w:val="18"/>
                <w:szCs w:val="18"/>
                <w:color w:val="auto"/>
              </w:rPr>
              <w:t>1,221</w:t>
            </w:r>
          </w:p>
        </w:tc>
        <w:tc>
          <w:tcPr>
            <w:tcW w:w="120" w:type="dxa"/>
            <w:vAlign w:val="bottom"/>
            <w:shd w:val="clear" w:color="auto" w:fill="CCFFCC"/>
          </w:tcPr>
          <w:p>
            <w:pPr>
              <w:spacing w:after="0"/>
              <w:rPr>
                <w:sz w:val="21"/>
                <w:szCs w:val="21"/>
                <w:color w:val="auto"/>
              </w:rPr>
            </w:pPr>
          </w:p>
        </w:tc>
        <w:tc>
          <w:tcPr>
            <w:tcW w:w="60" w:type="dxa"/>
            <w:vAlign w:val="bottom"/>
            <w:shd w:val="clear" w:color="auto" w:fill="CCFFCC"/>
          </w:tcPr>
          <w:p>
            <w:pPr>
              <w:spacing w:after="0"/>
              <w:rPr>
                <w:sz w:val="21"/>
                <w:szCs w:val="21"/>
                <w:color w:val="auto"/>
              </w:rPr>
            </w:pPr>
          </w:p>
        </w:tc>
        <w:tc>
          <w:tcPr>
            <w:tcW w:w="6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1,321</w:t>
            </w:r>
          </w:p>
        </w:tc>
        <w:tc>
          <w:tcPr>
            <w:tcW w:w="12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40" w:type="dxa"/>
            <w:vAlign w:val="bottom"/>
          </w:tcPr>
          <w:p>
            <w:pPr>
              <w:ind w:left="160"/>
              <w:spacing w:after="0"/>
              <w:rPr>
                <w:sz w:val="20"/>
                <w:szCs w:val="20"/>
                <w:color w:val="auto"/>
              </w:rPr>
            </w:pPr>
            <w:r>
              <w:rPr>
                <w:rFonts w:ascii="Arial" w:cs="Arial" w:eastAsia="Arial" w:hAnsi="Arial"/>
                <w:sz w:val="18"/>
                <w:szCs w:val="18"/>
                <w:color w:val="auto"/>
              </w:rPr>
              <w:t>Other cost of sales</w:t>
            </w:r>
          </w:p>
        </w:tc>
        <w:tc>
          <w:tcPr>
            <w:tcW w:w="200" w:type="dxa"/>
            <w:vAlign w:val="bottom"/>
          </w:tcPr>
          <w:p>
            <w:pPr>
              <w:spacing w:after="0"/>
              <w:rPr>
                <w:sz w:val="20"/>
                <w:szCs w:val="20"/>
                <w:color w:val="auto"/>
              </w:rPr>
            </w:pPr>
          </w:p>
        </w:tc>
        <w:tc>
          <w:tcPr>
            <w:tcW w:w="960" w:type="dxa"/>
            <w:vAlign w:val="bottom"/>
          </w:tcPr>
          <w:p>
            <w:pPr>
              <w:jc w:val="right"/>
              <w:ind w:right="230"/>
              <w:spacing w:after="0"/>
              <w:rPr>
                <w:sz w:val="20"/>
                <w:szCs w:val="20"/>
                <w:color w:val="auto"/>
              </w:rPr>
            </w:pPr>
            <w:r>
              <w:rPr>
                <w:rFonts w:ascii="Arial" w:cs="Arial" w:eastAsia="Arial" w:hAnsi="Arial"/>
                <w:sz w:val="18"/>
                <w:szCs w:val="18"/>
                <w:color w:val="auto"/>
              </w:rPr>
              <w:t>988</w:t>
            </w:r>
          </w:p>
        </w:tc>
        <w:tc>
          <w:tcPr>
            <w:tcW w:w="360" w:type="dxa"/>
            <w:vAlign w:val="bottom"/>
          </w:tcPr>
          <w:p>
            <w:pPr>
              <w:spacing w:after="0"/>
              <w:rPr>
                <w:sz w:val="20"/>
                <w:szCs w:val="20"/>
                <w:color w:val="auto"/>
              </w:rPr>
            </w:pPr>
          </w:p>
        </w:tc>
        <w:tc>
          <w:tcPr>
            <w:tcW w:w="1080" w:type="dxa"/>
            <w:vAlign w:val="bottom"/>
          </w:tcPr>
          <w:p>
            <w:pPr>
              <w:jc w:val="right"/>
              <w:ind w:right="350"/>
              <w:spacing w:after="0"/>
              <w:rPr>
                <w:sz w:val="20"/>
                <w:szCs w:val="20"/>
                <w:color w:val="auto"/>
              </w:rPr>
            </w:pPr>
            <w:r>
              <w:rPr>
                <w:rFonts w:ascii="Arial" w:cs="Arial" w:eastAsia="Arial" w:hAnsi="Arial"/>
                <w:sz w:val="18"/>
                <w:szCs w:val="18"/>
                <w:color w:val="auto"/>
              </w:rPr>
              <w:t>1,468</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1,267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140" w:type="dxa"/>
            <w:vAlign w:val="bottom"/>
            <w:shd w:val="clear" w:color="auto" w:fill="CCFFCC"/>
          </w:tcPr>
          <w:p>
            <w:pPr>
              <w:spacing w:after="0"/>
              <w:rPr>
                <w:sz w:val="20"/>
                <w:szCs w:val="20"/>
                <w:color w:val="auto"/>
              </w:rPr>
            </w:pPr>
            <w:r>
              <w:rPr>
                <w:rFonts w:ascii="Arial" w:cs="Arial" w:eastAsia="Arial" w:hAnsi="Arial"/>
                <w:sz w:val="18"/>
                <w:szCs w:val="18"/>
                <w:color w:val="auto"/>
              </w:rPr>
              <w:t>Litigation expense</w:t>
            </w:r>
          </w:p>
        </w:tc>
        <w:tc>
          <w:tcPr>
            <w:tcW w:w="200" w:type="dxa"/>
            <w:vAlign w:val="bottom"/>
            <w:shd w:val="clear" w:color="auto" w:fill="CCFFCC"/>
          </w:tcPr>
          <w:p>
            <w:pPr>
              <w:spacing w:after="0"/>
              <w:rPr>
                <w:sz w:val="21"/>
                <w:szCs w:val="21"/>
                <w:color w:val="auto"/>
              </w:rPr>
            </w:pPr>
          </w:p>
        </w:tc>
        <w:tc>
          <w:tcPr>
            <w:tcW w:w="960" w:type="dxa"/>
            <w:vAlign w:val="bottom"/>
            <w:shd w:val="clear" w:color="auto" w:fill="CCFFCC"/>
          </w:tcPr>
          <w:p>
            <w:pPr>
              <w:jc w:val="right"/>
              <w:ind w:right="230"/>
              <w:spacing w:after="0"/>
              <w:rPr>
                <w:sz w:val="20"/>
                <w:szCs w:val="20"/>
                <w:color w:val="auto"/>
              </w:rPr>
            </w:pPr>
            <w:r>
              <w:rPr>
                <w:rFonts w:ascii="Arial" w:cs="Arial" w:eastAsia="Arial" w:hAnsi="Arial"/>
                <w:sz w:val="18"/>
                <w:szCs w:val="18"/>
                <w:color w:val="auto"/>
              </w:rPr>
              <w:t>73</w:t>
            </w:r>
          </w:p>
        </w:tc>
        <w:tc>
          <w:tcPr>
            <w:tcW w:w="360" w:type="dxa"/>
            <w:vAlign w:val="bottom"/>
            <w:shd w:val="clear" w:color="auto" w:fill="CCFFCC"/>
          </w:tcPr>
          <w:p>
            <w:pPr>
              <w:spacing w:after="0"/>
              <w:rPr>
                <w:sz w:val="21"/>
                <w:szCs w:val="21"/>
                <w:color w:val="auto"/>
              </w:rPr>
            </w:pPr>
          </w:p>
        </w:tc>
        <w:tc>
          <w:tcPr>
            <w:tcW w:w="1080" w:type="dxa"/>
            <w:vAlign w:val="bottom"/>
            <w:shd w:val="clear" w:color="auto" w:fill="CCFFCC"/>
          </w:tcPr>
          <w:p>
            <w:pPr>
              <w:jc w:val="right"/>
              <w:ind w:right="350"/>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FFCC"/>
          </w:tcPr>
          <w:p>
            <w:pPr>
              <w:spacing w:after="0"/>
              <w:rPr>
                <w:sz w:val="21"/>
                <w:szCs w:val="21"/>
                <w:color w:val="auto"/>
              </w:rPr>
            </w:pPr>
          </w:p>
        </w:tc>
        <w:tc>
          <w:tcPr>
            <w:tcW w:w="60" w:type="dxa"/>
            <w:vAlign w:val="bottom"/>
            <w:shd w:val="clear" w:color="auto" w:fill="CCFFCC"/>
          </w:tcPr>
          <w:p>
            <w:pPr>
              <w:spacing w:after="0"/>
              <w:rPr>
                <w:sz w:val="21"/>
                <w:szCs w:val="21"/>
                <w:color w:val="auto"/>
              </w:rPr>
            </w:pPr>
          </w:p>
        </w:tc>
        <w:tc>
          <w:tcPr>
            <w:tcW w:w="6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551</w:t>
            </w:r>
          </w:p>
        </w:tc>
        <w:tc>
          <w:tcPr>
            <w:tcW w:w="12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40" w:type="dxa"/>
            <w:vAlign w:val="bottom"/>
          </w:tcPr>
          <w:p>
            <w:pPr>
              <w:spacing w:after="0"/>
              <w:rPr>
                <w:sz w:val="20"/>
                <w:szCs w:val="20"/>
                <w:color w:val="auto"/>
              </w:rPr>
            </w:pPr>
            <w:r>
              <w:rPr>
                <w:rFonts w:ascii="Arial" w:cs="Arial" w:eastAsia="Arial" w:hAnsi="Arial"/>
                <w:sz w:val="18"/>
                <w:szCs w:val="18"/>
                <w:color w:val="auto"/>
              </w:rPr>
              <w:t>Other operating expenses</w:t>
            </w:r>
          </w:p>
        </w:tc>
        <w:tc>
          <w:tcPr>
            <w:tcW w:w="200" w:type="dxa"/>
            <w:vAlign w:val="bottom"/>
          </w:tcPr>
          <w:p>
            <w:pPr>
              <w:spacing w:after="0"/>
              <w:rPr>
                <w:sz w:val="20"/>
                <w:szCs w:val="20"/>
                <w:color w:val="auto"/>
              </w:rPr>
            </w:pPr>
          </w:p>
        </w:tc>
        <w:tc>
          <w:tcPr>
            <w:tcW w:w="960" w:type="dxa"/>
            <w:vAlign w:val="bottom"/>
          </w:tcPr>
          <w:p>
            <w:pPr>
              <w:jc w:val="right"/>
              <w:ind w:right="230"/>
              <w:spacing w:after="0"/>
              <w:rPr>
                <w:sz w:val="20"/>
                <w:szCs w:val="20"/>
                <w:color w:val="auto"/>
              </w:rPr>
            </w:pPr>
            <w:r>
              <w:rPr>
                <w:rFonts w:ascii="Arial" w:cs="Arial" w:eastAsia="Arial" w:hAnsi="Arial"/>
                <w:sz w:val="18"/>
                <w:szCs w:val="18"/>
                <w:color w:val="auto"/>
              </w:rPr>
              <w:t>2,954</w:t>
            </w:r>
          </w:p>
        </w:tc>
        <w:tc>
          <w:tcPr>
            <w:tcW w:w="360" w:type="dxa"/>
            <w:vAlign w:val="bottom"/>
          </w:tcPr>
          <w:p>
            <w:pPr>
              <w:spacing w:after="0"/>
              <w:rPr>
                <w:sz w:val="20"/>
                <w:szCs w:val="20"/>
                <w:color w:val="auto"/>
              </w:rPr>
            </w:pPr>
          </w:p>
        </w:tc>
        <w:tc>
          <w:tcPr>
            <w:tcW w:w="1080" w:type="dxa"/>
            <w:vAlign w:val="bottom"/>
          </w:tcPr>
          <w:p>
            <w:pPr>
              <w:jc w:val="right"/>
              <w:ind w:right="350"/>
              <w:spacing w:after="0"/>
              <w:rPr>
                <w:sz w:val="20"/>
                <w:szCs w:val="20"/>
                <w:color w:val="auto"/>
              </w:rPr>
            </w:pPr>
            <w:r>
              <w:rPr>
                <w:rFonts w:ascii="Arial" w:cs="Arial" w:eastAsia="Arial" w:hAnsi="Arial"/>
                <w:sz w:val="18"/>
                <w:szCs w:val="18"/>
                <w:color w:val="auto"/>
              </w:rPr>
              <w:t>2,814</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2,583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140" w:type="dxa"/>
            <w:vAlign w:val="bottom"/>
            <w:shd w:val="clear" w:color="auto" w:fill="CCFFCC"/>
          </w:tcPr>
          <w:p>
            <w:pPr>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CFFCC"/>
          </w:tcPr>
          <w:p>
            <w:pPr>
              <w:spacing w:after="0"/>
              <w:rPr>
                <w:sz w:val="21"/>
                <w:szCs w:val="21"/>
                <w:color w:val="auto"/>
              </w:rPr>
            </w:pPr>
          </w:p>
        </w:tc>
        <w:tc>
          <w:tcPr>
            <w:tcW w:w="960" w:type="dxa"/>
            <w:vAlign w:val="bottom"/>
            <w:shd w:val="clear" w:color="auto" w:fill="CCFFCC"/>
          </w:tcPr>
          <w:p>
            <w:pPr>
              <w:jc w:val="right"/>
              <w:ind w:right="230"/>
              <w:spacing w:after="0"/>
              <w:rPr>
                <w:sz w:val="20"/>
                <w:szCs w:val="20"/>
                <w:color w:val="auto"/>
              </w:rPr>
            </w:pPr>
            <w:r>
              <w:rPr>
                <w:rFonts w:ascii="Arial" w:cs="Arial" w:eastAsia="Arial" w:hAnsi="Arial"/>
                <w:sz w:val="18"/>
                <w:szCs w:val="18"/>
                <w:color w:val="auto"/>
              </w:rPr>
              <w:t>686</w:t>
            </w:r>
          </w:p>
        </w:tc>
        <w:tc>
          <w:tcPr>
            <w:tcW w:w="360" w:type="dxa"/>
            <w:vAlign w:val="bottom"/>
            <w:shd w:val="clear" w:color="auto" w:fill="CCFFCC"/>
          </w:tcPr>
          <w:p>
            <w:pPr>
              <w:spacing w:after="0"/>
              <w:rPr>
                <w:sz w:val="21"/>
                <w:szCs w:val="21"/>
                <w:color w:val="auto"/>
              </w:rPr>
            </w:pPr>
          </w:p>
        </w:tc>
        <w:tc>
          <w:tcPr>
            <w:tcW w:w="1080" w:type="dxa"/>
            <w:vAlign w:val="bottom"/>
            <w:shd w:val="clear" w:color="auto" w:fill="CCFFCC"/>
          </w:tcPr>
          <w:p>
            <w:pPr>
              <w:jc w:val="right"/>
              <w:ind w:right="350"/>
              <w:spacing w:after="0"/>
              <w:rPr>
                <w:sz w:val="20"/>
                <w:szCs w:val="20"/>
                <w:color w:val="auto"/>
              </w:rPr>
            </w:pPr>
            <w:r>
              <w:rPr>
                <w:rFonts w:ascii="Arial" w:cs="Arial" w:eastAsia="Arial" w:hAnsi="Arial"/>
                <w:sz w:val="18"/>
                <w:szCs w:val="18"/>
                <w:color w:val="auto"/>
              </w:rPr>
              <w:t>657</w:t>
            </w:r>
          </w:p>
        </w:tc>
        <w:tc>
          <w:tcPr>
            <w:tcW w:w="120" w:type="dxa"/>
            <w:vAlign w:val="bottom"/>
            <w:shd w:val="clear" w:color="auto" w:fill="CCFFCC"/>
          </w:tcPr>
          <w:p>
            <w:pPr>
              <w:spacing w:after="0"/>
              <w:rPr>
                <w:sz w:val="21"/>
                <w:szCs w:val="21"/>
                <w:color w:val="auto"/>
              </w:rPr>
            </w:pPr>
          </w:p>
        </w:tc>
        <w:tc>
          <w:tcPr>
            <w:tcW w:w="60" w:type="dxa"/>
            <w:vAlign w:val="bottom"/>
            <w:shd w:val="clear" w:color="auto" w:fill="CCFFCC"/>
          </w:tcPr>
          <w:p>
            <w:pPr>
              <w:spacing w:after="0"/>
              <w:rPr>
                <w:sz w:val="21"/>
                <w:szCs w:val="21"/>
                <w:color w:val="auto"/>
              </w:rPr>
            </w:pPr>
          </w:p>
        </w:tc>
        <w:tc>
          <w:tcPr>
            <w:tcW w:w="6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626</w:t>
            </w:r>
          </w:p>
        </w:tc>
        <w:tc>
          <w:tcPr>
            <w:tcW w:w="12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40" w:type="dxa"/>
            <w:vAlign w:val="bottom"/>
          </w:tcPr>
          <w:p>
            <w:pPr>
              <w:spacing w:after="0"/>
              <w:rPr>
                <w:sz w:val="20"/>
                <w:szCs w:val="20"/>
                <w:color w:val="auto"/>
              </w:rPr>
            </w:pPr>
            <w:r>
              <w:rPr>
                <w:rFonts w:ascii="Arial" w:cs="Arial" w:eastAsia="Arial" w:hAnsi="Arial"/>
                <w:sz w:val="18"/>
                <w:szCs w:val="18"/>
                <w:color w:val="auto"/>
              </w:rPr>
              <w:t>Franchise fees and other taxes</w:t>
            </w:r>
          </w:p>
        </w:tc>
        <w:tc>
          <w:tcPr>
            <w:tcW w:w="200" w:type="dxa"/>
            <w:vAlign w:val="bottom"/>
          </w:tcPr>
          <w:p>
            <w:pPr>
              <w:spacing w:after="0"/>
              <w:rPr>
                <w:sz w:val="20"/>
                <w:szCs w:val="20"/>
                <w:color w:val="auto"/>
              </w:rPr>
            </w:pPr>
          </w:p>
        </w:tc>
        <w:tc>
          <w:tcPr>
            <w:tcW w:w="960" w:type="dxa"/>
            <w:vAlign w:val="bottom"/>
          </w:tcPr>
          <w:p>
            <w:pPr>
              <w:jc w:val="right"/>
              <w:ind w:right="230"/>
              <w:spacing w:after="0"/>
              <w:rPr>
                <w:sz w:val="20"/>
                <w:szCs w:val="20"/>
                <w:color w:val="auto"/>
              </w:rPr>
            </w:pPr>
            <w:r>
              <w:rPr>
                <w:rFonts w:ascii="Arial" w:cs="Arial" w:eastAsia="Arial" w:hAnsi="Arial"/>
                <w:sz w:val="18"/>
                <w:szCs w:val="18"/>
                <w:color w:val="auto"/>
              </w:rPr>
              <w:t>295</w:t>
            </w:r>
          </w:p>
        </w:tc>
        <w:tc>
          <w:tcPr>
            <w:tcW w:w="360" w:type="dxa"/>
            <w:vAlign w:val="bottom"/>
          </w:tcPr>
          <w:p>
            <w:pPr>
              <w:spacing w:after="0"/>
              <w:rPr>
                <w:sz w:val="20"/>
                <w:szCs w:val="20"/>
                <w:color w:val="auto"/>
              </w:rPr>
            </w:pPr>
          </w:p>
        </w:tc>
        <w:tc>
          <w:tcPr>
            <w:tcW w:w="1080" w:type="dxa"/>
            <w:vAlign w:val="bottom"/>
          </w:tcPr>
          <w:p>
            <w:pPr>
              <w:jc w:val="right"/>
              <w:ind w:right="350"/>
              <w:spacing w:after="0"/>
              <w:rPr>
                <w:sz w:val="20"/>
                <w:szCs w:val="20"/>
                <w:color w:val="auto"/>
              </w:rPr>
            </w:pPr>
            <w:r>
              <w:rPr>
                <w:rFonts w:ascii="Arial" w:cs="Arial" w:eastAsia="Arial" w:hAnsi="Arial"/>
                <w:sz w:val="18"/>
                <w:szCs w:val="18"/>
                <w:color w:val="auto"/>
              </w:rPr>
              <w:t>275</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140" w:type="dxa"/>
            <w:vAlign w:val="bottom"/>
            <w:shd w:val="clear" w:color="auto" w:fill="CCFFCC"/>
          </w:tcPr>
          <w:p>
            <w:pPr>
              <w:spacing w:after="0"/>
              <w:rPr>
                <w:sz w:val="20"/>
                <w:szCs w:val="20"/>
                <w:color w:val="auto"/>
              </w:rPr>
            </w:pPr>
            <w:r>
              <w:rPr>
                <w:rFonts w:ascii="Arial" w:cs="Arial" w:eastAsia="Arial" w:hAnsi="Arial"/>
                <w:sz w:val="18"/>
                <w:szCs w:val="18"/>
                <w:color w:val="auto"/>
              </w:rPr>
              <w:t>Gains on sale of assets, net</w:t>
            </w:r>
          </w:p>
        </w:tc>
        <w:tc>
          <w:tcPr>
            <w:tcW w:w="200" w:type="dxa"/>
            <w:vAlign w:val="bottom"/>
            <w:shd w:val="clear" w:color="auto" w:fill="CCFFCC"/>
          </w:tcPr>
          <w:p>
            <w:pPr>
              <w:spacing w:after="0"/>
              <w:rPr>
                <w:sz w:val="21"/>
                <w:szCs w:val="21"/>
                <w:color w:val="auto"/>
              </w:rPr>
            </w:pPr>
          </w:p>
        </w:tc>
        <w:tc>
          <w:tcPr>
            <w:tcW w:w="96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rPr>
              <w:t>(6 )</w:t>
            </w:r>
          </w:p>
        </w:tc>
        <w:tc>
          <w:tcPr>
            <w:tcW w:w="360" w:type="dxa"/>
            <w:vAlign w:val="bottom"/>
            <w:shd w:val="clear" w:color="auto" w:fill="CCFFCC"/>
          </w:tcPr>
          <w:p>
            <w:pPr>
              <w:spacing w:after="0"/>
              <w:rPr>
                <w:sz w:val="21"/>
                <w:szCs w:val="21"/>
                <w:color w:val="auto"/>
              </w:rPr>
            </w:pPr>
          </w:p>
        </w:tc>
        <w:tc>
          <w:tcPr>
            <w:tcW w:w="1080" w:type="dxa"/>
            <w:vAlign w:val="bottom"/>
            <w:shd w:val="clear" w:color="auto" w:fill="CCFFCC"/>
          </w:tcPr>
          <w:p>
            <w:pPr>
              <w:jc w:val="right"/>
              <w:ind w:right="270"/>
              <w:spacing w:after="0"/>
              <w:rPr>
                <w:sz w:val="20"/>
                <w:szCs w:val="20"/>
                <w:color w:val="auto"/>
              </w:rPr>
            </w:pPr>
            <w:r>
              <w:rPr>
                <w:rFonts w:ascii="Arial" w:cs="Arial" w:eastAsia="Arial" w:hAnsi="Arial"/>
                <w:sz w:val="18"/>
                <w:szCs w:val="18"/>
                <w:color w:val="auto"/>
              </w:rPr>
              <w:t>(1 )</w:t>
            </w:r>
          </w:p>
        </w:tc>
        <w:tc>
          <w:tcPr>
            <w:tcW w:w="120" w:type="dxa"/>
            <w:vAlign w:val="bottom"/>
            <w:shd w:val="clear" w:color="auto" w:fill="CCFFCC"/>
          </w:tcPr>
          <w:p>
            <w:pPr>
              <w:spacing w:after="0"/>
              <w:rPr>
                <w:sz w:val="21"/>
                <w:szCs w:val="21"/>
                <w:color w:val="auto"/>
              </w:rPr>
            </w:pPr>
          </w:p>
        </w:tc>
        <w:tc>
          <w:tcPr>
            <w:tcW w:w="60" w:type="dxa"/>
            <w:vAlign w:val="bottom"/>
            <w:shd w:val="clear" w:color="auto" w:fill="CCFFCC"/>
          </w:tcPr>
          <w:p>
            <w:pPr>
              <w:spacing w:after="0"/>
              <w:rPr>
                <w:sz w:val="21"/>
                <w:szCs w:val="21"/>
                <w:color w:val="auto"/>
              </w:rPr>
            </w:pPr>
          </w:p>
        </w:tc>
        <w:tc>
          <w:tcPr>
            <w:tcW w:w="7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(112 )</w:t>
            </w:r>
          </w:p>
        </w:tc>
        <w:tc>
          <w:tcPr>
            <w:tcW w:w="0" w:type="dxa"/>
            <w:vAlign w:val="bottom"/>
          </w:tcPr>
          <w:p>
            <w:pPr>
              <w:spacing w:after="0"/>
              <w:rPr>
                <w:sz w:val="1"/>
                <w:szCs w:val="1"/>
                <w:color w:val="auto"/>
              </w:rPr>
            </w:pPr>
          </w:p>
        </w:tc>
      </w:tr>
      <w:tr>
        <w:trPr>
          <w:trHeight w:val="243"/>
        </w:trPr>
        <w:tc>
          <w:tcPr>
            <w:tcW w:w="5140" w:type="dxa"/>
            <w:vAlign w:val="bottom"/>
          </w:tcPr>
          <w:p>
            <w:pPr>
              <w:spacing w:after="0"/>
              <w:rPr>
                <w:sz w:val="20"/>
                <w:szCs w:val="20"/>
                <w:color w:val="auto"/>
              </w:rPr>
            </w:pPr>
            <w:r>
              <w:rPr>
                <w:rFonts w:ascii="Arial" w:cs="Arial" w:eastAsia="Arial" w:hAnsi="Arial"/>
                <w:sz w:val="18"/>
                <w:szCs w:val="18"/>
                <w:color w:val="auto"/>
              </w:rPr>
              <w:t>Impairment losses</w:t>
            </w: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5</w:t>
            </w:r>
          </w:p>
        </w:tc>
        <w:tc>
          <w:tcPr>
            <w:tcW w:w="3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40" w:type="dxa"/>
            <w:vAlign w:val="bottom"/>
            <w:tcBorders>
              <w:bottom w:val="single" w:sz="8" w:color="CCFFCC"/>
            </w:tcBorders>
            <w:shd w:val="clear" w:color="auto" w:fill="CCFFCC"/>
          </w:tcPr>
          <w:p>
            <w:pPr>
              <w:ind w:left="56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auto"/>
            </w:tcBorders>
            <w:shd w:val="clear" w:color="auto" w:fill="CCFFCC"/>
          </w:tcPr>
          <w:p>
            <w:pPr>
              <w:spacing w:after="0"/>
              <w:rPr>
                <w:sz w:val="20"/>
                <w:szCs w:val="20"/>
                <w:color w:val="auto"/>
              </w:rPr>
            </w:pPr>
          </w:p>
        </w:tc>
        <w:tc>
          <w:tcPr>
            <w:tcW w:w="960" w:type="dxa"/>
            <w:vAlign w:val="bottom"/>
            <w:tcBorders>
              <w:bottom w:val="single" w:sz="8" w:color="auto"/>
            </w:tcBorders>
            <w:shd w:val="clear" w:color="auto" w:fill="CCFFCC"/>
          </w:tcPr>
          <w:p>
            <w:pPr>
              <w:jc w:val="right"/>
              <w:ind w:right="230"/>
              <w:spacing w:after="0"/>
              <w:rPr>
                <w:sz w:val="20"/>
                <w:szCs w:val="20"/>
                <w:color w:val="auto"/>
              </w:rPr>
            </w:pPr>
            <w:r>
              <w:rPr>
                <w:rFonts w:ascii="Arial" w:cs="Arial" w:eastAsia="Arial" w:hAnsi="Arial"/>
                <w:sz w:val="18"/>
                <w:szCs w:val="18"/>
                <w:color w:val="auto"/>
              </w:rPr>
              <w:t>9,759</w:t>
            </w:r>
          </w:p>
        </w:tc>
        <w:tc>
          <w:tcPr>
            <w:tcW w:w="360" w:type="dxa"/>
            <w:vAlign w:val="bottom"/>
            <w:tcBorders>
              <w:bottom w:val="single" w:sz="8" w:color="auto"/>
            </w:tcBorders>
            <w:shd w:val="clear" w:color="auto" w:fill="CCFFCC"/>
          </w:tcPr>
          <w:p>
            <w:pPr>
              <w:spacing w:after="0"/>
              <w:rPr>
                <w:sz w:val="20"/>
                <w:szCs w:val="20"/>
                <w:color w:val="auto"/>
              </w:rPr>
            </w:pPr>
          </w:p>
        </w:tc>
        <w:tc>
          <w:tcPr>
            <w:tcW w:w="1080" w:type="dxa"/>
            <w:vAlign w:val="bottom"/>
            <w:tcBorders>
              <w:bottom w:val="single" w:sz="8" w:color="auto"/>
            </w:tcBorders>
            <w:shd w:val="clear" w:color="auto" w:fill="CCFFCC"/>
          </w:tcPr>
          <w:p>
            <w:pPr>
              <w:jc w:val="right"/>
              <w:ind w:right="350"/>
              <w:spacing w:after="0"/>
              <w:rPr>
                <w:sz w:val="20"/>
                <w:szCs w:val="20"/>
                <w:color w:val="auto"/>
              </w:rPr>
            </w:pPr>
            <w:r>
              <w:rPr>
                <w:rFonts w:ascii="Arial" w:cs="Arial" w:eastAsia="Arial" w:hAnsi="Arial"/>
                <w:sz w:val="18"/>
                <w:szCs w:val="18"/>
                <w:color w:val="auto"/>
              </w:rPr>
              <w:t>9,976</w:t>
            </w:r>
          </w:p>
        </w:tc>
        <w:tc>
          <w:tcPr>
            <w:tcW w:w="120" w:type="dxa"/>
            <w:vAlign w:val="bottom"/>
            <w:tcBorders>
              <w:bottom w:val="single" w:sz="8" w:color="auto"/>
            </w:tcBorders>
            <w:shd w:val="clear" w:color="auto" w:fill="CCFFCC"/>
          </w:tcPr>
          <w:p>
            <w:pPr>
              <w:spacing w:after="0"/>
              <w:rPr>
                <w:sz w:val="20"/>
                <w:szCs w:val="20"/>
                <w:color w:val="auto"/>
              </w:rPr>
            </w:pPr>
          </w:p>
        </w:tc>
        <w:tc>
          <w:tcPr>
            <w:tcW w:w="60" w:type="dxa"/>
            <w:vAlign w:val="bottom"/>
            <w:tcBorders>
              <w:bottom w:val="single" w:sz="8" w:color="auto"/>
            </w:tcBorders>
            <w:shd w:val="clear" w:color="auto" w:fill="CCFFCC"/>
          </w:tcPr>
          <w:p>
            <w:pPr>
              <w:spacing w:after="0"/>
              <w:rPr>
                <w:sz w:val="20"/>
                <w:szCs w:val="20"/>
                <w:color w:val="auto"/>
              </w:rPr>
            </w:pPr>
          </w:p>
        </w:tc>
        <w:tc>
          <w:tcPr>
            <w:tcW w:w="6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10,423</w:t>
            </w:r>
          </w:p>
        </w:tc>
        <w:tc>
          <w:tcPr>
            <w:tcW w:w="120" w:type="dxa"/>
            <w:vAlign w:val="bottom"/>
            <w:tcBorders>
              <w:bottom w:val="single" w:sz="8" w:color="auto"/>
            </w:tcBorders>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Operating income</w:t>
            </w:r>
          </w:p>
        </w:tc>
        <w:tc>
          <w:tcPr>
            <w:tcW w:w="200" w:type="dxa"/>
            <w:vAlign w:val="bottom"/>
          </w:tcPr>
          <w:p>
            <w:pPr>
              <w:spacing w:after="0"/>
              <w:rPr>
                <w:sz w:val="20"/>
                <w:szCs w:val="20"/>
                <w:color w:val="auto"/>
              </w:rPr>
            </w:pPr>
          </w:p>
        </w:tc>
        <w:tc>
          <w:tcPr>
            <w:tcW w:w="960" w:type="dxa"/>
            <w:vAlign w:val="bottom"/>
          </w:tcPr>
          <w:p>
            <w:pPr>
              <w:jc w:val="right"/>
              <w:ind w:right="230"/>
              <w:spacing w:after="0"/>
              <w:rPr>
                <w:sz w:val="20"/>
                <w:szCs w:val="20"/>
                <w:color w:val="auto"/>
              </w:rPr>
            </w:pPr>
            <w:r>
              <w:rPr>
                <w:rFonts w:ascii="Arial" w:cs="Arial" w:eastAsia="Arial" w:hAnsi="Arial"/>
                <w:sz w:val="18"/>
                <w:szCs w:val="18"/>
                <w:color w:val="auto"/>
              </w:rPr>
              <w:t>1,679</w:t>
            </w:r>
          </w:p>
        </w:tc>
        <w:tc>
          <w:tcPr>
            <w:tcW w:w="360" w:type="dxa"/>
            <w:vAlign w:val="bottom"/>
          </w:tcPr>
          <w:p>
            <w:pPr>
              <w:spacing w:after="0"/>
              <w:rPr>
                <w:sz w:val="20"/>
                <w:szCs w:val="20"/>
                <w:color w:val="auto"/>
              </w:rPr>
            </w:pPr>
          </w:p>
        </w:tc>
        <w:tc>
          <w:tcPr>
            <w:tcW w:w="1080" w:type="dxa"/>
            <w:vAlign w:val="bottom"/>
          </w:tcPr>
          <w:p>
            <w:pPr>
              <w:jc w:val="right"/>
              <w:ind w:right="350"/>
              <w:spacing w:after="0"/>
              <w:rPr>
                <w:sz w:val="20"/>
                <w:szCs w:val="20"/>
                <w:color w:val="auto"/>
              </w:rPr>
            </w:pPr>
            <w:r>
              <w:rPr>
                <w:rFonts w:ascii="Arial" w:cs="Arial" w:eastAsia="Arial" w:hAnsi="Arial"/>
                <w:sz w:val="18"/>
                <w:szCs w:val="18"/>
                <w:color w:val="auto"/>
              </w:rPr>
              <w:t>1,785</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1,089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140" w:type="dxa"/>
            <w:vAlign w:val="bottom"/>
            <w:shd w:val="clear" w:color="auto" w:fill="CCFFCC"/>
          </w:tcPr>
          <w:p>
            <w:pPr>
              <w:spacing w:after="0"/>
              <w:rPr>
                <w:sz w:val="20"/>
                <w:szCs w:val="20"/>
                <w:color w:val="auto"/>
              </w:rPr>
            </w:pPr>
            <w:r>
              <w:rPr>
                <w:rFonts w:ascii="Arial" w:cs="Arial" w:eastAsia="Arial" w:hAnsi="Arial"/>
                <w:sz w:val="18"/>
                <w:szCs w:val="18"/>
                <w:color w:val="auto"/>
              </w:rPr>
              <w:t>Other income, net</w:t>
            </w:r>
          </w:p>
        </w:tc>
        <w:tc>
          <w:tcPr>
            <w:tcW w:w="200" w:type="dxa"/>
            <w:vAlign w:val="bottom"/>
            <w:shd w:val="clear" w:color="auto" w:fill="CCFFCC"/>
          </w:tcPr>
          <w:p>
            <w:pPr>
              <w:spacing w:after="0"/>
              <w:rPr>
                <w:sz w:val="21"/>
                <w:szCs w:val="21"/>
                <w:color w:val="auto"/>
              </w:rPr>
            </w:pPr>
          </w:p>
        </w:tc>
        <w:tc>
          <w:tcPr>
            <w:tcW w:w="960" w:type="dxa"/>
            <w:vAlign w:val="bottom"/>
            <w:shd w:val="clear" w:color="auto" w:fill="CCFFCC"/>
          </w:tcPr>
          <w:p>
            <w:pPr>
              <w:jc w:val="right"/>
              <w:ind w:right="230"/>
              <w:spacing w:after="0"/>
              <w:rPr>
                <w:sz w:val="20"/>
                <w:szCs w:val="20"/>
                <w:color w:val="auto"/>
              </w:rPr>
            </w:pPr>
            <w:r>
              <w:rPr>
                <w:rFonts w:ascii="Arial" w:cs="Arial" w:eastAsia="Arial" w:hAnsi="Arial"/>
                <w:sz w:val="18"/>
                <w:szCs w:val="18"/>
                <w:color w:val="auto"/>
              </w:rPr>
              <w:t>81</w:t>
            </w:r>
          </w:p>
        </w:tc>
        <w:tc>
          <w:tcPr>
            <w:tcW w:w="360" w:type="dxa"/>
            <w:vAlign w:val="bottom"/>
            <w:shd w:val="clear" w:color="auto" w:fill="CCFFCC"/>
          </w:tcPr>
          <w:p>
            <w:pPr>
              <w:spacing w:after="0"/>
              <w:rPr>
                <w:sz w:val="21"/>
                <w:szCs w:val="21"/>
                <w:color w:val="auto"/>
              </w:rPr>
            </w:pPr>
          </w:p>
        </w:tc>
        <w:tc>
          <w:tcPr>
            <w:tcW w:w="1080" w:type="dxa"/>
            <w:vAlign w:val="bottom"/>
            <w:shd w:val="clear" w:color="auto" w:fill="CCFFCC"/>
          </w:tcPr>
          <w:p>
            <w:pPr>
              <w:jc w:val="right"/>
              <w:ind w:right="350"/>
              <w:spacing w:after="0"/>
              <w:rPr>
                <w:sz w:val="20"/>
                <w:szCs w:val="20"/>
                <w:color w:val="auto"/>
              </w:rPr>
            </w:pPr>
            <w:r>
              <w:rPr>
                <w:rFonts w:ascii="Arial" w:cs="Arial" w:eastAsia="Arial" w:hAnsi="Arial"/>
                <w:sz w:val="18"/>
                <w:szCs w:val="18"/>
                <w:color w:val="auto"/>
              </w:rPr>
              <w:t>381</w:t>
            </w:r>
          </w:p>
        </w:tc>
        <w:tc>
          <w:tcPr>
            <w:tcW w:w="120" w:type="dxa"/>
            <w:vAlign w:val="bottom"/>
            <w:shd w:val="clear" w:color="auto" w:fill="CCFFCC"/>
          </w:tcPr>
          <w:p>
            <w:pPr>
              <w:spacing w:after="0"/>
              <w:rPr>
                <w:sz w:val="21"/>
                <w:szCs w:val="21"/>
                <w:color w:val="auto"/>
              </w:rPr>
            </w:pPr>
          </w:p>
        </w:tc>
        <w:tc>
          <w:tcPr>
            <w:tcW w:w="60" w:type="dxa"/>
            <w:vAlign w:val="bottom"/>
            <w:shd w:val="clear" w:color="auto" w:fill="CCFFCC"/>
          </w:tcPr>
          <w:p>
            <w:pPr>
              <w:spacing w:after="0"/>
              <w:rPr>
                <w:sz w:val="21"/>
                <w:szCs w:val="21"/>
                <w:color w:val="auto"/>
              </w:rPr>
            </w:pPr>
          </w:p>
        </w:tc>
        <w:tc>
          <w:tcPr>
            <w:tcW w:w="6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40" w:type="dxa"/>
            <w:vAlign w:val="bottom"/>
          </w:tcPr>
          <w:p>
            <w:pPr>
              <w:spacing w:after="0"/>
              <w:rPr>
                <w:sz w:val="20"/>
                <w:szCs w:val="20"/>
                <w:color w:val="auto"/>
              </w:rPr>
            </w:pPr>
            <w:r>
              <w:rPr>
                <w:rFonts w:ascii="Arial" w:cs="Arial" w:eastAsia="Arial" w:hAnsi="Arial"/>
                <w:sz w:val="18"/>
                <w:szCs w:val="18"/>
                <w:color w:val="auto"/>
              </w:rPr>
              <w:t>Interest income</w:t>
            </w:r>
          </w:p>
        </w:tc>
        <w:tc>
          <w:tcPr>
            <w:tcW w:w="200" w:type="dxa"/>
            <w:vAlign w:val="bottom"/>
          </w:tcPr>
          <w:p>
            <w:pPr>
              <w:spacing w:after="0"/>
              <w:rPr>
                <w:sz w:val="20"/>
                <w:szCs w:val="20"/>
                <w:color w:val="auto"/>
              </w:rPr>
            </w:pPr>
          </w:p>
        </w:tc>
        <w:tc>
          <w:tcPr>
            <w:tcW w:w="960" w:type="dxa"/>
            <w:vAlign w:val="bottom"/>
          </w:tcPr>
          <w:p>
            <w:pPr>
              <w:jc w:val="right"/>
              <w:ind w:right="230"/>
              <w:spacing w:after="0"/>
              <w:rPr>
                <w:sz w:val="20"/>
                <w:szCs w:val="20"/>
                <w:color w:val="auto"/>
              </w:rPr>
            </w:pPr>
            <w:r>
              <w:rPr>
                <w:rFonts w:ascii="Arial" w:cs="Arial" w:eastAsia="Arial" w:hAnsi="Arial"/>
                <w:sz w:val="18"/>
                <w:szCs w:val="18"/>
                <w:color w:val="auto"/>
              </w:rPr>
              <w:t>72</w:t>
            </w:r>
          </w:p>
        </w:tc>
        <w:tc>
          <w:tcPr>
            <w:tcW w:w="360" w:type="dxa"/>
            <w:vAlign w:val="bottom"/>
          </w:tcPr>
          <w:p>
            <w:pPr>
              <w:spacing w:after="0"/>
              <w:rPr>
                <w:sz w:val="20"/>
                <w:szCs w:val="20"/>
                <w:color w:val="auto"/>
              </w:rPr>
            </w:pPr>
          </w:p>
        </w:tc>
        <w:tc>
          <w:tcPr>
            <w:tcW w:w="1080" w:type="dxa"/>
            <w:vAlign w:val="bottom"/>
          </w:tcPr>
          <w:p>
            <w:pPr>
              <w:jc w:val="right"/>
              <w:ind w:right="350"/>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140" w:type="dxa"/>
            <w:vAlign w:val="bottom"/>
            <w:shd w:val="clear" w:color="auto" w:fill="CCFFCC"/>
          </w:tcPr>
          <w:p>
            <w:pPr>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CFFCC"/>
          </w:tcPr>
          <w:p>
            <w:pPr>
              <w:spacing w:after="0"/>
              <w:rPr>
                <w:sz w:val="21"/>
                <w:szCs w:val="21"/>
                <w:color w:val="auto"/>
              </w:rPr>
            </w:pPr>
          </w:p>
        </w:tc>
        <w:tc>
          <w:tcPr>
            <w:tcW w:w="96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rPr>
              <w:t>(272 )</w:t>
            </w:r>
          </w:p>
        </w:tc>
        <w:tc>
          <w:tcPr>
            <w:tcW w:w="360" w:type="dxa"/>
            <w:vAlign w:val="bottom"/>
            <w:shd w:val="clear" w:color="auto" w:fill="CCFFCC"/>
          </w:tcPr>
          <w:p>
            <w:pPr>
              <w:spacing w:after="0"/>
              <w:rPr>
                <w:sz w:val="21"/>
                <w:szCs w:val="21"/>
                <w:color w:val="auto"/>
              </w:rPr>
            </w:pPr>
          </w:p>
        </w:tc>
        <w:tc>
          <w:tcPr>
            <w:tcW w:w="1080" w:type="dxa"/>
            <w:vAlign w:val="bottom"/>
            <w:shd w:val="clear" w:color="auto" w:fill="CCFFCC"/>
          </w:tcPr>
          <w:p>
            <w:pPr>
              <w:jc w:val="right"/>
              <w:ind w:right="270"/>
              <w:spacing w:after="0"/>
              <w:rPr>
                <w:sz w:val="20"/>
                <w:szCs w:val="20"/>
                <w:color w:val="auto"/>
              </w:rPr>
            </w:pPr>
            <w:r>
              <w:rPr>
                <w:rFonts w:ascii="Arial" w:cs="Arial" w:eastAsia="Arial" w:hAnsi="Arial"/>
                <w:sz w:val="18"/>
                <w:szCs w:val="18"/>
                <w:color w:val="auto"/>
              </w:rPr>
              <w:t>(351 )</w:t>
            </w:r>
          </w:p>
        </w:tc>
        <w:tc>
          <w:tcPr>
            <w:tcW w:w="120" w:type="dxa"/>
            <w:vAlign w:val="bottom"/>
            <w:shd w:val="clear" w:color="auto" w:fill="CCFFCC"/>
          </w:tcPr>
          <w:p>
            <w:pPr>
              <w:spacing w:after="0"/>
              <w:rPr>
                <w:sz w:val="21"/>
                <w:szCs w:val="21"/>
                <w:color w:val="auto"/>
              </w:rPr>
            </w:pPr>
          </w:p>
        </w:tc>
        <w:tc>
          <w:tcPr>
            <w:tcW w:w="60" w:type="dxa"/>
            <w:vAlign w:val="bottom"/>
            <w:shd w:val="clear" w:color="auto" w:fill="CCFFCC"/>
          </w:tcPr>
          <w:p>
            <w:pPr>
              <w:spacing w:after="0"/>
              <w:rPr>
                <w:sz w:val="21"/>
                <w:szCs w:val="21"/>
                <w:color w:val="auto"/>
              </w:rPr>
            </w:pPr>
          </w:p>
        </w:tc>
        <w:tc>
          <w:tcPr>
            <w:tcW w:w="7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(310 )</w:t>
            </w:r>
          </w:p>
        </w:tc>
        <w:tc>
          <w:tcPr>
            <w:tcW w:w="0" w:type="dxa"/>
            <w:vAlign w:val="bottom"/>
          </w:tcPr>
          <w:p>
            <w:pPr>
              <w:spacing w:after="0"/>
              <w:rPr>
                <w:sz w:val="1"/>
                <w:szCs w:val="1"/>
                <w:color w:val="auto"/>
              </w:rPr>
            </w:pPr>
          </w:p>
        </w:tc>
      </w:tr>
      <w:tr>
        <w:trPr>
          <w:trHeight w:val="243"/>
        </w:trPr>
        <w:tc>
          <w:tcPr>
            <w:tcW w:w="5140" w:type="dxa"/>
            <w:vAlign w:val="bottom"/>
          </w:tcPr>
          <w:p>
            <w:pPr>
              <w:spacing w:after="0"/>
              <w:rPr>
                <w:sz w:val="20"/>
                <w:szCs w:val="20"/>
                <w:color w:val="auto"/>
              </w:rPr>
            </w:pPr>
            <w:r>
              <w:rPr>
                <w:rFonts w:ascii="Arial" w:cs="Arial" w:eastAsia="Arial" w:hAnsi="Arial"/>
                <w:sz w:val="18"/>
                <w:szCs w:val="18"/>
                <w:color w:val="auto"/>
              </w:rPr>
              <w:t>Preferred dividends of subsidiaries</w:t>
            </w: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(10 )</w:t>
            </w:r>
          </w:p>
        </w:tc>
        <w:tc>
          <w:tcPr>
            <w:tcW w:w="3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(10 )</w:t>
            </w:r>
          </w:p>
        </w:tc>
        <w:tc>
          <w:tcPr>
            <w:tcW w:w="1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09"/>
        </w:trPr>
        <w:tc>
          <w:tcPr>
            <w:tcW w:w="5140" w:type="dxa"/>
            <w:vAlign w:val="bottom"/>
            <w:shd w:val="clear" w:color="auto" w:fill="CCFFCC"/>
          </w:tcPr>
          <w:p>
            <w:pPr>
              <w:spacing w:after="0"/>
              <w:rPr>
                <w:sz w:val="20"/>
                <w:szCs w:val="20"/>
                <w:color w:val="auto"/>
              </w:rPr>
            </w:pPr>
            <w:r>
              <w:rPr>
                <w:rFonts w:ascii="Arial" w:cs="Arial" w:eastAsia="Arial" w:hAnsi="Arial"/>
                <w:sz w:val="18"/>
                <w:szCs w:val="18"/>
                <w:color w:val="auto"/>
                <w:w w:val="96"/>
              </w:rPr>
              <w:t>Income from continuing operations before income taxes and equity</w:t>
            </w:r>
          </w:p>
        </w:tc>
        <w:tc>
          <w:tcPr>
            <w:tcW w:w="20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5140" w:type="dxa"/>
            <w:vAlign w:val="bottom"/>
            <w:shd w:val="clear" w:color="auto" w:fill="CCFFCC"/>
          </w:tcPr>
          <w:p>
            <w:pPr>
              <w:ind w:left="100"/>
              <w:spacing w:after="0"/>
              <w:rPr>
                <w:sz w:val="20"/>
                <w:szCs w:val="20"/>
                <w:color w:val="auto"/>
              </w:rPr>
            </w:pPr>
            <w:r>
              <w:rPr>
                <w:rFonts w:ascii="Arial" w:cs="Arial" w:eastAsia="Arial" w:hAnsi="Arial"/>
                <w:sz w:val="18"/>
                <w:szCs w:val="18"/>
                <w:color w:val="auto"/>
              </w:rPr>
              <w:t>in earnings (losses) of certain unconsolidated subsidiaries</w:t>
            </w:r>
          </w:p>
        </w:tc>
        <w:tc>
          <w:tcPr>
            <w:tcW w:w="200" w:type="dxa"/>
            <w:vAlign w:val="bottom"/>
            <w:shd w:val="clear" w:color="auto" w:fill="CCFFCC"/>
          </w:tcPr>
          <w:p>
            <w:pPr>
              <w:spacing w:after="0"/>
              <w:rPr>
                <w:sz w:val="21"/>
                <w:szCs w:val="21"/>
                <w:color w:val="auto"/>
              </w:rPr>
            </w:pPr>
          </w:p>
        </w:tc>
        <w:tc>
          <w:tcPr>
            <w:tcW w:w="960" w:type="dxa"/>
            <w:vAlign w:val="bottom"/>
            <w:shd w:val="clear" w:color="auto" w:fill="CCFFCC"/>
          </w:tcPr>
          <w:p>
            <w:pPr>
              <w:jc w:val="right"/>
              <w:ind w:right="230"/>
              <w:spacing w:after="0"/>
              <w:rPr>
                <w:sz w:val="20"/>
                <w:szCs w:val="20"/>
                <w:color w:val="auto"/>
              </w:rPr>
            </w:pPr>
            <w:r>
              <w:rPr>
                <w:rFonts w:ascii="Arial" w:cs="Arial" w:eastAsia="Arial" w:hAnsi="Arial"/>
                <w:sz w:val="18"/>
                <w:szCs w:val="18"/>
                <w:color w:val="auto"/>
              </w:rPr>
              <w:t>1,550</w:t>
            </w:r>
          </w:p>
        </w:tc>
        <w:tc>
          <w:tcPr>
            <w:tcW w:w="360" w:type="dxa"/>
            <w:vAlign w:val="bottom"/>
            <w:shd w:val="clear" w:color="auto" w:fill="CCFFCC"/>
          </w:tcPr>
          <w:p>
            <w:pPr>
              <w:spacing w:after="0"/>
              <w:rPr>
                <w:sz w:val="21"/>
                <w:szCs w:val="21"/>
                <w:color w:val="auto"/>
              </w:rPr>
            </w:pPr>
          </w:p>
        </w:tc>
        <w:tc>
          <w:tcPr>
            <w:tcW w:w="1080" w:type="dxa"/>
            <w:vAlign w:val="bottom"/>
            <w:shd w:val="clear" w:color="auto" w:fill="CCFFCC"/>
          </w:tcPr>
          <w:p>
            <w:pPr>
              <w:jc w:val="right"/>
              <w:ind w:right="350"/>
              <w:spacing w:after="0"/>
              <w:rPr>
                <w:sz w:val="20"/>
                <w:szCs w:val="20"/>
                <w:color w:val="auto"/>
              </w:rPr>
            </w:pPr>
            <w:r>
              <w:rPr>
                <w:rFonts w:ascii="Arial" w:cs="Arial" w:eastAsia="Arial" w:hAnsi="Arial"/>
                <w:sz w:val="18"/>
                <w:szCs w:val="18"/>
                <w:color w:val="auto"/>
              </w:rPr>
              <w:t>1,914</w:t>
            </w:r>
          </w:p>
        </w:tc>
        <w:tc>
          <w:tcPr>
            <w:tcW w:w="120" w:type="dxa"/>
            <w:vAlign w:val="bottom"/>
            <w:shd w:val="clear" w:color="auto" w:fill="CCFFCC"/>
          </w:tcPr>
          <w:p>
            <w:pPr>
              <w:spacing w:after="0"/>
              <w:rPr>
                <w:sz w:val="21"/>
                <w:szCs w:val="21"/>
                <w:color w:val="auto"/>
              </w:rPr>
            </w:pPr>
          </w:p>
        </w:tc>
        <w:tc>
          <w:tcPr>
            <w:tcW w:w="60" w:type="dxa"/>
            <w:vAlign w:val="bottom"/>
            <w:shd w:val="clear" w:color="auto" w:fill="CCFFCC"/>
          </w:tcPr>
          <w:p>
            <w:pPr>
              <w:spacing w:after="0"/>
              <w:rPr>
                <w:sz w:val="21"/>
                <w:szCs w:val="21"/>
                <w:color w:val="auto"/>
              </w:rPr>
            </w:pPr>
          </w:p>
        </w:tc>
        <w:tc>
          <w:tcPr>
            <w:tcW w:w="6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892</w:t>
            </w:r>
          </w:p>
        </w:tc>
        <w:tc>
          <w:tcPr>
            <w:tcW w:w="12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40" w:type="dxa"/>
            <w:vAlign w:val="bottom"/>
          </w:tcPr>
          <w:p>
            <w:pPr>
              <w:spacing w:after="0"/>
              <w:rPr>
                <w:sz w:val="20"/>
                <w:szCs w:val="20"/>
                <w:color w:val="auto"/>
              </w:rPr>
            </w:pPr>
            <w:r>
              <w:rPr>
                <w:rFonts w:ascii="Arial" w:cs="Arial" w:eastAsia="Arial" w:hAnsi="Arial"/>
                <w:sz w:val="18"/>
                <w:szCs w:val="18"/>
                <w:color w:val="auto"/>
              </w:rPr>
              <w:t>Income tax expense</w:t>
            </w:r>
          </w:p>
        </w:tc>
        <w:tc>
          <w:tcPr>
            <w:tcW w:w="200" w:type="dxa"/>
            <w:vAlign w:val="bottom"/>
          </w:tcPr>
          <w:p>
            <w:pPr>
              <w:spacing w:after="0"/>
              <w:rPr>
                <w:sz w:val="20"/>
                <w:szCs w:val="20"/>
                <w:color w:val="auto"/>
              </w:rPr>
            </w:pPr>
          </w:p>
        </w:tc>
        <w:tc>
          <w:tcPr>
            <w:tcW w:w="960" w:type="dxa"/>
            <w:vAlign w:val="bottom"/>
          </w:tcPr>
          <w:p>
            <w:pPr>
              <w:jc w:val="right"/>
              <w:ind w:right="230"/>
              <w:spacing w:after="0"/>
              <w:rPr>
                <w:sz w:val="20"/>
                <w:szCs w:val="20"/>
                <w:color w:val="auto"/>
              </w:rPr>
            </w:pPr>
            <w:r>
              <w:rPr>
                <w:rFonts w:ascii="Arial" w:cs="Arial" w:eastAsia="Arial" w:hAnsi="Arial"/>
                <w:sz w:val="18"/>
                <w:szCs w:val="18"/>
                <w:color w:val="auto"/>
              </w:rPr>
              <w:t>524</w:t>
            </w:r>
          </w:p>
        </w:tc>
        <w:tc>
          <w:tcPr>
            <w:tcW w:w="360" w:type="dxa"/>
            <w:vAlign w:val="bottom"/>
          </w:tcPr>
          <w:p>
            <w:pPr>
              <w:spacing w:after="0"/>
              <w:rPr>
                <w:sz w:val="20"/>
                <w:szCs w:val="20"/>
                <w:color w:val="auto"/>
              </w:rPr>
            </w:pPr>
          </w:p>
        </w:tc>
        <w:tc>
          <w:tcPr>
            <w:tcW w:w="1080" w:type="dxa"/>
            <w:vAlign w:val="bottom"/>
          </w:tcPr>
          <w:p>
            <w:pPr>
              <w:jc w:val="right"/>
              <w:ind w:right="350"/>
              <w:spacing w:after="0"/>
              <w:rPr>
                <w:sz w:val="20"/>
                <w:szCs w:val="20"/>
                <w:color w:val="auto"/>
              </w:rPr>
            </w:pPr>
            <w:r>
              <w:rPr>
                <w:rFonts w:ascii="Arial" w:cs="Arial" w:eastAsia="Arial" w:hAnsi="Arial"/>
                <w:sz w:val="18"/>
                <w:szCs w:val="18"/>
                <w:color w:val="auto"/>
              </w:rPr>
              <w:t>641</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140" w:type="dxa"/>
            <w:vAlign w:val="bottom"/>
            <w:shd w:val="clear" w:color="auto" w:fill="CCFFCC"/>
          </w:tcPr>
          <w:p>
            <w:pPr>
              <w:spacing w:after="0"/>
              <w:rPr>
                <w:sz w:val="20"/>
                <w:szCs w:val="20"/>
                <w:color w:val="auto"/>
              </w:rPr>
            </w:pPr>
            <w:r>
              <w:rPr>
                <w:rFonts w:ascii="Arial" w:cs="Arial" w:eastAsia="Arial" w:hAnsi="Arial"/>
                <w:sz w:val="18"/>
                <w:szCs w:val="18"/>
                <w:color w:val="auto"/>
                <w:w w:val="99"/>
              </w:rPr>
              <w:t>Equity in earnings (losses) of certain unconsolidated subsidiaries</w:t>
            </w:r>
          </w:p>
        </w:tc>
        <w:tc>
          <w:tcPr>
            <w:tcW w:w="200" w:type="dxa"/>
            <w:vAlign w:val="bottom"/>
            <w:tcBorders>
              <w:bottom w:val="single" w:sz="8" w:color="auto"/>
            </w:tcBorders>
            <w:shd w:val="clear" w:color="auto" w:fill="CCFFCC"/>
          </w:tcPr>
          <w:p>
            <w:pPr>
              <w:spacing w:after="0"/>
              <w:rPr>
                <w:sz w:val="21"/>
                <w:szCs w:val="21"/>
                <w:color w:val="auto"/>
              </w:rPr>
            </w:pPr>
          </w:p>
        </w:tc>
        <w:tc>
          <w:tcPr>
            <w:tcW w:w="960" w:type="dxa"/>
            <w:vAlign w:val="bottom"/>
            <w:tcBorders>
              <w:bottom w:val="single" w:sz="8" w:color="auto"/>
            </w:tcBorders>
            <w:shd w:val="clear" w:color="auto" w:fill="CCFFCC"/>
          </w:tcPr>
          <w:p>
            <w:pPr>
              <w:jc w:val="right"/>
              <w:ind w:right="230"/>
              <w:spacing w:after="0"/>
              <w:rPr>
                <w:sz w:val="20"/>
                <w:szCs w:val="20"/>
                <w:color w:val="auto"/>
              </w:rPr>
            </w:pPr>
            <w:r>
              <w:rPr>
                <w:rFonts w:ascii="Arial" w:cs="Arial" w:eastAsia="Arial" w:hAnsi="Arial"/>
                <w:sz w:val="18"/>
                <w:szCs w:val="18"/>
                <w:color w:val="auto"/>
              </w:rPr>
              <w:t>99</w:t>
            </w:r>
          </w:p>
        </w:tc>
        <w:tc>
          <w:tcPr>
            <w:tcW w:w="360" w:type="dxa"/>
            <w:vAlign w:val="bottom"/>
            <w:tcBorders>
              <w:bottom w:val="single" w:sz="8" w:color="auto"/>
            </w:tcBorders>
            <w:shd w:val="clear" w:color="auto" w:fill="CCFFCC"/>
          </w:tcPr>
          <w:p>
            <w:pPr>
              <w:spacing w:after="0"/>
              <w:rPr>
                <w:sz w:val="21"/>
                <w:szCs w:val="21"/>
                <w:color w:val="auto"/>
              </w:rPr>
            </w:pPr>
          </w:p>
        </w:tc>
        <w:tc>
          <w:tcPr>
            <w:tcW w:w="1080" w:type="dxa"/>
            <w:vAlign w:val="bottom"/>
            <w:tcBorders>
              <w:bottom w:val="single" w:sz="8" w:color="auto"/>
            </w:tcBorders>
            <w:shd w:val="clear" w:color="auto" w:fill="CCFFCC"/>
          </w:tcPr>
          <w:p>
            <w:pPr>
              <w:jc w:val="right"/>
              <w:ind w:right="270"/>
              <w:spacing w:after="0"/>
              <w:rPr>
                <w:sz w:val="20"/>
                <w:szCs w:val="20"/>
                <w:color w:val="auto"/>
              </w:rPr>
            </w:pPr>
            <w:r>
              <w:rPr>
                <w:rFonts w:ascii="Arial" w:cs="Arial" w:eastAsia="Arial" w:hAnsi="Arial"/>
                <w:sz w:val="18"/>
                <w:szCs w:val="18"/>
                <w:color w:val="auto"/>
              </w:rPr>
              <w:t>(182 )</w:t>
            </w:r>
          </w:p>
        </w:tc>
        <w:tc>
          <w:tcPr>
            <w:tcW w:w="120" w:type="dxa"/>
            <w:vAlign w:val="bottom"/>
            <w:tcBorders>
              <w:bottom w:val="single" w:sz="8" w:color="auto"/>
            </w:tcBorders>
            <w:shd w:val="clear" w:color="auto" w:fill="CCFFCC"/>
          </w:tcPr>
          <w:p>
            <w:pPr>
              <w:spacing w:after="0"/>
              <w:rPr>
                <w:sz w:val="21"/>
                <w:szCs w:val="21"/>
                <w:color w:val="auto"/>
              </w:rPr>
            </w:pPr>
          </w:p>
        </w:tc>
        <w:tc>
          <w:tcPr>
            <w:tcW w:w="60" w:type="dxa"/>
            <w:vAlign w:val="bottom"/>
            <w:tcBorders>
              <w:bottom w:val="single" w:sz="8" w:color="auto"/>
            </w:tcBorders>
            <w:shd w:val="clear" w:color="auto" w:fill="CCFFCC"/>
          </w:tcPr>
          <w:p>
            <w:pPr>
              <w:spacing w:after="0"/>
              <w:rPr>
                <w:sz w:val="21"/>
                <w:szCs w:val="21"/>
                <w:color w:val="auto"/>
              </w:rPr>
            </w:pPr>
          </w:p>
        </w:tc>
        <w:tc>
          <w:tcPr>
            <w:tcW w:w="6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auto"/>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Income from continuing operations</w:t>
            </w:r>
          </w:p>
        </w:tc>
        <w:tc>
          <w:tcPr>
            <w:tcW w:w="200" w:type="dxa"/>
            <w:vAlign w:val="bottom"/>
          </w:tcPr>
          <w:p>
            <w:pPr>
              <w:spacing w:after="0"/>
              <w:rPr>
                <w:sz w:val="20"/>
                <w:szCs w:val="20"/>
                <w:color w:val="auto"/>
              </w:rPr>
            </w:pPr>
          </w:p>
        </w:tc>
        <w:tc>
          <w:tcPr>
            <w:tcW w:w="960" w:type="dxa"/>
            <w:vAlign w:val="bottom"/>
          </w:tcPr>
          <w:p>
            <w:pPr>
              <w:jc w:val="right"/>
              <w:ind w:right="230"/>
              <w:spacing w:after="0"/>
              <w:rPr>
                <w:sz w:val="20"/>
                <w:szCs w:val="20"/>
                <w:color w:val="auto"/>
              </w:rPr>
            </w:pPr>
            <w:r>
              <w:rPr>
                <w:rFonts w:ascii="Arial" w:cs="Arial" w:eastAsia="Arial" w:hAnsi="Arial"/>
                <w:sz w:val="18"/>
                <w:szCs w:val="18"/>
                <w:color w:val="auto"/>
              </w:rPr>
              <w:t>1,125</w:t>
            </w:r>
          </w:p>
        </w:tc>
        <w:tc>
          <w:tcPr>
            <w:tcW w:w="360" w:type="dxa"/>
            <w:vAlign w:val="bottom"/>
          </w:tcPr>
          <w:p>
            <w:pPr>
              <w:spacing w:after="0"/>
              <w:rPr>
                <w:sz w:val="20"/>
                <w:szCs w:val="20"/>
                <w:color w:val="auto"/>
              </w:rPr>
            </w:pPr>
          </w:p>
        </w:tc>
        <w:tc>
          <w:tcPr>
            <w:tcW w:w="1080" w:type="dxa"/>
            <w:vAlign w:val="bottom"/>
          </w:tcPr>
          <w:p>
            <w:pPr>
              <w:jc w:val="right"/>
              <w:ind w:right="350"/>
              <w:spacing w:after="0"/>
              <w:rPr>
                <w:sz w:val="20"/>
                <w:szCs w:val="20"/>
                <w:color w:val="auto"/>
              </w:rPr>
            </w:pPr>
            <w:r>
              <w:rPr>
                <w:rFonts w:ascii="Arial" w:cs="Arial" w:eastAsia="Arial" w:hAnsi="Arial"/>
                <w:sz w:val="18"/>
                <w:szCs w:val="18"/>
                <w:color w:val="auto"/>
              </w:rPr>
              <w:t>1,091</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913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1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Discontinued operations, net of income tax</w:t>
            </w:r>
          </w:p>
        </w:tc>
        <w:tc>
          <w:tcPr>
            <w:tcW w:w="200" w:type="dxa"/>
            <w:vAlign w:val="bottom"/>
            <w:tcBorders>
              <w:bottom w:val="single" w:sz="8" w:color="auto"/>
            </w:tcBorders>
            <w:shd w:val="clear" w:color="auto" w:fill="CCFFCC"/>
          </w:tcPr>
          <w:p>
            <w:pPr>
              <w:spacing w:after="0"/>
              <w:rPr>
                <w:sz w:val="21"/>
                <w:szCs w:val="21"/>
                <w:color w:val="auto"/>
              </w:rPr>
            </w:pPr>
          </w:p>
        </w:tc>
        <w:tc>
          <w:tcPr>
            <w:tcW w:w="960" w:type="dxa"/>
            <w:vAlign w:val="bottom"/>
            <w:tcBorders>
              <w:bottom w:val="single" w:sz="8" w:color="auto"/>
            </w:tcBorders>
            <w:shd w:val="clear" w:color="auto" w:fill="CCFFCC"/>
          </w:tcPr>
          <w:p>
            <w:pPr>
              <w:jc w:val="right"/>
              <w:ind w:right="130"/>
              <w:spacing w:after="0"/>
              <w:rPr>
                <w:sz w:val="20"/>
                <w:szCs w:val="20"/>
                <w:color w:val="auto"/>
              </w:rPr>
            </w:pPr>
            <w:r>
              <w:rPr>
                <w:rFonts w:ascii="Arial" w:cs="Arial" w:eastAsia="Arial" w:hAnsi="Arial"/>
                <w:sz w:val="18"/>
                <w:szCs w:val="18"/>
                <w:color w:val="auto"/>
              </w:rPr>
              <w:t>(26 )</w:t>
            </w:r>
          </w:p>
        </w:tc>
        <w:tc>
          <w:tcPr>
            <w:tcW w:w="360" w:type="dxa"/>
            <w:vAlign w:val="bottom"/>
            <w:tcBorders>
              <w:bottom w:val="single" w:sz="8" w:color="auto"/>
            </w:tcBorders>
            <w:shd w:val="clear" w:color="auto" w:fill="CCFFCC"/>
          </w:tcPr>
          <w:p>
            <w:pPr>
              <w:spacing w:after="0"/>
              <w:rPr>
                <w:sz w:val="21"/>
                <w:szCs w:val="21"/>
                <w:color w:val="auto"/>
              </w:rPr>
            </w:pPr>
          </w:p>
        </w:tc>
        <w:tc>
          <w:tcPr>
            <w:tcW w:w="1080" w:type="dxa"/>
            <w:vAlign w:val="bottom"/>
            <w:tcBorders>
              <w:bottom w:val="single" w:sz="8" w:color="auto"/>
            </w:tcBorders>
            <w:shd w:val="clear" w:color="auto" w:fill="CCFFCC"/>
          </w:tcPr>
          <w:p>
            <w:pPr>
              <w:jc w:val="right"/>
              <w:ind w:right="350"/>
              <w:spacing w:after="0"/>
              <w:rPr>
                <w:sz w:val="20"/>
                <w:szCs w:val="20"/>
                <w:color w:val="auto"/>
              </w:rPr>
            </w:pPr>
            <w:r>
              <w:rPr>
                <w:rFonts w:ascii="Arial" w:cs="Arial" w:eastAsia="Arial" w:hAnsi="Arial"/>
                <w:sz w:val="18"/>
                <w:szCs w:val="18"/>
                <w:color w:val="auto"/>
              </w:rPr>
              <w:t>315</w:t>
            </w:r>
          </w:p>
        </w:tc>
        <w:tc>
          <w:tcPr>
            <w:tcW w:w="120" w:type="dxa"/>
            <w:vAlign w:val="bottom"/>
            <w:tcBorders>
              <w:bottom w:val="single" w:sz="8" w:color="auto"/>
            </w:tcBorders>
            <w:shd w:val="clear" w:color="auto" w:fill="CCFFCC"/>
          </w:tcPr>
          <w:p>
            <w:pPr>
              <w:spacing w:after="0"/>
              <w:rPr>
                <w:sz w:val="21"/>
                <w:szCs w:val="21"/>
                <w:color w:val="auto"/>
              </w:rPr>
            </w:pPr>
          </w:p>
        </w:tc>
        <w:tc>
          <w:tcPr>
            <w:tcW w:w="60" w:type="dxa"/>
            <w:vAlign w:val="bottom"/>
            <w:tcBorders>
              <w:bottom w:val="single" w:sz="8" w:color="auto"/>
            </w:tcBorders>
            <w:shd w:val="clear" w:color="auto" w:fill="CCFFCC"/>
          </w:tcPr>
          <w:p>
            <w:pPr>
              <w:spacing w:after="0"/>
              <w:rPr>
                <w:sz w:val="21"/>
                <w:szCs w:val="21"/>
                <w:color w:val="auto"/>
              </w:rPr>
            </w:pPr>
          </w:p>
        </w:tc>
        <w:tc>
          <w:tcPr>
            <w:tcW w:w="6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auto"/>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140" w:type="dxa"/>
            <w:vAlign w:val="bottom"/>
          </w:tcPr>
          <w:p>
            <w:pPr>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1,099</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1,406</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920</w:t>
            </w:r>
          </w:p>
        </w:tc>
        <w:tc>
          <w:tcPr>
            <w:tcW w:w="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14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960" w:type="dxa"/>
            <w:vAlign w:val="bottom"/>
            <w:shd w:val="clear" w:color="auto" w:fill="CCFFCC"/>
          </w:tcPr>
          <w:p>
            <w:pPr>
              <w:spacing w:after="0"/>
              <w:rPr>
                <w:sz w:val="21"/>
                <w:szCs w:val="21"/>
                <w:color w:val="auto"/>
              </w:rPr>
            </w:pPr>
          </w:p>
        </w:tc>
        <w:tc>
          <w:tcPr>
            <w:tcW w:w="360" w:type="dxa"/>
            <w:vAlign w:val="bottom"/>
            <w:shd w:val="clear" w:color="auto" w:fill="CCFFCC"/>
          </w:tcPr>
          <w:p>
            <w:pPr>
              <w:spacing w:after="0"/>
              <w:rPr>
                <w:sz w:val="21"/>
                <w:szCs w:val="21"/>
                <w:color w:val="auto"/>
              </w:rPr>
            </w:pPr>
          </w:p>
        </w:tc>
        <w:tc>
          <w:tcPr>
            <w:tcW w:w="108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60" w:type="dxa"/>
            <w:vAlign w:val="bottom"/>
            <w:shd w:val="clear" w:color="auto" w:fill="CCFFCC"/>
          </w:tcPr>
          <w:p>
            <w:pPr>
              <w:spacing w:after="0"/>
              <w:rPr>
                <w:sz w:val="21"/>
                <w:szCs w:val="21"/>
                <w:color w:val="auto"/>
              </w:rPr>
            </w:pPr>
          </w:p>
        </w:tc>
        <w:tc>
          <w:tcPr>
            <w:tcW w:w="6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40" w:type="dxa"/>
            <w:vAlign w:val="bottom"/>
          </w:tcPr>
          <w:p>
            <w:pPr>
              <w:spacing w:after="0"/>
              <w:rPr>
                <w:sz w:val="20"/>
                <w:szCs w:val="20"/>
                <w:color w:val="auto"/>
              </w:rPr>
            </w:pPr>
            <w:r>
              <w:rPr>
                <w:rFonts w:ascii="Arial" w:cs="Arial" w:eastAsia="Arial" w:hAnsi="Arial"/>
                <w:sz w:val="18"/>
                <w:szCs w:val="18"/>
                <w:color w:val="auto"/>
              </w:rPr>
              <w:t>Basic earnings per share:</w:t>
            </w: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1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Income from continuing operations</w:t>
            </w:r>
          </w:p>
        </w:tc>
        <w:tc>
          <w:tcPr>
            <w:tcW w:w="2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FFCC"/>
          </w:tcPr>
          <w:p>
            <w:pPr>
              <w:jc w:val="right"/>
              <w:ind w:right="230"/>
              <w:spacing w:after="0"/>
              <w:rPr>
                <w:sz w:val="20"/>
                <w:szCs w:val="20"/>
                <w:color w:val="auto"/>
              </w:rPr>
            </w:pPr>
            <w:r>
              <w:rPr>
                <w:rFonts w:ascii="Arial" w:cs="Arial" w:eastAsia="Arial" w:hAnsi="Arial"/>
                <w:sz w:val="18"/>
                <w:szCs w:val="18"/>
                <w:color w:val="auto"/>
              </w:rPr>
              <w:t>4.34</w:t>
            </w:r>
          </w:p>
        </w:tc>
        <w:tc>
          <w:tcPr>
            <w:tcW w:w="3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FFCC"/>
          </w:tcPr>
          <w:p>
            <w:pPr>
              <w:jc w:val="right"/>
              <w:ind w:right="350"/>
              <w:spacing w:after="0"/>
              <w:rPr>
                <w:sz w:val="20"/>
                <w:szCs w:val="20"/>
                <w:color w:val="auto"/>
              </w:rPr>
            </w:pPr>
            <w:r>
              <w:rPr>
                <w:rFonts w:ascii="Arial" w:cs="Arial" w:eastAsia="Arial" w:hAnsi="Arial"/>
                <w:sz w:val="18"/>
                <w:szCs w:val="18"/>
                <w:color w:val="auto"/>
              </w:rPr>
              <w:t>4.25</w:t>
            </w:r>
          </w:p>
        </w:tc>
        <w:tc>
          <w:tcPr>
            <w:tcW w:w="1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60" w:type="dxa"/>
            <w:vAlign w:val="bottom"/>
            <w:shd w:val="clear" w:color="auto" w:fill="CCFFCC"/>
          </w:tcPr>
          <w:p>
            <w:pPr>
              <w:spacing w:after="0"/>
              <w:rPr>
                <w:sz w:val="21"/>
                <w:szCs w:val="21"/>
                <w:color w:val="auto"/>
              </w:rPr>
            </w:pPr>
          </w:p>
        </w:tc>
        <w:tc>
          <w:tcPr>
            <w:tcW w:w="6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3.71</w:t>
            </w:r>
          </w:p>
        </w:tc>
        <w:tc>
          <w:tcPr>
            <w:tcW w:w="12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160"/>
              <w:spacing w:after="0"/>
              <w:rPr>
                <w:sz w:val="20"/>
                <w:szCs w:val="20"/>
                <w:color w:val="auto"/>
              </w:rPr>
            </w:pPr>
            <w:r>
              <w:rPr>
                <w:rFonts w:ascii="Arial" w:cs="Arial" w:eastAsia="Arial" w:hAnsi="Arial"/>
                <w:sz w:val="18"/>
                <w:szCs w:val="18"/>
                <w:color w:val="auto"/>
              </w:rPr>
              <w:t>Discontinued operations, net of income tax</w:t>
            </w: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(0.10 )</w:t>
            </w:r>
          </w:p>
        </w:tc>
        <w:tc>
          <w:tcPr>
            <w:tcW w:w="3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1.23</w:t>
            </w:r>
          </w:p>
        </w:tc>
        <w:tc>
          <w:tcPr>
            <w:tcW w:w="1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1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140" w:type="dxa"/>
            <w:vAlign w:val="bottom"/>
            <w:tcBorders>
              <w:bottom w:val="single" w:sz="8" w:color="CCFFCC"/>
            </w:tcBorders>
            <w:shd w:val="clear" w:color="auto" w:fill="CCFFCC"/>
          </w:tcPr>
          <w:p>
            <w:pPr>
              <w:ind w:left="16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FFCC"/>
          </w:tcPr>
          <w:p>
            <w:pPr>
              <w:jc w:val="right"/>
              <w:ind w:right="230"/>
              <w:spacing w:after="0"/>
              <w:rPr>
                <w:sz w:val="20"/>
                <w:szCs w:val="20"/>
                <w:color w:val="auto"/>
              </w:rPr>
            </w:pPr>
            <w:r>
              <w:rPr>
                <w:rFonts w:ascii="Arial" w:cs="Arial" w:eastAsia="Arial" w:hAnsi="Arial"/>
                <w:sz w:val="18"/>
                <w:szCs w:val="18"/>
                <w:color w:val="auto"/>
              </w:rPr>
              <w:t>4.24</w:t>
            </w:r>
          </w:p>
        </w:tc>
        <w:tc>
          <w:tcPr>
            <w:tcW w:w="3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FFCC"/>
          </w:tcPr>
          <w:p>
            <w:pPr>
              <w:jc w:val="right"/>
              <w:ind w:right="350"/>
              <w:spacing w:after="0"/>
              <w:rPr>
                <w:sz w:val="20"/>
                <w:szCs w:val="20"/>
                <w:color w:val="auto"/>
              </w:rPr>
            </w:pPr>
            <w:r>
              <w:rPr>
                <w:rFonts w:ascii="Arial" w:cs="Arial" w:eastAsia="Arial" w:hAnsi="Arial"/>
                <w:sz w:val="18"/>
                <w:szCs w:val="18"/>
                <w:color w:val="auto"/>
              </w:rPr>
              <w:t>5.48</w:t>
            </w:r>
          </w:p>
        </w:tc>
        <w:tc>
          <w:tcPr>
            <w:tcW w:w="1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60" w:type="dxa"/>
            <w:vAlign w:val="bottom"/>
            <w:tcBorders>
              <w:bottom w:val="single" w:sz="8" w:color="auto"/>
            </w:tcBorders>
            <w:shd w:val="clear" w:color="auto" w:fill="CCFFCC"/>
          </w:tcPr>
          <w:p>
            <w:pPr>
              <w:spacing w:after="0"/>
              <w:rPr>
                <w:sz w:val="22"/>
                <w:szCs w:val="22"/>
                <w:color w:val="auto"/>
              </w:rPr>
            </w:pPr>
          </w:p>
        </w:tc>
        <w:tc>
          <w:tcPr>
            <w:tcW w:w="6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3.74</w:t>
            </w:r>
          </w:p>
        </w:tc>
        <w:tc>
          <w:tcPr>
            <w:tcW w:w="120" w:type="dxa"/>
            <w:vAlign w:val="bottom"/>
            <w:tcBorders>
              <w:bottom w:val="single" w:sz="8" w:color="auto"/>
            </w:tcBorders>
            <w:shd w:val="clear" w:color="auto" w:fill="CCFFCC"/>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140" w:type="dxa"/>
            <w:vAlign w:val="bottom"/>
            <w:tcBorders>
              <w:bottom w:val="single" w:sz="8" w:color="CCFFCC"/>
            </w:tcBorders>
          </w:tcPr>
          <w:p>
            <w:pPr>
              <w:ind w:left="160"/>
              <w:spacing w:after="0"/>
              <w:rPr>
                <w:sz w:val="20"/>
                <w:szCs w:val="20"/>
                <w:color w:val="auto"/>
              </w:rPr>
            </w:pPr>
            <w:r>
              <w:rPr>
                <w:rFonts w:ascii="Arial" w:cs="Arial" w:eastAsia="Arial" w:hAnsi="Arial"/>
                <w:sz w:val="18"/>
                <w:szCs w:val="18"/>
                <w:color w:val="auto"/>
              </w:rPr>
              <w:t>Weighted-average number of shares outstanding (thousands)</w:t>
            </w: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5"/>
              </w:rPr>
              <w:t>259,269</w:t>
            </w: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5"/>
              </w:rPr>
              <w:t>256,477</w:t>
            </w:r>
          </w:p>
        </w:tc>
        <w:tc>
          <w:tcPr>
            <w:tcW w:w="120" w:type="dxa"/>
            <w:vAlign w:val="bottom"/>
            <w:tcBorders>
              <w:bottom w:val="single" w:sz="8" w:color="CCFFCC"/>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245,906</w:t>
            </w:r>
          </w:p>
        </w:tc>
        <w:tc>
          <w:tcPr>
            <w:tcW w:w="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14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960" w:type="dxa"/>
            <w:vAlign w:val="bottom"/>
            <w:shd w:val="clear" w:color="auto" w:fill="CCFFCC"/>
          </w:tcPr>
          <w:p>
            <w:pPr>
              <w:spacing w:after="0"/>
              <w:rPr>
                <w:sz w:val="21"/>
                <w:szCs w:val="21"/>
                <w:color w:val="auto"/>
              </w:rPr>
            </w:pPr>
          </w:p>
        </w:tc>
        <w:tc>
          <w:tcPr>
            <w:tcW w:w="360" w:type="dxa"/>
            <w:vAlign w:val="bottom"/>
            <w:shd w:val="clear" w:color="auto" w:fill="CCFFCC"/>
          </w:tcPr>
          <w:p>
            <w:pPr>
              <w:spacing w:after="0"/>
              <w:rPr>
                <w:sz w:val="21"/>
                <w:szCs w:val="21"/>
                <w:color w:val="auto"/>
              </w:rPr>
            </w:pPr>
          </w:p>
        </w:tc>
        <w:tc>
          <w:tcPr>
            <w:tcW w:w="108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60" w:type="dxa"/>
            <w:vAlign w:val="bottom"/>
            <w:shd w:val="clear" w:color="auto" w:fill="CCFFCC"/>
          </w:tcPr>
          <w:p>
            <w:pPr>
              <w:spacing w:after="0"/>
              <w:rPr>
                <w:sz w:val="21"/>
                <w:szCs w:val="21"/>
                <w:color w:val="auto"/>
              </w:rPr>
            </w:pPr>
          </w:p>
        </w:tc>
        <w:tc>
          <w:tcPr>
            <w:tcW w:w="6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4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1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Income from continuing operations</w:t>
            </w:r>
          </w:p>
        </w:tc>
        <w:tc>
          <w:tcPr>
            <w:tcW w:w="2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FFCC"/>
          </w:tcPr>
          <w:p>
            <w:pPr>
              <w:jc w:val="right"/>
              <w:ind w:right="230"/>
              <w:spacing w:after="0"/>
              <w:rPr>
                <w:sz w:val="20"/>
                <w:szCs w:val="20"/>
                <w:color w:val="auto"/>
              </w:rPr>
            </w:pPr>
            <w:r>
              <w:rPr>
                <w:rFonts w:ascii="Arial" w:cs="Arial" w:eastAsia="Arial" w:hAnsi="Arial"/>
                <w:sz w:val="18"/>
                <w:szCs w:val="18"/>
                <w:color w:val="auto"/>
              </w:rPr>
              <w:t>4.26</w:t>
            </w:r>
          </w:p>
        </w:tc>
        <w:tc>
          <w:tcPr>
            <w:tcW w:w="3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FFCC"/>
          </w:tcPr>
          <w:p>
            <w:pPr>
              <w:jc w:val="right"/>
              <w:ind w:right="350"/>
              <w:spacing w:after="0"/>
              <w:rPr>
                <w:sz w:val="20"/>
                <w:szCs w:val="20"/>
                <w:color w:val="auto"/>
              </w:rPr>
            </w:pPr>
            <w:r>
              <w:rPr>
                <w:rFonts w:ascii="Arial" w:cs="Arial" w:eastAsia="Arial" w:hAnsi="Arial"/>
                <w:sz w:val="18"/>
                <w:szCs w:val="18"/>
                <w:color w:val="auto"/>
              </w:rPr>
              <w:t>4.17</w:t>
            </w:r>
          </w:p>
        </w:tc>
        <w:tc>
          <w:tcPr>
            <w:tcW w:w="1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60" w:type="dxa"/>
            <w:vAlign w:val="bottom"/>
            <w:shd w:val="clear" w:color="auto" w:fill="CCFFCC"/>
          </w:tcPr>
          <w:p>
            <w:pPr>
              <w:spacing w:after="0"/>
              <w:rPr>
                <w:sz w:val="21"/>
                <w:szCs w:val="21"/>
                <w:color w:val="auto"/>
              </w:rPr>
            </w:pPr>
          </w:p>
        </w:tc>
        <w:tc>
          <w:tcPr>
            <w:tcW w:w="6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3.62</w:t>
            </w:r>
          </w:p>
        </w:tc>
        <w:tc>
          <w:tcPr>
            <w:tcW w:w="12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160"/>
              <w:spacing w:after="0"/>
              <w:rPr>
                <w:sz w:val="20"/>
                <w:szCs w:val="20"/>
                <w:color w:val="auto"/>
              </w:rPr>
            </w:pPr>
            <w:r>
              <w:rPr>
                <w:rFonts w:ascii="Arial" w:cs="Arial" w:eastAsia="Arial" w:hAnsi="Arial"/>
                <w:sz w:val="18"/>
                <w:szCs w:val="18"/>
                <w:color w:val="auto"/>
              </w:rPr>
              <w:t>Discontinued operations, net of income tax</w:t>
            </w: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(0.10 )</w:t>
            </w:r>
          </w:p>
        </w:tc>
        <w:tc>
          <w:tcPr>
            <w:tcW w:w="3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1.21</w:t>
            </w:r>
          </w:p>
        </w:tc>
        <w:tc>
          <w:tcPr>
            <w:tcW w:w="1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1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140" w:type="dxa"/>
            <w:vAlign w:val="bottom"/>
            <w:tcBorders>
              <w:bottom w:val="single" w:sz="8" w:color="CCFFCC"/>
            </w:tcBorders>
            <w:shd w:val="clear" w:color="auto" w:fill="CCFFCC"/>
          </w:tcPr>
          <w:p>
            <w:pPr>
              <w:ind w:left="16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FFCC"/>
          </w:tcPr>
          <w:p>
            <w:pPr>
              <w:jc w:val="right"/>
              <w:ind w:right="230"/>
              <w:spacing w:after="0"/>
              <w:rPr>
                <w:sz w:val="20"/>
                <w:szCs w:val="20"/>
                <w:color w:val="auto"/>
              </w:rPr>
            </w:pPr>
            <w:r>
              <w:rPr>
                <w:rFonts w:ascii="Arial" w:cs="Arial" w:eastAsia="Arial" w:hAnsi="Arial"/>
                <w:sz w:val="18"/>
                <w:szCs w:val="18"/>
                <w:color w:val="auto"/>
              </w:rPr>
              <w:t>4.16</w:t>
            </w:r>
          </w:p>
        </w:tc>
        <w:tc>
          <w:tcPr>
            <w:tcW w:w="3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FFCC"/>
          </w:tcPr>
          <w:p>
            <w:pPr>
              <w:jc w:val="right"/>
              <w:ind w:right="350"/>
              <w:spacing w:after="0"/>
              <w:rPr>
                <w:sz w:val="20"/>
                <w:szCs w:val="20"/>
                <w:color w:val="auto"/>
              </w:rPr>
            </w:pPr>
            <w:r>
              <w:rPr>
                <w:rFonts w:ascii="Arial" w:cs="Arial" w:eastAsia="Arial" w:hAnsi="Arial"/>
                <w:sz w:val="18"/>
                <w:szCs w:val="18"/>
                <w:color w:val="auto"/>
              </w:rPr>
              <w:t>5.38</w:t>
            </w:r>
          </w:p>
        </w:tc>
        <w:tc>
          <w:tcPr>
            <w:tcW w:w="1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60" w:type="dxa"/>
            <w:vAlign w:val="bottom"/>
            <w:tcBorders>
              <w:bottom w:val="single" w:sz="8" w:color="auto"/>
            </w:tcBorders>
            <w:shd w:val="clear" w:color="auto" w:fill="CCFFCC"/>
          </w:tcPr>
          <w:p>
            <w:pPr>
              <w:spacing w:after="0"/>
              <w:rPr>
                <w:sz w:val="22"/>
                <w:szCs w:val="22"/>
                <w:color w:val="auto"/>
              </w:rPr>
            </w:pPr>
          </w:p>
        </w:tc>
        <w:tc>
          <w:tcPr>
            <w:tcW w:w="6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3.65</w:t>
            </w:r>
          </w:p>
        </w:tc>
        <w:tc>
          <w:tcPr>
            <w:tcW w:w="120" w:type="dxa"/>
            <w:vAlign w:val="bottom"/>
            <w:tcBorders>
              <w:bottom w:val="single" w:sz="8" w:color="auto"/>
            </w:tcBorders>
            <w:shd w:val="clear" w:color="auto" w:fill="CCFFCC"/>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140" w:type="dxa"/>
            <w:vAlign w:val="bottom"/>
            <w:tcBorders>
              <w:bottom w:val="single" w:sz="8" w:color="CCFFCC"/>
            </w:tcBorders>
          </w:tcPr>
          <w:p>
            <w:pPr>
              <w:ind w:left="160"/>
              <w:spacing w:after="0"/>
              <w:rPr>
                <w:sz w:val="20"/>
                <w:szCs w:val="20"/>
                <w:color w:val="auto"/>
              </w:rPr>
            </w:pPr>
            <w:r>
              <w:rPr>
                <w:rFonts w:ascii="Arial" w:cs="Arial" w:eastAsia="Arial" w:hAnsi="Arial"/>
                <w:sz w:val="18"/>
                <w:szCs w:val="18"/>
                <w:color w:val="auto"/>
              </w:rPr>
              <w:t>Weighted-average number of shares outstanding (thousands)</w:t>
            </w: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5"/>
              </w:rPr>
              <w:t>264,004</w:t>
            </w: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5"/>
              </w:rPr>
              <w:t>261,368</w:t>
            </w:r>
          </w:p>
        </w:tc>
        <w:tc>
          <w:tcPr>
            <w:tcW w:w="1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252,088</w:t>
            </w:r>
          </w:p>
        </w:tc>
        <w:tc>
          <w:tcPr>
            <w:tcW w:w="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14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960" w:type="dxa"/>
            <w:vAlign w:val="bottom"/>
            <w:shd w:val="clear" w:color="auto" w:fill="CCFFCC"/>
          </w:tcPr>
          <w:p>
            <w:pPr>
              <w:spacing w:after="0"/>
              <w:rPr>
                <w:sz w:val="21"/>
                <w:szCs w:val="21"/>
                <w:color w:val="auto"/>
              </w:rPr>
            </w:pPr>
          </w:p>
        </w:tc>
        <w:tc>
          <w:tcPr>
            <w:tcW w:w="360" w:type="dxa"/>
            <w:vAlign w:val="bottom"/>
            <w:shd w:val="clear" w:color="auto" w:fill="CCFFCC"/>
          </w:tcPr>
          <w:p>
            <w:pPr>
              <w:spacing w:after="0"/>
              <w:rPr>
                <w:sz w:val="21"/>
                <w:szCs w:val="21"/>
                <w:color w:val="auto"/>
              </w:rPr>
            </w:pPr>
          </w:p>
        </w:tc>
        <w:tc>
          <w:tcPr>
            <w:tcW w:w="108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1.16</w:t>
            </w:r>
          </w:p>
        </w:tc>
        <w:tc>
          <w:tcPr>
            <w:tcW w:w="12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5140" w:type="dxa"/>
            <w:vAlign w:val="bottom"/>
          </w:tcPr>
          <w:p>
            <w:pPr>
              <w:spacing w:after="0"/>
              <w:rPr>
                <w:sz w:val="20"/>
                <w:szCs w:val="20"/>
                <w:color w:val="auto"/>
              </w:rPr>
            </w:pPr>
            <w:r>
              <w:rPr>
                <w:rFonts w:ascii="Arial" w:cs="Arial" w:eastAsia="Arial" w:hAnsi="Arial"/>
                <w:sz w:val="18"/>
                <w:szCs w:val="18"/>
                <w:color w:val="auto"/>
              </w:rPr>
              <w:t>Dividends declared per share of common stock</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1.24</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1.20</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73"/>
        </w:trPr>
        <w:tc>
          <w:tcPr>
            <w:tcW w:w="5140" w:type="dxa"/>
            <w:vAlign w:val="bottom"/>
          </w:tcPr>
          <w:p>
            <w:pPr>
              <w:spacing w:after="0"/>
              <w:rPr>
                <w:sz w:val="20"/>
                <w:szCs w:val="20"/>
                <w:color w:val="auto"/>
              </w:rPr>
            </w:pPr>
            <w:r>
              <w:rPr>
                <w:rFonts w:ascii="Arial" w:cs="Arial" w:eastAsia="Arial" w:hAnsi="Arial"/>
                <w:sz w:val="18"/>
                <w:szCs w:val="18"/>
                <w:color w:val="auto"/>
              </w:rPr>
              <w:t>See Notes to Consolidated Financial Statements.</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40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0219"/>
          </w:cols>
          <w:pgMar w:left="240" w:top="409" w:right="1440" w:bottom="1440" w:gutter="0" w:footer="0" w:header="0"/>
          <w:type w:val="continuous"/>
        </w:sectPr>
      </w:pPr>
    </w:p>
    <w:bookmarkStart w:id="116" w:name="page117"/>
    <w:bookmarkEnd w:id="116"/>
    <w:p>
      <w:pPr>
        <w:ind w:left="1440"/>
        <w:spacing w:after="0"/>
        <w:rPr>
          <w:sz w:val="20"/>
          <w:szCs w:val="20"/>
          <w:color w:val="auto"/>
        </w:rPr>
      </w:pPr>
      <w:r>
        <w:rPr>
          <w:rFonts w:ascii="Arial" w:cs="Arial" w:eastAsia="Arial" w:hAnsi="Arial"/>
          <w:sz w:val="18"/>
          <w:szCs w:val="18"/>
          <w:color w:val="auto"/>
        </w:rPr>
        <w:t>SEMPRA ENERGY</w:t>
      </w:r>
    </w:p>
    <w:p>
      <w:pPr>
        <w:spacing w:after="0" w:line="36"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CONSOLIDATED BALANCE SHEETS</w:t>
      </w:r>
    </w:p>
    <w:p>
      <w:pPr>
        <w:spacing w:after="0" w:line="279" w:lineRule="exact"/>
        <w:rPr>
          <w:sz w:val="20"/>
          <w:szCs w:val="20"/>
          <w:color w:val="auto"/>
        </w:rPr>
      </w:pPr>
    </w:p>
    <w:tbl>
      <w:tblPr>
        <w:tblLayout w:type="fixed"/>
        <w:tblInd w:w="1440" w:type="dxa"/>
        <w:tblCellMar>
          <w:top w:w="0" w:type="dxa"/>
          <w:left w:w="0" w:type="dxa"/>
          <w:bottom w:w="0" w:type="dxa"/>
          <w:right w:w="0" w:type="dxa"/>
        </w:tblCellMar>
      </w:tblPr>
      <w:tr>
        <w:trPr>
          <w:trHeight w:val="237"/>
        </w:trPr>
        <w:tc>
          <w:tcPr>
            <w:tcW w:w="5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(Dollars in millions)</w:t>
            </w: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89"/>
              </w:rPr>
              <w:t>December 31, 2007</w:t>
            </w:r>
          </w:p>
        </w:tc>
        <w:tc>
          <w:tcPr>
            <w:tcW w:w="15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w w:val="91"/>
              </w:rPr>
              <w:t>December 31, 2006</w:t>
            </w:r>
          </w:p>
        </w:tc>
      </w:tr>
      <w:tr>
        <w:trPr>
          <w:trHeight w:val="243"/>
        </w:trPr>
        <w:tc>
          <w:tcPr>
            <w:tcW w:w="5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r>
      <w:tr>
        <w:trPr>
          <w:trHeight w:val="243"/>
        </w:trPr>
        <w:tc>
          <w:tcPr>
            <w:tcW w:w="5540" w:type="dxa"/>
            <w:vAlign w:val="bottom"/>
            <w:shd w:val="clear" w:color="auto" w:fill="CCFFCC"/>
          </w:tcPr>
          <w:p>
            <w:pPr>
              <w:spacing w:after="0"/>
              <w:rPr>
                <w:sz w:val="20"/>
                <w:szCs w:val="20"/>
                <w:color w:val="auto"/>
              </w:rPr>
            </w:pPr>
            <w:r>
              <w:rPr>
                <w:rFonts w:ascii="Arial" w:cs="Arial" w:eastAsia="Arial" w:hAnsi="Arial"/>
                <w:sz w:val="18"/>
                <w:szCs w:val="18"/>
                <w:color w:val="auto"/>
              </w:rPr>
              <w:t>ASSETS</w:t>
            </w:r>
          </w:p>
        </w:tc>
        <w:tc>
          <w:tcPr>
            <w:tcW w:w="240" w:type="dxa"/>
            <w:vAlign w:val="bottom"/>
            <w:shd w:val="clear" w:color="auto" w:fill="CCFFCC"/>
          </w:tcPr>
          <w:p>
            <w:pPr>
              <w:spacing w:after="0"/>
              <w:rPr>
                <w:sz w:val="21"/>
                <w:szCs w:val="21"/>
                <w:color w:val="auto"/>
              </w:rPr>
            </w:pPr>
          </w:p>
        </w:tc>
        <w:tc>
          <w:tcPr>
            <w:tcW w:w="320" w:type="dxa"/>
            <w:vAlign w:val="bottom"/>
            <w:shd w:val="clear" w:color="auto" w:fill="CCFFCC"/>
          </w:tcPr>
          <w:p>
            <w:pPr>
              <w:spacing w:after="0"/>
              <w:rPr>
                <w:sz w:val="21"/>
                <w:szCs w:val="21"/>
                <w:color w:val="auto"/>
              </w:rPr>
            </w:pPr>
          </w:p>
        </w:tc>
        <w:tc>
          <w:tcPr>
            <w:tcW w:w="920" w:type="dxa"/>
            <w:vAlign w:val="bottom"/>
            <w:shd w:val="clear" w:color="auto" w:fill="CCFFCC"/>
          </w:tcPr>
          <w:p>
            <w:pPr>
              <w:spacing w:after="0"/>
              <w:rPr>
                <w:sz w:val="21"/>
                <w:szCs w:val="21"/>
                <w:color w:val="auto"/>
              </w:rPr>
            </w:pPr>
          </w:p>
        </w:tc>
        <w:tc>
          <w:tcPr>
            <w:tcW w:w="540" w:type="dxa"/>
            <w:vAlign w:val="bottom"/>
            <w:shd w:val="clear" w:color="auto" w:fill="CCFFCC"/>
          </w:tcPr>
          <w:p>
            <w:pPr>
              <w:spacing w:after="0"/>
              <w:rPr>
                <w:sz w:val="21"/>
                <w:szCs w:val="21"/>
                <w:color w:val="auto"/>
              </w:rPr>
            </w:pPr>
          </w:p>
        </w:tc>
        <w:tc>
          <w:tcPr>
            <w:tcW w:w="720" w:type="dxa"/>
            <w:vAlign w:val="bottom"/>
            <w:shd w:val="clear" w:color="auto" w:fill="CCFFCC"/>
          </w:tcPr>
          <w:p>
            <w:pPr>
              <w:spacing w:after="0"/>
              <w:rPr>
                <w:sz w:val="21"/>
                <w:szCs w:val="21"/>
                <w:color w:val="auto"/>
              </w:rPr>
            </w:pPr>
          </w:p>
        </w:tc>
        <w:tc>
          <w:tcPr>
            <w:tcW w:w="280" w:type="dxa"/>
            <w:vAlign w:val="bottom"/>
            <w:shd w:val="clear" w:color="auto" w:fill="CCFFCC"/>
          </w:tcPr>
          <w:p>
            <w:pPr>
              <w:spacing w:after="0"/>
              <w:rPr>
                <w:sz w:val="21"/>
                <w:szCs w:val="21"/>
                <w:color w:val="auto"/>
              </w:rPr>
            </w:pPr>
          </w:p>
        </w:tc>
      </w:tr>
      <w:tr>
        <w:trPr>
          <w:trHeight w:val="237"/>
        </w:trPr>
        <w:tc>
          <w:tcPr>
            <w:tcW w:w="5540" w:type="dxa"/>
            <w:vAlign w:val="bottom"/>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49"/>
        </w:trPr>
        <w:tc>
          <w:tcPr>
            <w:tcW w:w="5540" w:type="dxa"/>
            <w:vAlign w:val="bottom"/>
            <w:shd w:val="clear" w:color="auto" w:fill="CCFFCC"/>
          </w:tcPr>
          <w:p>
            <w:pPr>
              <w:ind w:left="240"/>
              <w:spacing w:after="0"/>
              <w:rPr>
                <w:sz w:val="20"/>
                <w:szCs w:val="20"/>
                <w:color w:val="auto"/>
              </w:rPr>
            </w:pPr>
            <w:r>
              <w:rPr>
                <w:rFonts w:ascii="Arial" w:cs="Arial" w:eastAsia="Arial" w:hAnsi="Arial"/>
                <w:sz w:val="18"/>
                <w:szCs w:val="18"/>
                <w:color w:val="auto"/>
              </w:rPr>
              <w:t>Cash and cash equivalents</w:t>
            </w:r>
          </w:p>
        </w:tc>
        <w:tc>
          <w:tcPr>
            <w:tcW w:w="560" w:type="dxa"/>
            <w:vAlign w:val="bottom"/>
            <w:gridSpan w:val="2"/>
            <w:shd w:val="clear" w:color="auto" w:fill="CCFFCC"/>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668</w:t>
            </w:r>
          </w:p>
        </w:tc>
        <w:tc>
          <w:tcPr>
            <w:tcW w:w="54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920</w:t>
            </w:r>
          </w:p>
        </w:tc>
        <w:tc>
          <w:tcPr>
            <w:tcW w:w="280" w:type="dxa"/>
            <w:vAlign w:val="bottom"/>
            <w:shd w:val="clear" w:color="auto" w:fill="CCFFCC"/>
          </w:tcPr>
          <w:p>
            <w:pPr>
              <w:spacing w:after="0"/>
              <w:rPr>
                <w:sz w:val="21"/>
                <w:szCs w:val="21"/>
                <w:color w:val="auto"/>
              </w:rPr>
            </w:pPr>
          </w:p>
        </w:tc>
      </w:tr>
      <w:tr>
        <w:trPr>
          <w:trHeight w:val="237"/>
        </w:trPr>
        <w:tc>
          <w:tcPr>
            <w:tcW w:w="5540" w:type="dxa"/>
            <w:vAlign w:val="bottom"/>
          </w:tcPr>
          <w:p>
            <w:pPr>
              <w:ind w:left="240"/>
              <w:spacing w:after="0"/>
              <w:rPr>
                <w:sz w:val="20"/>
                <w:szCs w:val="20"/>
                <w:color w:val="auto"/>
              </w:rPr>
            </w:pPr>
            <w:r>
              <w:rPr>
                <w:rFonts w:ascii="Arial" w:cs="Arial" w:eastAsia="Arial" w:hAnsi="Arial"/>
                <w:sz w:val="18"/>
                <w:szCs w:val="18"/>
                <w:color w:val="auto"/>
              </w:rPr>
              <w:t>Restricted cash</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1</w:t>
            </w:r>
          </w:p>
        </w:tc>
        <w:tc>
          <w:tcPr>
            <w:tcW w:w="5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20"/>
                <w:szCs w:val="20"/>
                <w:color w:val="auto"/>
              </w:rPr>
            </w:pPr>
          </w:p>
        </w:tc>
      </w:tr>
      <w:tr>
        <w:trPr>
          <w:trHeight w:val="249"/>
        </w:trPr>
        <w:tc>
          <w:tcPr>
            <w:tcW w:w="5540" w:type="dxa"/>
            <w:vAlign w:val="bottom"/>
            <w:shd w:val="clear" w:color="auto" w:fill="CCFFCC"/>
          </w:tcPr>
          <w:p>
            <w:pPr>
              <w:ind w:left="240"/>
              <w:spacing w:after="0"/>
              <w:rPr>
                <w:sz w:val="20"/>
                <w:szCs w:val="20"/>
                <w:color w:val="auto"/>
              </w:rPr>
            </w:pPr>
            <w:r>
              <w:rPr>
                <w:rFonts w:ascii="Arial" w:cs="Arial" w:eastAsia="Arial" w:hAnsi="Arial"/>
                <w:sz w:val="18"/>
                <w:szCs w:val="18"/>
                <w:color w:val="auto"/>
              </w:rPr>
              <w:t>Trade accounts receivable, net</w:t>
            </w:r>
          </w:p>
        </w:tc>
        <w:tc>
          <w:tcPr>
            <w:tcW w:w="240" w:type="dxa"/>
            <w:vAlign w:val="bottom"/>
            <w:shd w:val="clear" w:color="auto" w:fill="CCFFCC"/>
          </w:tcPr>
          <w:p>
            <w:pPr>
              <w:spacing w:after="0"/>
              <w:rPr>
                <w:sz w:val="21"/>
                <w:szCs w:val="21"/>
                <w:color w:val="auto"/>
              </w:rPr>
            </w:pPr>
          </w:p>
        </w:tc>
        <w:tc>
          <w:tcPr>
            <w:tcW w:w="320" w:type="dxa"/>
            <w:vAlign w:val="bottom"/>
            <w:shd w:val="clear" w:color="auto" w:fill="CCFFCC"/>
          </w:tcPr>
          <w:p>
            <w:pPr>
              <w:spacing w:after="0"/>
              <w:rPr>
                <w:sz w:val="21"/>
                <w:szCs w:val="21"/>
                <w:color w:val="auto"/>
              </w:rPr>
            </w:pPr>
          </w:p>
        </w:tc>
        <w:tc>
          <w:tcPr>
            <w:tcW w:w="92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960</w:t>
            </w:r>
          </w:p>
        </w:tc>
        <w:tc>
          <w:tcPr>
            <w:tcW w:w="540" w:type="dxa"/>
            <w:vAlign w:val="bottom"/>
            <w:shd w:val="clear" w:color="auto" w:fill="CCFFCC"/>
          </w:tcPr>
          <w:p>
            <w:pPr>
              <w:spacing w:after="0"/>
              <w:rPr>
                <w:sz w:val="21"/>
                <w:szCs w:val="21"/>
                <w:color w:val="auto"/>
              </w:rPr>
            </w:pP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938</w:t>
            </w:r>
          </w:p>
        </w:tc>
        <w:tc>
          <w:tcPr>
            <w:tcW w:w="280" w:type="dxa"/>
            <w:vAlign w:val="bottom"/>
            <w:shd w:val="clear" w:color="auto" w:fill="CCFFCC"/>
          </w:tcPr>
          <w:p>
            <w:pPr>
              <w:spacing w:after="0"/>
              <w:rPr>
                <w:sz w:val="21"/>
                <w:szCs w:val="21"/>
                <w:color w:val="auto"/>
              </w:rPr>
            </w:pPr>
          </w:p>
        </w:tc>
      </w:tr>
      <w:tr>
        <w:trPr>
          <w:trHeight w:val="237"/>
        </w:trPr>
        <w:tc>
          <w:tcPr>
            <w:tcW w:w="5540" w:type="dxa"/>
            <w:vAlign w:val="bottom"/>
          </w:tcPr>
          <w:p>
            <w:pPr>
              <w:ind w:left="240"/>
              <w:spacing w:after="0"/>
              <w:rPr>
                <w:sz w:val="20"/>
                <w:szCs w:val="20"/>
                <w:color w:val="auto"/>
              </w:rPr>
            </w:pPr>
            <w:r>
              <w:rPr>
                <w:rFonts w:ascii="Arial" w:cs="Arial" w:eastAsia="Arial" w:hAnsi="Arial"/>
                <w:sz w:val="18"/>
                <w:szCs w:val="18"/>
                <w:color w:val="auto"/>
              </w:rPr>
              <w:t>Other accounts and notes receivable, net</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114</w:t>
            </w:r>
          </w:p>
        </w:tc>
        <w:tc>
          <w:tcPr>
            <w:tcW w:w="5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97</w:t>
            </w:r>
          </w:p>
        </w:tc>
        <w:tc>
          <w:tcPr>
            <w:tcW w:w="280" w:type="dxa"/>
            <w:vAlign w:val="bottom"/>
          </w:tcPr>
          <w:p>
            <w:pPr>
              <w:spacing w:after="0"/>
              <w:rPr>
                <w:sz w:val="20"/>
                <w:szCs w:val="20"/>
                <w:color w:val="auto"/>
              </w:rPr>
            </w:pPr>
          </w:p>
        </w:tc>
      </w:tr>
      <w:tr>
        <w:trPr>
          <w:trHeight w:val="249"/>
        </w:trPr>
        <w:tc>
          <w:tcPr>
            <w:tcW w:w="5540" w:type="dxa"/>
            <w:vAlign w:val="bottom"/>
            <w:shd w:val="clear" w:color="auto" w:fill="CCFFCC"/>
          </w:tcPr>
          <w:p>
            <w:pPr>
              <w:ind w:left="240"/>
              <w:spacing w:after="0"/>
              <w:rPr>
                <w:sz w:val="20"/>
                <w:szCs w:val="20"/>
                <w:color w:val="auto"/>
              </w:rPr>
            </w:pPr>
            <w:r>
              <w:rPr>
                <w:rFonts w:ascii="Arial" w:cs="Arial" w:eastAsia="Arial" w:hAnsi="Arial"/>
                <w:sz w:val="18"/>
                <w:szCs w:val="18"/>
                <w:color w:val="auto"/>
              </w:rPr>
              <w:t>Income taxes receivable</w:t>
            </w:r>
          </w:p>
        </w:tc>
        <w:tc>
          <w:tcPr>
            <w:tcW w:w="240" w:type="dxa"/>
            <w:vAlign w:val="bottom"/>
            <w:shd w:val="clear" w:color="auto" w:fill="CCFFCC"/>
          </w:tcPr>
          <w:p>
            <w:pPr>
              <w:spacing w:after="0"/>
              <w:rPr>
                <w:sz w:val="21"/>
                <w:szCs w:val="21"/>
                <w:color w:val="auto"/>
              </w:rPr>
            </w:pPr>
          </w:p>
        </w:tc>
        <w:tc>
          <w:tcPr>
            <w:tcW w:w="320" w:type="dxa"/>
            <w:vAlign w:val="bottom"/>
            <w:shd w:val="clear" w:color="auto" w:fill="CCFFCC"/>
          </w:tcPr>
          <w:p>
            <w:pPr>
              <w:spacing w:after="0"/>
              <w:rPr>
                <w:sz w:val="21"/>
                <w:szCs w:val="21"/>
                <w:color w:val="auto"/>
              </w:rPr>
            </w:pPr>
          </w:p>
        </w:tc>
        <w:tc>
          <w:tcPr>
            <w:tcW w:w="92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99</w:t>
            </w:r>
          </w:p>
        </w:tc>
        <w:tc>
          <w:tcPr>
            <w:tcW w:w="540" w:type="dxa"/>
            <w:vAlign w:val="bottom"/>
            <w:shd w:val="clear" w:color="auto" w:fill="CCFFCC"/>
          </w:tcPr>
          <w:p>
            <w:pPr>
              <w:spacing w:after="0"/>
              <w:rPr>
                <w:sz w:val="21"/>
                <w:szCs w:val="21"/>
                <w:color w:val="auto"/>
              </w:rPr>
            </w:pP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FFCC"/>
          </w:tcPr>
          <w:p>
            <w:pPr>
              <w:spacing w:after="0"/>
              <w:rPr>
                <w:sz w:val="21"/>
                <w:szCs w:val="21"/>
                <w:color w:val="auto"/>
              </w:rPr>
            </w:pPr>
          </w:p>
        </w:tc>
      </w:tr>
      <w:tr>
        <w:trPr>
          <w:trHeight w:val="237"/>
        </w:trPr>
        <w:tc>
          <w:tcPr>
            <w:tcW w:w="5540" w:type="dxa"/>
            <w:vAlign w:val="bottom"/>
          </w:tcPr>
          <w:p>
            <w:pPr>
              <w:ind w:left="240"/>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247</w:t>
            </w:r>
          </w:p>
        </w:tc>
        <w:tc>
          <w:tcPr>
            <w:tcW w:w="5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270</w:t>
            </w:r>
          </w:p>
        </w:tc>
        <w:tc>
          <w:tcPr>
            <w:tcW w:w="280" w:type="dxa"/>
            <w:vAlign w:val="bottom"/>
          </w:tcPr>
          <w:p>
            <w:pPr>
              <w:spacing w:after="0"/>
              <w:rPr>
                <w:sz w:val="20"/>
                <w:szCs w:val="20"/>
                <w:color w:val="auto"/>
              </w:rPr>
            </w:pPr>
          </w:p>
        </w:tc>
      </w:tr>
      <w:tr>
        <w:trPr>
          <w:trHeight w:val="249"/>
        </w:trPr>
        <w:tc>
          <w:tcPr>
            <w:tcW w:w="5540" w:type="dxa"/>
            <w:vAlign w:val="bottom"/>
            <w:shd w:val="clear" w:color="auto" w:fill="CCFFCC"/>
          </w:tcPr>
          <w:p>
            <w:pPr>
              <w:ind w:left="240"/>
              <w:spacing w:after="0"/>
              <w:rPr>
                <w:sz w:val="20"/>
                <w:szCs w:val="20"/>
                <w:color w:val="auto"/>
              </w:rPr>
            </w:pPr>
            <w:r>
              <w:rPr>
                <w:rFonts w:ascii="Arial" w:cs="Arial" w:eastAsia="Arial" w:hAnsi="Arial"/>
                <w:sz w:val="18"/>
                <w:szCs w:val="18"/>
                <w:color w:val="auto"/>
              </w:rPr>
              <w:t>Interest receivable</w:t>
            </w:r>
          </w:p>
        </w:tc>
        <w:tc>
          <w:tcPr>
            <w:tcW w:w="240" w:type="dxa"/>
            <w:vAlign w:val="bottom"/>
            <w:shd w:val="clear" w:color="auto" w:fill="CCFFCC"/>
          </w:tcPr>
          <w:p>
            <w:pPr>
              <w:spacing w:after="0"/>
              <w:rPr>
                <w:sz w:val="21"/>
                <w:szCs w:val="21"/>
                <w:color w:val="auto"/>
              </w:rPr>
            </w:pPr>
          </w:p>
        </w:tc>
        <w:tc>
          <w:tcPr>
            <w:tcW w:w="320" w:type="dxa"/>
            <w:vAlign w:val="bottom"/>
            <w:shd w:val="clear" w:color="auto" w:fill="CCFFCC"/>
          </w:tcPr>
          <w:p>
            <w:pPr>
              <w:spacing w:after="0"/>
              <w:rPr>
                <w:sz w:val="21"/>
                <w:szCs w:val="21"/>
                <w:color w:val="auto"/>
              </w:rPr>
            </w:pPr>
          </w:p>
        </w:tc>
        <w:tc>
          <w:tcPr>
            <w:tcW w:w="92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4</w:t>
            </w:r>
          </w:p>
        </w:tc>
        <w:tc>
          <w:tcPr>
            <w:tcW w:w="540" w:type="dxa"/>
            <w:vAlign w:val="bottom"/>
            <w:shd w:val="clear" w:color="auto" w:fill="CCFFCC"/>
          </w:tcPr>
          <w:p>
            <w:pPr>
              <w:spacing w:after="0"/>
              <w:rPr>
                <w:sz w:val="21"/>
                <w:szCs w:val="21"/>
                <w:color w:val="auto"/>
              </w:rPr>
            </w:pP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40</w:t>
            </w:r>
          </w:p>
        </w:tc>
        <w:tc>
          <w:tcPr>
            <w:tcW w:w="280" w:type="dxa"/>
            <w:vAlign w:val="bottom"/>
            <w:shd w:val="clear" w:color="auto" w:fill="CCFFCC"/>
          </w:tcPr>
          <w:p>
            <w:pPr>
              <w:spacing w:after="0"/>
              <w:rPr>
                <w:sz w:val="21"/>
                <w:szCs w:val="21"/>
                <w:color w:val="auto"/>
              </w:rPr>
            </w:pPr>
          </w:p>
        </w:tc>
      </w:tr>
      <w:tr>
        <w:trPr>
          <w:trHeight w:val="237"/>
        </w:trPr>
        <w:tc>
          <w:tcPr>
            <w:tcW w:w="5540" w:type="dxa"/>
            <w:vAlign w:val="bottom"/>
          </w:tcPr>
          <w:p>
            <w:pPr>
              <w:ind w:left="240"/>
              <w:spacing w:after="0"/>
              <w:rPr>
                <w:sz w:val="20"/>
                <w:szCs w:val="20"/>
                <w:color w:val="auto"/>
              </w:rPr>
            </w:pPr>
            <w:r>
              <w:rPr>
                <w:rFonts w:ascii="Arial" w:cs="Arial" w:eastAsia="Arial" w:hAnsi="Arial"/>
                <w:sz w:val="18"/>
                <w:szCs w:val="18"/>
                <w:color w:val="auto"/>
              </w:rPr>
              <w:t>Trading-related receivables and deposits, net</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2,887</w:t>
            </w:r>
          </w:p>
        </w:tc>
        <w:tc>
          <w:tcPr>
            <w:tcW w:w="5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3,047</w:t>
            </w:r>
          </w:p>
        </w:tc>
        <w:tc>
          <w:tcPr>
            <w:tcW w:w="280" w:type="dxa"/>
            <w:vAlign w:val="bottom"/>
          </w:tcPr>
          <w:p>
            <w:pPr>
              <w:spacing w:after="0"/>
              <w:rPr>
                <w:sz w:val="20"/>
                <w:szCs w:val="20"/>
                <w:color w:val="auto"/>
              </w:rPr>
            </w:pPr>
          </w:p>
        </w:tc>
      </w:tr>
      <w:tr>
        <w:trPr>
          <w:trHeight w:val="249"/>
        </w:trPr>
        <w:tc>
          <w:tcPr>
            <w:tcW w:w="5540" w:type="dxa"/>
            <w:vAlign w:val="bottom"/>
            <w:shd w:val="clear" w:color="auto" w:fill="CCFFCC"/>
          </w:tcPr>
          <w:p>
            <w:pPr>
              <w:ind w:left="240"/>
              <w:spacing w:after="0"/>
              <w:rPr>
                <w:sz w:val="20"/>
                <w:szCs w:val="20"/>
                <w:color w:val="auto"/>
              </w:rPr>
            </w:pPr>
            <w:r>
              <w:rPr>
                <w:rFonts w:ascii="Arial" w:cs="Arial" w:eastAsia="Arial" w:hAnsi="Arial"/>
                <w:sz w:val="18"/>
                <w:szCs w:val="18"/>
                <w:color w:val="auto"/>
              </w:rPr>
              <w:t>Derivative trading instruments</w:t>
            </w:r>
          </w:p>
        </w:tc>
        <w:tc>
          <w:tcPr>
            <w:tcW w:w="240" w:type="dxa"/>
            <w:vAlign w:val="bottom"/>
            <w:shd w:val="clear" w:color="auto" w:fill="CCFFCC"/>
          </w:tcPr>
          <w:p>
            <w:pPr>
              <w:spacing w:after="0"/>
              <w:rPr>
                <w:sz w:val="21"/>
                <w:szCs w:val="21"/>
                <w:color w:val="auto"/>
              </w:rPr>
            </w:pPr>
          </w:p>
        </w:tc>
        <w:tc>
          <w:tcPr>
            <w:tcW w:w="320" w:type="dxa"/>
            <w:vAlign w:val="bottom"/>
            <w:shd w:val="clear" w:color="auto" w:fill="CCFFCC"/>
          </w:tcPr>
          <w:p>
            <w:pPr>
              <w:spacing w:after="0"/>
              <w:rPr>
                <w:sz w:val="21"/>
                <w:szCs w:val="21"/>
                <w:color w:val="auto"/>
              </w:rPr>
            </w:pPr>
          </w:p>
        </w:tc>
        <w:tc>
          <w:tcPr>
            <w:tcW w:w="92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3,367</w:t>
            </w:r>
          </w:p>
        </w:tc>
        <w:tc>
          <w:tcPr>
            <w:tcW w:w="540" w:type="dxa"/>
            <w:vAlign w:val="bottom"/>
            <w:shd w:val="clear" w:color="auto" w:fill="CCFFCC"/>
          </w:tcPr>
          <w:p>
            <w:pPr>
              <w:spacing w:after="0"/>
              <w:rPr>
                <w:sz w:val="21"/>
                <w:szCs w:val="21"/>
                <w:color w:val="auto"/>
              </w:rPr>
            </w:pP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4,068</w:t>
            </w:r>
          </w:p>
        </w:tc>
        <w:tc>
          <w:tcPr>
            <w:tcW w:w="280" w:type="dxa"/>
            <w:vAlign w:val="bottom"/>
            <w:shd w:val="clear" w:color="auto" w:fill="CCFFCC"/>
          </w:tcPr>
          <w:p>
            <w:pPr>
              <w:spacing w:after="0"/>
              <w:rPr>
                <w:sz w:val="21"/>
                <w:szCs w:val="21"/>
                <w:color w:val="auto"/>
              </w:rPr>
            </w:pPr>
          </w:p>
        </w:tc>
      </w:tr>
      <w:tr>
        <w:trPr>
          <w:trHeight w:val="237"/>
        </w:trPr>
        <w:tc>
          <w:tcPr>
            <w:tcW w:w="5540" w:type="dxa"/>
            <w:vAlign w:val="bottom"/>
          </w:tcPr>
          <w:p>
            <w:pPr>
              <w:ind w:left="240"/>
              <w:spacing w:after="0"/>
              <w:rPr>
                <w:sz w:val="20"/>
                <w:szCs w:val="20"/>
                <w:color w:val="auto"/>
              </w:rPr>
            </w:pPr>
            <w:r>
              <w:rPr>
                <w:rFonts w:ascii="Arial" w:cs="Arial" w:eastAsia="Arial" w:hAnsi="Arial"/>
                <w:sz w:val="18"/>
                <w:szCs w:val="18"/>
                <w:color w:val="auto"/>
              </w:rPr>
              <w:t>Commodities owned</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2,231</w:t>
            </w:r>
          </w:p>
        </w:tc>
        <w:tc>
          <w:tcPr>
            <w:tcW w:w="5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1,845</w:t>
            </w:r>
          </w:p>
        </w:tc>
        <w:tc>
          <w:tcPr>
            <w:tcW w:w="280" w:type="dxa"/>
            <w:vAlign w:val="bottom"/>
          </w:tcPr>
          <w:p>
            <w:pPr>
              <w:spacing w:after="0"/>
              <w:rPr>
                <w:sz w:val="20"/>
                <w:szCs w:val="20"/>
                <w:color w:val="auto"/>
              </w:rPr>
            </w:pPr>
          </w:p>
        </w:tc>
      </w:tr>
      <w:tr>
        <w:trPr>
          <w:trHeight w:val="249"/>
        </w:trPr>
        <w:tc>
          <w:tcPr>
            <w:tcW w:w="5540" w:type="dxa"/>
            <w:vAlign w:val="bottom"/>
            <w:shd w:val="clear" w:color="auto" w:fill="CCFFCC"/>
          </w:tcPr>
          <w:p>
            <w:pPr>
              <w:ind w:left="240"/>
              <w:spacing w:after="0"/>
              <w:rPr>
                <w:sz w:val="20"/>
                <w:szCs w:val="20"/>
                <w:color w:val="auto"/>
              </w:rPr>
            </w:pPr>
            <w:r>
              <w:rPr>
                <w:rFonts w:ascii="Arial" w:cs="Arial" w:eastAsia="Arial" w:hAnsi="Arial"/>
                <w:sz w:val="18"/>
                <w:szCs w:val="18"/>
                <w:color w:val="auto"/>
              </w:rPr>
              <w:t>Inventories</w:t>
            </w:r>
          </w:p>
        </w:tc>
        <w:tc>
          <w:tcPr>
            <w:tcW w:w="240" w:type="dxa"/>
            <w:vAlign w:val="bottom"/>
            <w:shd w:val="clear" w:color="auto" w:fill="CCFFCC"/>
          </w:tcPr>
          <w:p>
            <w:pPr>
              <w:spacing w:after="0"/>
              <w:rPr>
                <w:sz w:val="21"/>
                <w:szCs w:val="21"/>
                <w:color w:val="auto"/>
              </w:rPr>
            </w:pPr>
          </w:p>
        </w:tc>
        <w:tc>
          <w:tcPr>
            <w:tcW w:w="320" w:type="dxa"/>
            <w:vAlign w:val="bottom"/>
            <w:shd w:val="clear" w:color="auto" w:fill="CCFFCC"/>
          </w:tcPr>
          <w:p>
            <w:pPr>
              <w:spacing w:after="0"/>
              <w:rPr>
                <w:sz w:val="21"/>
                <w:szCs w:val="21"/>
                <w:color w:val="auto"/>
              </w:rPr>
            </w:pPr>
          </w:p>
        </w:tc>
        <w:tc>
          <w:tcPr>
            <w:tcW w:w="92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224</w:t>
            </w:r>
          </w:p>
        </w:tc>
        <w:tc>
          <w:tcPr>
            <w:tcW w:w="540" w:type="dxa"/>
            <w:vAlign w:val="bottom"/>
            <w:shd w:val="clear" w:color="auto" w:fill="CCFFCC"/>
          </w:tcPr>
          <w:p>
            <w:pPr>
              <w:spacing w:after="0"/>
              <w:rPr>
                <w:sz w:val="21"/>
                <w:szCs w:val="21"/>
                <w:color w:val="auto"/>
              </w:rPr>
            </w:pP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215</w:t>
            </w:r>
          </w:p>
        </w:tc>
        <w:tc>
          <w:tcPr>
            <w:tcW w:w="280" w:type="dxa"/>
            <w:vAlign w:val="bottom"/>
            <w:shd w:val="clear" w:color="auto" w:fill="CCFFCC"/>
          </w:tcPr>
          <w:p>
            <w:pPr>
              <w:spacing w:after="0"/>
              <w:rPr>
                <w:sz w:val="21"/>
                <w:szCs w:val="21"/>
                <w:color w:val="auto"/>
              </w:rPr>
            </w:pPr>
          </w:p>
        </w:tc>
      </w:tr>
      <w:tr>
        <w:trPr>
          <w:trHeight w:val="237"/>
        </w:trPr>
        <w:tc>
          <w:tcPr>
            <w:tcW w:w="5540" w:type="dxa"/>
            <w:vAlign w:val="bottom"/>
          </w:tcPr>
          <w:p>
            <w:pPr>
              <w:ind w:left="240"/>
              <w:spacing w:after="0"/>
              <w:rPr>
                <w:sz w:val="20"/>
                <w:szCs w:val="20"/>
                <w:color w:val="auto"/>
              </w:rPr>
            </w:pPr>
            <w:r>
              <w:rPr>
                <w:rFonts w:ascii="Arial" w:cs="Arial" w:eastAsia="Arial" w:hAnsi="Arial"/>
                <w:sz w:val="18"/>
                <w:szCs w:val="18"/>
                <w:color w:val="auto"/>
              </w:rPr>
              <w:t>Regulatory assets</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106</w:t>
            </w:r>
          </w:p>
        </w:tc>
        <w:tc>
          <w:tcPr>
            <w:tcW w:w="5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193</w:t>
            </w:r>
          </w:p>
        </w:tc>
        <w:tc>
          <w:tcPr>
            <w:tcW w:w="280" w:type="dxa"/>
            <w:vAlign w:val="bottom"/>
          </w:tcPr>
          <w:p>
            <w:pPr>
              <w:spacing w:after="0"/>
              <w:rPr>
                <w:sz w:val="20"/>
                <w:szCs w:val="20"/>
                <w:color w:val="auto"/>
              </w:rPr>
            </w:pPr>
          </w:p>
        </w:tc>
      </w:tr>
      <w:tr>
        <w:trPr>
          <w:trHeight w:val="249"/>
        </w:trPr>
        <w:tc>
          <w:tcPr>
            <w:tcW w:w="5540" w:type="dxa"/>
            <w:vAlign w:val="bottom"/>
            <w:tcBorders>
              <w:bottom w:val="single" w:sz="8" w:color="CCFFCC"/>
            </w:tcBorders>
            <w:shd w:val="clear" w:color="auto" w:fill="CCFFCC"/>
          </w:tcPr>
          <w:p>
            <w:pPr>
              <w:ind w:left="24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FFCC"/>
            </w:tcBorders>
            <w:shd w:val="clear" w:color="auto" w:fill="CCFFCC"/>
          </w:tcPr>
          <w:p>
            <w:pPr>
              <w:spacing w:after="0"/>
              <w:rPr>
                <w:sz w:val="21"/>
                <w:szCs w:val="21"/>
                <w:color w:val="auto"/>
              </w:rPr>
            </w:pPr>
          </w:p>
        </w:tc>
        <w:tc>
          <w:tcPr>
            <w:tcW w:w="320" w:type="dxa"/>
            <w:vAlign w:val="bottom"/>
            <w:tcBorders>
              <w:bottom w:val="single" w:sz="8" w:color="auto"/>
            </w:tcBorders>
            <w:shd w:val="clear" w:color="auto" w:fill="CCFFCC"/>
          </w:tcPr>
          <w:p>
            <w:pPr>
              <w:spacing w:after="0"/>
              <w:rPr>
                <w:sz w:val="21"/>
                <w:szCs w:val="21"/>
                <w:color w:val="auto"/>
              </w:rPr>
            </w:pPr>
          </w:p>
        </w:tc>
        <w:tc>
          <w:tcPr>
            <w:tcW w:w="920" w:type="dxa"/>
            <w:vAlign w:val="bottom"/>
            <w:tcBorders>
              <w:bottom w:val="single" w:sz="8" w:color="auto"/>
            </w:tcBorders>
            <w:shd w:val="clear" w:color="auto" w:fill="CCFFCC"/>
          </w:tcPr>
          <w:p>
            <w:pPr>
              <w:jc w:val="right"/>
              <w:ind w:right="110"/>
              <w:spacing w:after="0"/>
              <w:rPr>
                <w:sz w:val="20"/>
                <w:szCs w:val="20"/>
                <w:color w:val="auto"/>
              </w:rPr>
            </w:pPr>
            <w:r>
              <w:rPr>
                <w:rFonts w:ascii="Arial" w:cs="Arial" w:eastAsia="Arial" w:hAnsi="Arial"/>
                <w:sz w:val="18"/>
                <w:szCs w:val="18"/>
                <w:color w:val="auto"/>
              </w:rPr>
              <w:t>430</w:t>
            </w:r>
          </w:p>
        </w:tc>
        <w:tc>
          <w:tcPr>
            <w:tcW w:w="540" w:type="dxa"/>
            <w:vAlign w:val="bottom"/>
            <w:tcBorders>
              <w:bottom w:val="single" w:sz="8" w:color="auto"/>
            </w:tcBorders>
            <w:shd w:val="clear" w:color="auto" w:fill="CCFFCC"/>
          </w:tcPr>
          <w:p>
            <w:pPr>
              <w:spacing w:after="0"/>
              <w:rPr>
                <w:sz w:val="21"/>
                <w:szCs w:val="21"/>
                <w:color w:val="auto"/>
              </w:rPr>
            </w:pPr>
          </w:p>
        </w:tc>
        <w:tc>
          <w:tcPr>
            <w:tcW w:w="7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317</w:t>
            </w:r>
          </w:p>
        </w:tc>
        <w:tc>
          <w:tcPr>
            <w:tcW w:w="280" w:type="dxa"/>
            <w:vAlign w:val="bottom"/>
            <w:tcBorders>
              <w:bottom w:val="single" w:sz="8" w:color="auto"/>
            </w:tcBorders>
            <w:shd w:val="clear" w:color="auto" w:fill="CCFFCC"/>
          </w:tcPr>
          <w:p>
            <w:pPr>
              <w:spacing w:after="0"/>
              <w:rPr>
                <w:sz w:val="21"/>
                <w:szCs w:val="21"/>
                <w:color w:val="auto"/>
              </w:rPr>
            </w:pPr>
          </w:p>
        </w:tc>
      </w:tr>
      <w:tr>
        <w:trPr>
          <w:trHeight w:val="230"/>
        </w:trPr>
        <w:tc>
          <w:tcPr>
            <w:tcW w:w="5540" w:type="dxa"/>
            <w:vAlign w:val="bottom"/>
          </w:tcPr>
          <w:p>
            <w:pPr>
              <w:ind w:left="240"/>
              <w:spacing w:after="0"/>
              <w:rPr>
                <w:sz w:val="20"/>
                <w:szCs w:val="20"/>
                <w:color w:val="auto"/>
              </w:rPr>
            </w:pPr>
            <w:r>
              <w:rPr>
                <w:rFonts w:ascii="Arial" w:cs="Arial" w:eastAsia="Arial" w:hAnsi="Arial"/>
                <w:sz w:val="18"/>
                <w:szCs w:val="18"/>
                <w:color w:val="auto"/>
              </w:rPr>
              <w:t>Current assets of continuing operations</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11,338</w:t>
            </w:r>
          </w:p>
        </w:tc>
        <w:tc>
          <w:tcPr>
            <w:tcW w:w="5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11,954</w:t>
            </w:r>
          </w:p>
        </w:tc>
        <w:tc>
          <w:tcPr>
            <w:tcW w:w="280" w:type="dxa"/>
            <w:vAlign w:val="bottom"/>
          </w:tcPr>
          <w:p>
            <w:pPr>
              <w:spacing w:after="0"/>
              <w:rPr>
                <w:sz w:val="20"/>
                <w:szCs w:val="20"/>
                <w:color w:val="auto"/>
              </w:rPr>
            </w:pPr>
          </w:p>
        </w:tc>
      </w:tr>
      <w:tr>
        <w:trPr>
          <w:trHeight w:val="249"/>
        </w:trPr>
        <w:tc>
          <w:tcPr>
            <w:tcW w:w="5540" w:type="dxa"/>
            <w:vAlign w:val="bottom"/>
            <w:tcBorders>
              <w:bottom w:val="single" w:sz="8" w:color="CCFFCC"/>
            </w:tcBorders>
            <w:shd w:val="clear" w:color="auto" w:fill="CCFFCC"/>
          </w:tcPr>
          <w:p>
            <w:pPr>
              <w:ind w:left="240"/>
              <w:spacing w:after="0"/>
              <w:rPr>
                <w:sz w:val="20"/>
                <w:szCs w:val="20"/>
                <w:color w:val="auto"/>
              </w:rPr>
            </w:pPr>
            <w:r>
              <w:rPr>
                <w:rFonts w:ascii="Arial" w:cs="Arial" w:eastAsia="Arial" w:hAnsi="Arial"/>
                <w:sz w:val="18"/>
                <w:szCs w:val="18"/>
                <w:color w:val="auto"/>
              </w:rPr>
              <w:t>Current assets of discontinued operations</w:t>
            </w:r>
          </w:p>
        </w:tc>
        <w:tc>
          <w:tcPr>
            <w:tcW w:w="240" w:type="dxa"/>
            <w:vAlign w:val="bottom"/>
            <w:tcBorders>
              <w:bottom w:val="single" w:sz="8" w:color="CCFFCC"/>
            </w:tcBorders>
            <w:shd w:val="clear" w:color="auto" w:fill="CCFFCC"/>
          </w:tcPr>
          <w:p>
            <w:pPr>
              <w:spacing w:after="0"/>
              <w:rPr>
                <w:sz w:val="21"/>
                <w:szCs w:val="21"/>
                <w:color w:val="auto"/>
              </w:rPr>
            </w:pPr>
          </w:p>
        </w:tc>
        <w:tc>
          <w:tcPr>
            <w:tcW w:w="320" w:type="dxa"/>
            <w:vAlign w:val="bottom"/>
            <w:tcBorders>
              <w:bottom w:val="single" w:sz="8" w:color="auto"/>
            </w:tcBorders>
            <w:shd w:val="clear" w:color="auto" w:fill="CCFFCC"/>
          </w:tcPr>
          <w:p>
            <w:pPr>
              <w:spacing w:after="0"/>
              <w:rPr>
                <w:sz w:val="21"/>
                <w:szCs w:val="21"/>
                <w:color w:val="auto"/>
              </w:rPr>
            </w:pPr>
          </w:p>
        </w:tc>
        <w:tc>
          <w:tcPr>
            <w:tcW w:w="920" w:type="dxa"/>
            <w:vAlign w:val="bottom"/>
            <w:tcBorders>
              <w:bottom w:val="single" w:sz="8" w:color="auto"/>
            </w:tcBorders>
            <w:shd w:val="clear" w:color="auto" w:fill="CCFFCC"/>
          </w:tcPr>
          <w:p>
            <w:pPr>
              <w:jc w:val="right"/>
              <w:ind w:right="15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FFCC"/>
          </w:tcPr>
          <w:p>
            <w:pPr>
              <w:spacing w:after="0"/>
              <w:rPr>
                <w:sz w:val="21"/>
                <w:szCs w:val="21"/>
                <w:color w:val="auto"/>
              </w:rPr>
            </w:pPr>
          </w:p>
        </w:tc>
        <w:tc>
          <w:tcPr>
            <w:tcW w:w="7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62</w:t>
            </w:r>
          </w:p>
        </w:tc>
        <w:tc>
          <w:tcPr>
            <w:tcW w:w="280" w:type="dxa"/>
            <w:vAlign w:val="bottom"/>
            <w:tcBorders>
              <w:bottom w:val="single" w:sz="8" w:color="auto"/>
            </w:tcBorders>
            <w:shd w:val="clear" w:color="auto" w:fill="CCFFCC"/>
          </w:tcPr>
          <w:p>
            <w:pPr>
              <w:spacing w:after="0"/>
              <w:rPr>
                <w:sz w:val="21"/>
                <w:szCs w:val="21"/>
                <w:color w:val="auto"/>
              </w:rPr>
            </w:pPr>
          </w:p>
        </w:tc>
      </w:tr>
      <w:tr>
        <w:trPr>
          <w:trHeight w:val="237"/>
        </w:trPr>
        <w:tc>
          <w:tcPr>
            <w:tcW w:w="5540" w:type="dxa"/>
            <w:vAlign w:val="bottom"/>
          </w:tcPr>
          <w:p>
            <w:pPr>
              <w:ind w:left="920"/>
              <w:spacing w:after="0"/>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11,338</w:t>
            </w:r>
          </w:p>
        </w:tc>
        <w:tc>
          <w:tcPr>
            <w:tcW w:w="5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12,016</w:t>
            </w:r>
          </w:p>
        </w:tc>
        <w:tc>
          <w:tcPr>
            <w:tcW w:w="280" w:type="dxa"/>
            <w:vAlign w:val="bottom"/>
            <w:tcBorders>
              <w:bottom w:val="single" w:sz="8" w:color="auto"/>
            </w:tcBorders>
          </w:tcPr>
          <w:p>
            <w:pPr>
              <w:spacing w:after="0"/>
              <w:rPr>
                <w:sz w:val="20"/>
                <w:szCs w:val="20"/>
                <w:color w:val="auto"/>
              </w:rPr>
            </w:pPr>
          </w:p>
        </w:tc>
      </w:tr>
      <w:tr>
        <w:trPr>
          <w:trHeight w:val="237"/>
        </w:trPr>
        <w:tc>
          <w:tcPr>
            <w:tcW w:w="5540" w:type="dxa"/>
            <w:vAlign w:val="bottom"/>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320" w:type="dxa"/>
            <w:vAlign w:val="bottom"/>
            <w:shd w:val="clear" w:color="auto" w:fill="CCFFCC"/>
          </w:tcPr>
          <w:p>
            <w:pPr>
              <w:spacing w:after="0"/>
              <w:rPr>
                <w:sz w:val="20"/>
                <w:szCs w:val="20"/>
                <w:color w:val="auto"/>
              </w:rPr>
            </w:pPr>
          </w:p>
        </w:tc>
        <w:tc>
          <w:tcPr>
            <w:tcW w:w="920" w:type="dxa"/>
            <w:vAlign w:val="bottom"/>
            <w:shd w:val="clear" w:color="auto" w:fill="CCFFCC"/>
          </w:tcPr>
          <w:p>
            <w:pPr>
              <w:spacing w:after="0"/>
              <w:rPr>
                <w:sz w:val="20"/>
                <w:szCs w:val="20"/>
                <w:color w:val="auto"/>
              </w:rPr>
            </w:pPr>
          </w:p>
        </w:tc>
        <w:tc>
          <w:tcPr>
            <w:tcW w:w="540" w:type="dxa"/>
            <w:vAlign w:val="bottom"/>
            <w:shd w:val="clear" w:color="auto" w:fill="CCFFCC"/>
          </w:tcPr>
          <w:p>
            <w:pPr>
              <w:spacing w:after="0"/>
              <w:rPr>
                <w:sz w:val="20"/>
                <w:szCs w:val="20"/>
                <w:color w:val="auto"/>
              </w:rPr>
            </w:pPr>
          </w:p>
        </w:tc>
        <w:tc>
          <w:tcPr>
            <w:tcW w:w="720" w:type="dxa"/>
            <w:vAlign w:val="bottom"/>
            <w:shd w:val="clear" w:color="auto" w:fill="CCFFCC"/>
          </w:tcPr>
          <w:p>
            <w:pPr>
              <w:spacing w:after="0"/>
              <w:rPr>
                <w:sz w:val="20"/>
                <w:szCs w:val="20"/>
                <w:color w:val="auto"/>
              </w:rPr>
            </w:pPr>
          </w:p>
        </w:tc>
        <w:tc>
          <w:tcPr>
            <w:tcW w:w="280" w:type="dxa"/>
            <w:vAlign w:val="bottom"/>
          </w:tcPr>
          <w:p>
            <w:pPr>
              <w:spacing w:after="0"/>
              <w:rPr>
                <w:sz w:val="20"/>
                <w:szCs w:val="20"/>
                <w:color w:val="auto"/>
              </w:rPr>
            </w:pPr>
          </w:p>
        </w:tc>
      </w:tr>
      <w:tr>
        <w:trPr>
          <w:trHeight w:val="237"/>
        </w:trPr>
        <w:tc>
          <w:tcPr>
            <w:tcW w:w="5540" w:type="dxa"/>
            <w:vAlign w:val="bottom"/>
          </w:tcPr>
          <w:p>
            <w:pPr>
              <w:spacing w:after="0"/>
              <w:rPr>
                <w:sz w:val="20"/>
                <w:szCs w:val="20"/>
                <w:color w:val="auto"/>
              </w:rPr>
            </w:pPr>
            <w:r>
              <w:rPr>
                <w:rFonts w:ascii="Arial" w:cs="Arial" w:eastAsia="Arial" w:hAnsi="Arial"/>
                <w:sz w:val="18"/>
                <w:szCs w:val="18"/>
                <w:color w:val="auto"/>
              </w:rPr>
              <w:t>Investments and other assets:</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49"/>
        </w:trPr>
        <w:tc>
          <w:tcPr>
            <w:tcW w:w="5540" w:type="dxa"/>
            <w:vAlign w:val="bottom"/>
            <w:shd w:val="clear" w:color="auto" w:fill="CCFFCC"/>
          </w:tcPr>
          <w:p>
            <w:pPr>
              <w:ind w:left="240"/>
              <w:spacing w:after="0"/>
              <w:rPr>
                <w:sz w:val="20"/>
                <w:szCs w:val="20"/>
                <w:color w:val="auto"/>
              </w:rPr>
            </w:pPr>
            <w:r>
              <w:rPr>
                <w:rFonts w:ascii="Arial" w:cs="Arial" w:eastAsia="Arial" w:hAnsi="Arial"/>
                <w:sz w:val="18"/>
                <w:szCs w:val="18"/>
                <w:color w:val="auto"/>
                <w:w w:val="90"/>
              </w:rPr>
              <w:t>Regulatory assets arising from fixed-price contracts and other derivatives</w:t>
            </w:r>
          </w:p>
        </w:tc>
        <w:tc>
          <w:tcPr>
            <w:tcW w:w="240" w:type="dxa"/>
            <w:vAlign w:val="bottom"/>
            <w:shd w:val="clear" w:color="auto" w:fill="CCFFCC"/>
          </w:tcPr>
          <w:p>
            <w:pPr>
              <w:spacing w:after="0"/>
              <w:rPr>
                <w:sz w:val="21"/>
                <w:szCs w:val="21"/>
                <w:color w:val="auto"/>
              </w:rPr>
            </w:pPr>
          </w:p>
        </w:tc>
        <w:tc>
          <w:tcPr>
            <w:tcW w:w="320" w:type="dxa"/>
            <w:vAlign w:val="bottom"/>
            <w:shd w:val="clear" w:color="auto" w:fill="CCFFCC"/>
          </w:tcPr>
          <w:p>
            <w:pPr>
              <w:spacing w:after="0"/>
              <w:rPr>
                <w:sz w:val="21"/>
                <w:szCs w:val="21"/>
                <w:color w:val="auto"/>
              </w:rPr>
            </w:pPr>
          </w:p>
        </w:tc>
        <w:tc>
          <w:tcPr>
            <w:tcW w:w="92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309</w:t>
            </w:r>
          </w:p>
        </w:tc>
        <w:tc>
          <w:tcPr>
            <w:tcW w:w="540" w:type="dxa"/>
            <w:vAlign w:val="bottom"/>
            <w:shd w:val="clear" w:color="auto" w:fill="CCFFCC"/>
          </w:tcPr>
          <w:p>
            <w:pPr>
              <w:spacing w:after="0"/>
              <w:rPr>
                <w:sz w:val="21"/>
                <w:szCs w:val="21"/>
                <w:color w:val="auto"/>
              </w:rPr>
            </w:pP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353</w:t>
            </w:r>
          </w:p>
        </w:tc>
        <w:tc>
          <w:tcPr>
            <w:tcW w:w="280" w:type="dxa"/>
            <w:vAlign w:val="bottom"/>
            <w:shd w:val="clear" w:color="auto" w:fill="CCFFCC"/>
          </w:tcPr>
          <w:p>
            <w:pPr>
              <w:spacing w:after="0"/>
              <w:rPr>
                <w:sz w:val="21"/>
                <w:szCs w:val="21"/>
                <w:color w:val="auto"/>
              </w:rPr>
            </w:pPr>
          </w:p>
        </w:tc>
      </w:tr>
      <w:tr>
        <w:trPr>
          <w:trHeight w:val="230"/>
        </w:trPr>
        <w:tc>
          <w:tcPr>
            <w:tcW w:w="5540" w:type="dxa"/>
            <w:vAlign w:val="bottom"/>
          </w:tcPr>
          <w:p>
            <w:pPr>
              <w:ind w:left="240"/>
              <w:spacing w:after="0"/>
              <w:rPr>
                <w:sz w:val="20"/>
                <w:szCs w:val="20"/>
                <w:color w:val="auto"/>
              </w:rPr>
            </w:pPr>
            <w:r>
              <w:rPr>
                <w:rFonts w:ascii="Arial" w:cs="Arial" w:eastAsia="Arial" w:hAnsi="Arial"/>
                <w:sz w:val="18"/>
                <w:szCs w:val="18"/>
                <w:color w:val="auto"/>
              </w:rPr>
              <w:t>Regulatory assets arising from pension and other</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49"/>
        </w:trPr>
        <w:tc>
          <w:tcPr>
            <w:tcW w:w="5540" w:type="dxa"/>
            <w:vAlign w:val="bottom"/>
          </w:tcPr>
          <w:p>
            <w:pPr>
              <w:ind w:left="380"/>
              <w:spacing w:after="0"/>
              <w:rPr>
                <w:sz w:val="20"/>
                <w:szCs w:val="20"/>
                <w:color w:val="auto"/>
              </w:rPr>
            </w:pPr>
            <w:r>
              <w:rPr>
                <w:rFonts w:ascii="Arial" w:cs="Arial" w:eastAsia="Arial" w:hAnsi="Arial"/>
                <w:sz w:val="18"/>
                <w:szCs w:val="18"/>
                <w:color w:val="auto"/>
              </w:rPr>
              <w:t>postretirement benefit obligations</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162</w:t>
            </w:r>
          </w:p>
        </w:tc>
        <w:tc>
          <w:tcPr>
            <w:tcW w:w="5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356</w:t>
            </w:r>
          </w:p>
        </w:tc>
        <w:tc>
          <w:tcPr>
            <w:tcW w:w="280" w:type="dxa"/>
            <w:vAlign w:val="bottom"/>
          </w:tcPr>
          <w:p>
            <w:pPr>
              <w:spacing w:after="0"/>
              <w:rPr>
                <w:sz w:val="21"/>
                <w:szCs w:val="21"/>
                <w:color w:val="auto"/>
              </w:rPr>
            </w:pPr>
          </w:p>
        </w:tc>
      </w:tr>
      <w:tr>
        <w:trPr>
          <w:trHeight w:val="250"/>
        </w:trPr>
        <w:tc>
          <w:tcPr>
            <w:tcW w:w="5540" w:type="dxa"/>
            <w:vAlign w:val="bottom"/>
            <w:shd w:val="clear" w:color="auto" w:fill="CCFFCC"/>
          </w:tcPr>
          <w:p>
            <w:pPr>
              <w:ind w:left="240"/>
              <w:spacing w:after="0"/>
              <w:rPr>
                <w:sz w:val="20"/>
                <w:szCs w:val="20"/>
                <w:color w:val="auto"/>
              </w:rPr>
            </w:pPr>
            <w:r>
              <w:rPr>
                <w:rFonts w:ascii="Arial" w:cs="Arial" w:eastAsia="Arial" w:hAnsi="Arial"/>
                <w:sz w:val="18"/>
                <w:szCs w:val="18"/>
                <w:color w:val="auto"/>
              </w:rPr>
              <w:t>Other regulatory assets</w:t>
            </w:r>
          </w:p>
        </w:tc>
        <w:tc>
          <w:tcPr>
            <w:tcW w:w="240" w:type="dxa"/>
            <w:vAlign w:val="bottom"/>
            <w:shd w:val="clear" w:color="auto" w:fill="CCFFCC"/>
          </w:tcPr>
          <w:p>
            <w:pPr>
              <w:spacing w:after="0"/>
              <w:rPr>
                <w:sz w:val="21"/>
                <w:szCs w:val="21"/>
                <w:color w:val="auto"/>
              </w:rPr>
            </w:pPr>
          </w:p>
        </w:tc>
        <w:tc>
          <w:tcPr>
            <w:tcW w:w="320" w:type="dxa"/>
            <w:vAlign w:val="bottom"/>
            <w:shd w:val="clear" w:color="auto" w:fill="CCFFCC"/>
          </w:tcPr>
          <w:p>
            <w:pPr>
              <w:spacing w:after="0"/>
              <w:rPr>
                <w:sz w:val="21"/>
                <w:szCs w:val="21"/>
                <w:color w:val="auto"/>
              </w:rPr>
            </w:pPr>
          </w:p>
        </w:tc>
        <w:tc>
          <w:tcPr>
            <w:tcW w:w="92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460</w:t>
            </w:r>
          </w:p>
        </w:tc>
        <w:tc>
          <w:tcPr>
            <w:tcW w:w="540" w:type="dxa"/>
            <w:vAlign w:val="bottom"/>
            <w:shd w:val="clear" w:color="auto" w:fill="CCFFCC"/>
          </w:tcPr>
          <w:p>
            <w:pPr>
              <w:spacing w:after="0"/>
              <w:rPr>
                <w:sz w:val="21"/>
                <w:szCs w:val="21"/>
                <w:color w:val="auto"/>
              </w:rPr>
            </w:pP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472</w:t>
            </w:r>
          </w:p>
        </w:tc>
        <w:tc>
          <w:tcPr>
            <w:tcW w:w="280" w:type="dxa"/>
            <w:vAlign w:val="bottom"/>
            <w:shd w:val="clear" w:color="auto" w:fill="CCFFCC"/>
          </w:tcPr>
          <w:p>
            <w:pPr>
              <w:spacing w:after="0"/>
              <w:rPr>
                <w:sz w:val="21"/>
                <w:szCs w:val="21"/>
                <w:color w:val="auto"/>
              </w:rPr>
            </w:pPr>
          </w:p>
        </w:tc>
      </w:tr>
      <w:tr>
        <w:trPr>
          <w:trHeight w:val="237"/>
        </w:trPr>
        <w:tc>
          <w:tcPr>
            <w:tcW w:w="5540" w:type="dxa"/>
            <w:vAlign w:val="bottom"/>
          </w:tcPr>
          <w:p>
            <w:pPr>
              <w:ind w:left="240"/>
              <w:spacing w:after="0"/>
              <w:rPr>
                <w:sz w:val="20"/>
                <w:szCs w:val="20"/>
                <w:color w:val="auto"/>
              </w:rPr>
            </w:pPr>
            <w:r>
              <w:rPr>
                <w:rFonts w:ascii="Arial" w:cs="Arial" w:eastAsia="Arial" w:hAnsi="Arial"/>
                <w:sz w:val="18"/>
                <w:szCs w:val="18"/>
                <w:color w:val="auto"/>
              </w:rPr>
              <w:t>Nuclear decommissioning trusts</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739</w:t>
            </w:r>
          </w:p>
        </w:tc>
        <w:tc>
          <w:tcPr>
            <w:tcW w:w="5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702</w:t>
            </w:r>
          </w:p>
        </w:tc>
        <w:tc>
          <w:tcPr>
            <w:tcW w:w="280" w:type="dxa"/>
            <w:vAlign w:val="bottom"/>
          </w:tcPr>
          <w:p>
            <w:pPr>
              <w:spacing w:after="0"/>
              <w:rPr>
                <w:sz w:val="20"/>
                <w:szCs w:val="20"/>
                <w:color w:val="auto"/>
              </w:rPr>
            </w:pPr>
          </w:p>
        </w:tc>
      </w:tr>
      <w:tr>
        <w:trPr>
          <w:trHeight w:val="249"/>
        </w:trPr>
        <w:tc>
          <w:tcPr>
            <w:tcW w:w="5540" w:type="dxa"/>
            <w:vAlign w:val="bottom"/>
            <w:shd w:val="clear" w:color="auto" w:fill="CCFFCC"/>
          </w:tcPr>
          <w:p>
            <w:pPr>
              <w:ind w:left="240"/>
              <w:spacing w:after="0"/>
              <w:rPr>
                <w:sz w:val="20"/>
                <w:szCs w:val="20"/>
                <w:color w:val="auto"/>
              </w:rPr>
            </w:pPr>
            <w:r>
              <w:rPr>
                <w:rFonts w:ascii="Arial" w:cs="Arial" w:eastAsia="Arial" w:hAnsi="Arial"/>
                <w:sz w:val="18"/>
                <w:szCs w:val="18"/>
                <w:color w:val="auto"/>
              </w:rPr>
              <w:t>Investments</w:t>
            </w:r>
          </w:p>
        </w:tc>
        <w:tc>
          <w:tcPr>
            <w:tcW w:w="240" w:type="dxa"/>
            <w:vAlign w:val="bottom"/>
            <w:shd w:val="clear" w:color="auto" w:fill="CCFFCC"/>
          </w:tcPr>
          <w:p>
            <w:pPr>
              <w:spacing w:after="0"/>
              <w:rPr>
                <w:sz w:val="21"/>
                <w:szCs w:val="21"/>
                <w:color w:val="auto"/>
              </w:rPr>
            </w:pPr>
          </w:p>
        </w:tc>
        <w:tc>
          <w:tcPr>
            <w:tcW w:w="320" w:type="dxa"/>
            <w:vAlign w:val="bottom"/>
            <w:shd w:val="clear" w:color="auto" w:fill="CCFFCC"/>
          </w:tcPr>
          <w:p>
            <w:pPr>
              <w:spacing w:after="0"/>
              <w:rPr>
                <w:sz w:val="21"/>
                <w:szCs w:val="21"/>
                <w:color w:val="auto"/>
              </w:rPr>
            </w:pPr>
          </w:p>
        </w:tc>
        <w:tc>
          <w:tcPr>
            <w:tcW w:w="92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1,243</w:t>
            </w:r>
          </w:p>
        </w:tc>
        <w:tc>
          <w:tcPr>
            <w:tcW w:w="540" w:type="dxa"/>
            <w:vAlign w:val="bottom"/>
            <w:shd w:val="clear" w:color="auto" w:fill="CCFFCC"/>
          </w:tcPr>
          <w:p>
            <w:pPr>
              <w:spacing w:after="0"/>
              <w:rPr>
                <w:sz w:val="21"/>
                <w:szCs w:val="21"/>
                <w:color w:val="auto"/>
              </w:rPr>
            </w:pP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1,086</w:t>
            </w:r>
          </w:p>
        </w:tc>
        <w:tc>
          <w:tcPr>
            <w:tcW w:w="280" w:type="dxa"/>
            <w:vAlign w:val="bottom"/>
            <w:shd w:val="clear" w:color="auto" w:fill="CCFFCC"/>
          </w:tcPr>
          <w:p>
            <w:pPr>
              <w:spacing w:after="0"/>
              <w:rPr>
                <w:sz w:val="21"/>
                <w:szCs w:val="21"/>
                <w:color w:val="auto"/>
              </w:rPr>
            </w:pPr>
          </w:p>
        </w:tc>
      </w:tr>
      <w:tr>
        <w:trPr>
          <w:trHeight w:val="243"/>
        </w:trPr>
        <w:tc>
          <w:tcPr>
            <w:tcW w:w="5540" w:type="dxa"/>
            <w:vAlign w:val="bottom"/>
          </w:tcPr>
          <w:p>
            <w:pPr>
              <w:ind w:left="240"/>
              <w:spacing w:after="0"/>
              <w:rPr>
                <w:sz w:val="20"/>
                <w:szCs w:val="20"/>
                <w:color w:val="auto"/>
              </w:rPr>
            </w:pPr>
            <w:r>
              <w:rPr>
                <w:rFonts w:ascii="Arial" w:cs="Arial" w:eastAsia="Arial" w:hAnsi="Arial"/>
                <w:sz w:val="18"/>
                <w:szCs w:val="18"/>
                <w:color w:val="auto"/>
              </w:rPr>
              <w:t>Sundry</w:t>
            </w:r>
          </w:p>
        </w:tc>
        <w:tc>
          <w:tcPr>
            <w:tcW w:w="2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956</w:t>
            </w:r>
          </w:p>
        </w:tc>
        <w:tc>
          <w:tcPr>
            <w:tcW w:w="5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789</w:t>
            </w:r>
          </w:p>
        </w:tc>
        <w:tc>
          <w:tcPr>
            <w:tcW w:w="280" w:type="dxa"/>
            <w:vAlign w:val="bottom"/>
            <w:tcBorders>
              <w:bottom w:val="single" w:sz="8" w:color="auto"/>
            </w:tcBorders>
          </w:tcPr>
          <w:p>
            <w:pPr>
              <w:spacing w:after="0"/>
              <w:rPr>
                <w:sz w:val="21"/>
                <w:szCs w:val="21"/>
                <w:color w:val="auto"/>
              </w:rPr>
            </w:pPr>
          </w:p>
        </w:tc>
      </w:tr>
      <w:tr>
        <w:trPr>
          <w:trHeight w:val="237"/>
        </w:trPr>
        <w:tc>
          <w:tcPr>
            <w:tcW w:w="5540" w:type="dxa"/>
            <w:vAlign w:val="bottom"/>
            <w:tcBorders>
              <w:bottom w:val="single" w:sz="8" w:color="CCFFCC"/>
            </w:tcBorders>
            <w:shd w:val="clear" w:color="auto" w:fill="CCFFCC"/>
          </w:tcPr>
          <w:p>
            <w:pPr>
              <w:ind w:left="920"/>
              <w:spacing w:after="0"/>
              <w:rPr>
                <w:sz w:val="20"/>
                <w:szCs w:val="20"/>
                <w:color w:val="auto"/>
              </w:rPr>
            </w:pPr>
            <w:r>
              <w:rPr>
                <w:rFonts w:ascii="Arial" w:cs="Arial" w:eastAsia="Arial" w:hAnsi="Arial"/>
                <w:sz w:val="18"/>
                <w:szCs w:val="18"/>
                <w:color w:val="auto"/>
              </w:rPr>
              <w:t>Total investments and other assets</w:t>
            </w:r>
          </w:p>
        </w:tc>
        <w:tc>
          <w:tcPr>
            <w:tcW w:w="240" w:type="dxa"/>
            <w:vAlign w:val="bottom"/>
            <w:tcBorders>
              <w:bottom w:val="single" w:sz="8" w:color="CCFFCC"/>
            </w:tcBorders>
            <w:shd w:val="clear" w:color="auto" w:fill="CCFFCC"/>
          </w:tcPr>
          <w:p>
            <w:pPr>
              <w:spacing w:after="0"/>
              <w:rPr>
                <w:sz w:val="20"/>
                <w:szCs w:val="20"/>
                <w:color w:val="auto"/>
              </w:rPr>
            </w:pPr>
          </w:p>
        </w:tc>
        <w:tc>
          <w:tcPr>
            <w:tcW w:w="320" w:type="dxa"/>
            <w:vAlign w:val="bottom"/>
            <w:tcBorders>
              <w:bottom w:val="single" w:sz="8" w:color="auto"/>
            </w:tcBorders>
            <w:shd w:val="clear" w:color="auto" w:fill="CCFFCC"/>
          </w:tcPr>
          <w:p>
            <w:pPr>
              <w:spacing w:after="0"/>
              <w:rPr>
                <w:sz w:val="20"/>
                <w:szCs w:val="20"/>
                <w:color w:val="auto"/>
              </w:rPr>
            </w:pPr>
          </w:p>
        </w:tc>
        <w:tc>
          <w:tcPr>
            <w:tcW w:w="920" w:type="dxa"/>
            <w:vAlign w:val="bottom"/>
            <w:tcBorders>
              <w:bottom w:val="single" w:sz="8" w:color="auto"/>
            </w:tcBorders>
            <w:shd w:val="clear" w:color="auto" w:fill="CCFFCC"/>
          </w:tcPr>
          <w:p>
            <w:pPr>
              <w:jc w:val="right"/>
              <w:ind w:right="110"/>
              <w:spacing w:after="0"/>
              <w:rPr>
                <w:sz w:val="20"/>
                <w:szCs w:val="20"/>
                <w:color w:val="auto"/>
              </w:rPr>
            </w:pPr>
            <w:r>
              <w:rPr>
                <w:rFonts w:ascii="Arial" w:cs="Arial" w:eastAsia="Arial" w:hAnsi="Arial"/>
                <w:sz w:val="18"/>
                <w:szCs w:val="18"/>
                <w:color w:val="auto"/>
              </w:rPr>
              <w:t>3,869</w:t>
            </w:r>
          </w:p>
        </w:tc>
        <w:tc>
          <w:tcPr>
            <w:tcW w:w="540" w:type="dxa"/>
            <w:vAlign w:val="bottom"/>
            <w:tcBorders>
              <w:bottom w:val="single" w:sz="8" w:color="auto"/>
            </w:tcBorders>
            <w:shd w:val="clear" w:color="auto" w:fill="CCFFCC"/>
          </w:tcPr>
          <w:p>
            <w:pPr>
              <w:spacing w:after="0"/>
              <w:rPr>
                <w:sz w:val="20"/>
                <w:szCs w:val="20"/>
                <w:color w:val="auto"/>
              </w:rPr>
            </w:pPr>
          </w:p>
        </w:tc>
        <w:tc>
          <w:tcPr>
            <w:tcW w:w="7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3,758</w:t>
            </w:r>
          </w:p>
        </w:tc>
        <w:tc>
          <w:tcPr>
            <w:tcW w:w="280" w:type="dxa"/>
            <w:vAlign w:val="bottom"/>
            <w:tcBorders>
              <w:bottom w:val="single" w:sz="8" w:color="auto"/>
            </w:tcBorders>
            <w:shd w:val="clear" w:color="auto" w:fill="CCFFCC"/>
          </w:tcPr>
          <w:p>
            <w:pPr>
              <w:spacing w:after="0"/>
              <w:rPr>
                <w:sz w:val="20"/>
                <w:szCs w:val="20"/>
                <w:color w:val="auto"/>
              </w:rPr>
            </w:pPr>
          </w:p>
        </w:tc>
      </w:tr>
      <w:tr>
        <w:trPr>
          <w:trHeight w:val="237"/>
        </w:trPr>
        <w:tc>
          <w:tcPr>
            <w:tcW w:w="5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43"/>
        </w:trPr>
        <w:tc>
          <w:tcPr>
            <w:tcW w:w="5540" w:type="dxa"/>
            <w:vAlign w:val="bottom"/>
            <w:shd w:val="clear" w:color="auto" w:fill="CCFFCC"/>
          </w:tcPr>
          <w:p>
            <w:pPr>
              <w:spacing w:after="0"/>
              <w:rPr>
                <w:sz w:val="20"/>
                <w:szCs w:val="20"/>
                <w:color w:val="auto"/>
              </w:rPr>
            </w:pPr>
            <w:r>
              <w:rPr>
                <w:rFonts w:ascii="Arial" w:cs="Arial" w:eastAsia="Arial" w:hAnsi="Arial"/>
                <w:sz w:val="18"/>
                <w:szCs w:val="18"/>
                <w:color w:val="auto"/>
              </w:rPr>
              <w:t>Property, plant and equipment:</w:t>
            </w:r>
          </w:p>
        </w:tc>
        <w:tc>
          <w:tcPr>
            <w:tcW w:w="240" w:type="dxa"/>
            <w:vAlign w:val="bottom"/>
            <w:shd w:val="clear" w:color="auto" w:fill="CCFFCC"/>
          </w:tcPr>
          <w:p>
            <w:pPr>
              <w:spacing w:after="0"/>
              <w:rPr>
                <w:sz w:val="21"/>
                <w:szCs w:val="21"/>
                <w:color w:val="auto"/>
              </w:rPr>
            </w:pPr>
          </w:p>
        </w:tc>
        <w:tc>
          <w:tcPr>
            <w:tcW w:w="320" w:type="dxa"/>
            <w:vAlign w:val="bottom"/>
            <w:shd w:val="clear" w:color="auto" w:fill="CCFFCC"/>
          </w:tcPr>
          <w:p>
            <w:pPr>
              <w:spacing w:after="0"/>
              <w:rPr>
                <w:sz w:val="21"/>
                <w:szCs w:val="21"/>
                <w:color w:val="auto"/>
              </w:rPr>
            </w:pPr>
          </w:p>
        </w:tc>
        <w:tc>
          <w:tcPr>
            <w:tcW w:w="920" w:type="dxa"/>
            <w:vAlign w:val="bottom"/>
            <w:shd w:val="clear" w:color="auto" w:fill="CCFFCC"/>
          </w:tcPr>
          <w:p>
            <w:pPr>
              <w:spacing w:after="0"/>
              <w:rPr>
                <w:sz w:val="21"/>
                <w:szCs w:val="21"/>
                <w:color w:val="auto"/>
              </w:rPr>
            </w:pPr>
          </w:p>
        </w:tc>
        <w:tc>
          <w:tcPr>
            <w:tcW w:w="540" w:type="dxa"/>
            <w:vAlign w:val="bottom"/>
            <w:shd w:val="clear" w:color="auto" w:fill="CCFFCC"/>
          </w:tcPr>
          <w:p>
            <w:pPr>
              <w:spacing w:after="0"/>
              <w:rPr>
                <w:sz w:val="21"/>
                <w:szCs w:val="21"/>
                <w:color w:val="auto"/>
              </w:rPr>
            </w:pPr>
          </w:p>
        </w:tc>
        <w:tc>
          <w:tcPr>
            <w:tcW w:w="720" w:type="dxa"/>
            <w:vAlign w:val="bottom"/>
            <w:shd w:val="clear" w:color="auto" w:fill="CCFFCC"/>
          </w:tcPr>
          <w:p>
            <w:pPr>
              <w:spacing w:after="0"/>
              <w:rPr>
                <w:sz w:val="21"/>
                <w:szCs w:val="21"/>
                <w:color w:val="auto"/>
              </w:rPr>
            </w:pPr>
          </w:p>
        </w:tc>
        <w:tc>
          <w:tcPr>
            <w:tcW w:w="280" w:type="dxa"/>
            <w:vAlign w:val="bottom"/>
            <w:shd w:val="clear" w:color="auto" w:fill="CCFFCC"/>
          </w:tcPr>
          <w:p>
            <w:pPr>
              <w:spacing w:after="0"/>
              <w:rPr>
                <w:sz w:val="21"/>
                <w:szCs w:val="21"/>
                <w:color w:val="auto"/>
              </w:rPr>
            </w:pPr>
          </w:p>
        </w:tc>
      </w:tr>
      <w:tr>
        <w:trPr>
          <w:trHeight w:val="237"/>
        </w:trPr>
        <w:tc>
          <w:tcPr>
            <w:tcW w:w="5540" w:type="dxa"/>
            <w:vAlign w:val="bottom"/>
          </w:tcPr>
          <w:p>
            <w:pPr>
              <w:ind w:left="240"/>
              <w:spacing w:after="0"/>
              <w:rPr>
                <w:sz w:val="20"/>
                <w:szCs w:val="20"/>
                <w:color w:val="auto"/>
              </w:rPr>
            </w:pPr>
            <w:r>
              <w:rPr>
                <w:rFonts w:ascii="Arial" w:cs="Arial" w:eastAsia="Arial" w:hAnsi="Arial"/>
                <w:sz w:val="18"/>
                <w:szCs w:val="18"/>
                <w:color w:val="auto"/>
              </w:rPr>
              <w:t>Property, plant and equipment</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20,917</w:t>
            </w:r>
          </w:p>
        </w:tc>
        <w:tc>
          <w:tcPr>
            <w:tcW w:w="5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18,916</w:t>
            </w:r>
          </w:p>
        </w:tc>
        <w:tc>
          <w:tcPr>
            <w:tcW w:w="280" w:type="dxa"/>
            <w:vAlign w:val="bottom"/>
          </w:tcPr>
          <w:p>
            <w:pPr>
              <w:spacing w:after="0"/>
              <w:rPr>
                <w:sz w:val="20"/>
                <w:szCs w:val="20"/>
                <w:color w:val="auto"/>
              </w:rPr>
            </w:pPr>
          </w:p>
        </w:tc>
      </w:tr>
      <w:tr>
        <w:trPr>
          <w:trHeight w:val="249"/>
        </w:trPr>
        <w:tc>
          <w:tcPr>
            <w:tcW w:w="5540" w:type="dxa"/>
            <w:vAlign w:val="bottom"/>
            <w:tcBorders>
              <w:bottom w:val="single" w:sz="8" w:color="CCFFCC"/>
            </w:tcBorders>
            <w:shd w:val="clear" w:color="auto" w:fill="CCFFCC"/>
          </w:tcPr>
          <w:p>
            <w:pPr>
              <w:ind w:left="240"/>
              <w:spacing w:after="0"/>
              <w:rPr>
                <w:sz w:val="20"/>
                <w:szCs w:val="20"/>
                <w:color w:val="auto"/>
              </w:rPr>
            </w:pPr>
            <w:r>
              <w:rPr>
                <w:rFonts w:ascii="Arial" w:cs="Arial" w:eastAsia="Arial" w:hAnsi="Arial"/>
                <w:sz w:val="18"/>
                <w:szCs w:val="18"/>
                <w:color w:val="auto"/>
              </w:rPr>
              <w:t>Less accumulated depreciation and amortization</w:t>
            </w:r>
          </w:p>
        </w:tc>
        <w:tc>
          <w:tcPr>
            <w:tcW w:w="240" w:type="dxa"/>
            <w:vAlign w:val="bottom"/>
            <w:tcBorders>
              <w:bottom w:val="single" w:sz="8" w:color="CCFFCC"/>
            </w:tcBorders>
            <w:shd w:val="clear" w:color="auto" w:fill="CCFFCC"/>
          </w:tcPr>
          <w:p>
            <w:pPr>
              <w:spacing w:after="0"/>
              <w:rPr>
                <w:sz w:val="21"/>
                <w:szCs w:val="21"/>
                <w:color w:val="auto"/>
              </w:rPr>
            </w:pPr>
          </w:p>
        </w:tc>
        <w:tc>
          <w:tcPr>
            <w:tcW w:w="320" w:type="dxa"/>
            <w:vAlign w:val="bottom"/>
            <w:tcBorders>
              <w:bottom w:val="single" w:sz="8" w:color="auto"/>
            </w:tcBorders>
            <w:shd w:val="clear" w:color="auto" w:fill="CCFFCC"/>
          </w:tcPr>
          <w:p>
            <w:pPr>
              <w:spacing w:after="0"/>
              <w:rPr>
                <w:sz w:val="21"/>
                <w:szCs w:val="21"/>
                <w:color w:val="auto"/>
              </w:rPr>
            </w:pPr>
          </w:p>
        </w:tc>
        <w:tc>
          <w:tcPr>
            <w:tcW w:w="920" w:type="dxa"/>
            <w:vAlign w:val="bottom"/>
            <w:tcBorders>
              <w:bottom w:val="single" w:sz="8" w:color="auto"/>
            </w:tcBorders>
            <w:shd w:val="clear" w:color="auto" w:fill="CCFFCC"/>
          </w:tcPr>
          <w:p>
            <w:pPr>
              <w:jc w:val="right"/>
              <w:ind w:right="30"/>
              <w:spacing w:after="0"/>
              <w:rPr>
                <w:sz w:val="20"/>
                <w:szCs w:val="20"/>
                <w:color w:val="auto"/>
              </w:rPr>
            </w:pPr>
            <w:r>
              <w:rPr>
                <w:rFonts w:ascii="Arial" w:cs="Arial" w:eastAsia="Arial" w:hAnsi="Arial"/>
                <w:sz w:val="18"/>
                <w:szCs w:val="18"/>
                <w:color w:val="auto"/>
              </w:rPr>
              <w:t>(6,033 )</w:t>
            </w:r>
          </w:p>
        </w:tc>
        <w:tc>
          <w:tcPr>
            <w:tcW w:w="540" w:type="dxa"/>
            <w:vAlign w:val="bottom"/>
            <w:tcBorders>
              <w:bottom w:val="single" w:sz="8" w:color="auto"/>
            </w:tcBorders>
            <w:shd w:val="clear" w:color="auto" w:fill="CCFFCC"/>
          </w:tcPr>
          <w:p>
            <w:pPr>
              <w:spacing w:after="0"/>
              <w:rPr>
                <w:sz w:val="21"/>
                <w:szCs w:val="21"/>
                <w:color w:val="auto"/>
              </w:rPr>
            </w:pPr>
          </w:p>
        </w:tc>
        <w:tc>
          <w:tcPr>
            <w:tcW w:w="1000" w:type="dxa"/>
            <w:vAlign w:val="bottom"/>
            <w:tcBorders>
              <w:bottom w:val="single" w:sz="8" w:color="auto"/>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(5,741 )</w:t>
            </w:r>
          </w:p>
        </w:tc>
      </w:tr>
      <w:tr>
        <w:trPr>
          <w:trHeight w:val="237"/>
        </w:trPr>
        <w:tc>
          <w:tcPr>
            <w:tcW w:w="5540" w:type="dxa"/>
            <w:vAlign w:val="bottom"/>
          </w:tcPr>
          <w:p>
            <w:pPr>
              <w:ind w:left="920"/>
              <w:spacing w:after="0"/>
              <w:rPr>
                <w:sz w:val="20"/>
                <w:szCs w:val="20"/>
                <w:color w:val="auto"/>
              </w:rPr>
            </w:pPr>
            <w:r>
              <w:rPr>
                <w:rFonts w:ascii="Arial" w:cs="Arial" w:eastAsia="Arial" w:hAnsi="Arial"/>
                <w:sz w:val="18"/>
                <w:szCs w:val="18"/>
                <w:color w:val="auto"/>
              </w:rPr>
              <w:t>Property, plant and equipment, net</w:t>
            </w:r>
          </w:p>
        </w:tc>
        <w:tc>
          <w:tcPr>
            <w:tcW w:w="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14,884</w:t>
            </w:r>
          </w:p>
        </w:tc>
        <w:tc>
          <w:tcPr>
            <w:tcW w:w="5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13,175</w:t>
            </w:r>
          </w:p>
        </w:tc>
        <w:tc>
          <w:tcPr>
            <w:tcW w:w="280" w:type="dxa"/>
            <w:vAlign w:val="bottom"/>
            <w:tcBorders>
              <w:bottom w:val="single" w:sz="8" w:color="auto"/>
            </w:tcBorders>
          </w:tcPr>
          <w:p>
            <w:pPr>
              <w:spacing w:after="0"/>
              <w:rPr>
                <w:sz w:val="20"/>
                <w:szCs w:val="20"/>
                <w:color w:val="auto"/>
              </w:rPr>
            </w:pPr>
          </w:p>
        </w:tc>
      </w:tr>
      <w:tr>
        <w:trPr>
          <w:trHeight w:val="257"/>
        </w:trPr>
        <w:tc>
          <w:tcPr>
            <w:tcW w:w="55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CCFFCC"/>
            </w:tcBorders>
            <w:shd w:val="clear" w:color="auto" w:fill="CCFFCC"/>
          </w:tcPr>
          <w:p>
            <w:pPr>
              <w:spacing w:after="0"/>
              <w:rPr>
                <w:sz w:val="22"/>
                <w:szCs w:val="22"/>
                <w:color w:val="auto"/>
              </w:rPr>
            </w:pPr>
          </w:p>
        </w:tc>
        <w:tc>
          <w:tcPr>
            <w:tcW w:w="320" w:type="dxa"/>
            <w:vAlign w:val="bottom"/>
            <w:tcBorders>
              <w:bottom w:val="single" w:sz="8" w:color="auto"/>
            </w:tcBorders>
            <w:shd w:val="clear" w:color="auto" w:fill="CCFFCC"/>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FFCC"/>
          </w:tcPr>
          <w:p>
            <w:pPr>
              <w:jc w:val="right"/>
              <w:ind w:right="110"/>
              <w:spacing w:after="0"/>
              <w:rPr>
                <w:sz w:val="20"/>
                <w:szCs w:val="20"/>
                <w:color w:val="auto"/>
              </w:rPr>
            </w:pPr>
            <w:r>
              <w:rPr>
                <w:rFonts w:ascii="Arial" w:cs="Arial" w:eastAsia="Arial" w:hAnsi="Arial"/>
                <w:sz w:val="18"/>
                <w:szCs w:val="18"/>
                <w:color w:val="auto"/>
              </w:rPr>
              <w:t>30,091</w:t>
            </w:r>
          </w:p>
        </w:tc>
        <w:tc>
          <w:tcPr>
            <w:tcW w:w="540" w:type="dxa"/>
            <w:vAlign w:val="bottom"/>
            <w:tcBorders>
              <w:bottom w:val="single" w:sz="8" w:color="auto"/>
            </w:tcBorders>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28,949</w:t>
            </w:r>
          </w:p>
        </w:tc>
        <w:tc>
          <w:tcPr>
            <w:tcW w:w="280" w:type="dxa"/>
            <w:vAlign w:val="bottom"/>
            <w:tcBorders>
              <w:bottom w:val="single" w:sz="8" w:color="auto"/>
            </w:tcBorders>
            <w:shd w:val="clear" w:color="auto" w:fill="CCFFCC"/>
          </w:tcPr>
          <w:p>
            <w:pPr>
              <w:spacing w:after="0"/>
              <w:rPr>
                <w:sz w:val="22"/>
                <w:szCs w:val="22"/>
                <w:color w:val="auto"/>
              </w:rPr>
            </w:pPr>
          </w:p>
        </w:tc>
      </w:tr>
    </w:tbl>
    <w:p>
      <w:pPr>
        <w:spacing w:after="0" w:line="242"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20"/>
          <w:szCs w:val="20"/>
          <w:color w:val="auto"/>
        </w:rPr>
        <w:t>49</w:t>
      </w:r>
    </w:p>
    <w:p>
      <w:pPr>
        <w:sectPr>
          <w:pgSz w:w="11900" w:h="16838" w:orient="portrait"/>
          <w:cols w:equalWidth="0" w:num="1">
            <w:col w:w="10219"/>
          </w:cols>
          <w:pgMar w:left="240" w:top="409" w:right="1440" w:bottom="1440" w:gutter="0" w:footer="0" w:header="0"/>
        </w:sectPr>
      </w:pPr>
    </w:p>
    <w:bookmarkStart w:id="117" w:name="page118"/>
    <w:bookmarkEnd w:id="117"/>
    <w:p>
      <w:pPr>
        <w:ind w:left="1540"/>
        <w:spacing w:after="0"/>
        <w:rPr>
          <w:sz w:val="20"/>
          <w:szCs w:val="20"/>
          <w:color w:val="auto"/>
        </w:rPr>
      </w:pPr>
      <w:r>
        <w:rPr>
          <w:rFonts w:ascii="Arial" w:cs="Arial" w:eastAsia="Arial" w:hAnsi="Arial"/>
          <w:sz w:val="18"/>
          <w:szCs w:val="18"/>
          <w:color w:val="auto"/>
        </w:rPr>
        <w:t>SEMPRA ENERGY</w:t>
      </w:r>
    </w:p>
    <w:p>
      <w:pPr>
        <w:spacing w:after="0" w:line="36"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CONSOLIDATED BALANCE SHEETS</w:t>
      </w:r>
    </w:p>
    <w:p>
      <w:pPr>
        <w:spacing w:after="0" w:line="279" w:lineRule="exact"/>
        <w:rPr>
          <w:sz w:val="20"/>
          <w:szCs w:val="20"/>
          <w:color w:val="auto"/>
        </w:rPr>
      </w:pPr>
    </w:p>
    <w:tbl>
      <w:tblPr>
        <w:tblLayout w:type="fixed"/>
        <w:tblInd w:w="1540" w:type="dxa"/>
        <w:tblCellMar>
          <w:top w:w="0" w:type="dxa"/>
          <w:left w:w="0" w:type="dxa"/>
          <w:bottom w:w="0" w:type="dxa"/>
          <w:right w:w="0" w:type="dxa"/>
        </w:tblCellMar>
      </w:tblPr>
      <w:tr>
        <w:trPr>
          <w:trHeight w:val="237"/>
        </w:trPr>
        <w:tc>
          <w:tcPr>
            <w:tcW w:w="5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(Dollars in millions)</w:t>
            </w:r>
          </w:p>
        </w:tc>
        <w:tc>
          <w:tcPr>
            <w:tcW w:w="310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color w:val="auto"/>
                <w:w w:val="94"/>
              </w:rPr>
              <w:t>December 31, 2007 December 31, 2006</w:t>
            </w:r>
          </w:p>
        </w:tc>
      </w:tr>
      <w:tr>
        <w:trPr>
          <w:trHeight w:val="243"/>
        </w:trPr>
        <w:tc>
          <w:tcPr>
            <w:tcW w:w="5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43"/>
        </w:trPr>
        <w:tc>
          <w:tcPr>
            <w:tcW w:w="5260" w:type="dxa"/>
            <w:vAlign w:val="bottom"/>
            <w:shd w:val="clear" w:color="auto" w:fill="CCFFCC"/>
          </w:tcPr>
          <w:p>
            <w:pPr>
              <w:spacing w:after="0"/>
              <w:rPr>
                <w:sz w:val="20"/>
                <w:szCs w:val="20"/>
                <w:color w:val="auto"/>
              </w:rPr>
            </w:pPr>
            <w:r>
              <w:rPr>
                <w:rFonts w:ascii="Arial" w:cs="Arial" w:eastAsia="Arial" w:hAnsi="Arial"/>
                <w:sz w:val="18"/>
                <w:szCs w:val="18"/>
                <w:color w:val="auto"/>
              </w:rPr>
              <w:t>LIABILITIES AND SHAREHOLDERS' EQUITY</w:t>
            </w:r>
          </w:p>
        </w:tc>
        <w:tc>
          <w:tcPr>
            <w:tcW w:w="440" w:type="dxa"/>
            <w:vAlign w:val="bottom"/>
            <w:shd w:val="clear" w:color="auto" w:fill="CCFFCC"/>
          </w:tcPr>
          <w:p>
            <w:pPr>
              <w:spacing w:after="0"/>
              <w:rPr>
                <w:sz w:val="21"/>
                <w:szCs w:val="21"/>
                <w:color w:val="auto"/>
              </w:rPr>
            </w:pPr>
          </w:p>
        </w:tc>
        <w:tc>
          <w:tcPr>
            <w:tcW w:w="280" w:type="dxa"/>
            <w:vAlign w:val="bottom"/>
            <w:shd w:val="clear" w:color="auto" w:fill="CCFFCC"/>
          </w:tcPr>
          <w:p>
            <w:pPr>
              <w:spacing w:after="0"/>
              <w:rPr>
                <w:sz w:val="21"/>
                <w:szCs w:val="21"/>
                <w:color w:val="auto"/>
              </w:rPr>
            </w:pPr>
          </w:p>
        </w:tc>
        <w:tc>
          <w:tcPr>
            <w:tcW w:w="122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000" w:type="dxa"/>
            <w:vAlign w:val="bottom"/>
            <w:shd w:val="clear" w:color="auto" w:fill="CCFFCC"/>
          </w:tcPr>
          <w:p>
            <w:pPr>
              <w:spacing w:after="0"/>
              <w:rPr>
                <w:sz w:val="21"/>
                <w:szCs w:val="21"/>
                <w:color w:val="auto"/>
              </w:rPr>
            </w:pPr>
          </w:p>
        </w:tc>
      </w:tr>
      <w:tr>
        <w:trPr>
          <w:trHeight w:val="237"/>
        </w:trPr>
        <w:tc>
          <w:tcPr>
            <w:tcW w:w="5260" w:type="dxa"/>
            <w:vAlign w:val="bottom"/>
          </w:tcPr>
          <w:p>
            <w:pPr>
              <w:spacing w:after="0"/>
              <w:rPr>
                <w:sz w:val="20"/>
                <w:szCs w:val="20"/>
                <w:color w:val="auto"/>
              </w:rPr>
            </w:pPr>
            <w:r>
              <w:rPr>
                <w:rFonts w:ascii="Arial" w:cs="Arial" w:eastAsia="Arial" w:hAnsi="Arial"/>
                <w:sz w:val="18"/>
                <w:szCs w:val="18"/>
                <w:color w:val="auto"/>
              </w:rPr>
              <w:t>Current liabilities:</w:t>
            </w: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49"/>
        </w:trPr>
        <w:tc>
          <w:tcPr>
            <w:tcW w:w="5260" w:type="dxa"/>
            <w:vAlign w:val="bottom"/>
            <w:shd w:val="clear" w:color="auto" w:fill="CCFFCC"/>
          </w:tcPr>
          <w:p>
            <w:pPr>
              <w:ind w:left="220"/>
              <w:spacing w:after="0"/>
              <w:rPr>
                <w:sz w:val="20"/>
                <w:szCs w:val="20"/>
                <w:color w:val="auto"/>
              </w:rPr>
            </w:pPr>
            <w:r>
              <w:rPr>
                <w:rFonts w:ascii="Arial" w:cs="Arial" w:eastAsia="Arial" w:hAnsi="Arial"/>
                <w:sz w:val="18"/>
                <w:szCs w:val="18"/>
                <w:color w:val="auto"/>
              </w:rPr>
              <w:t>Short-term debt</w:t>
            </w:r>
          </w:p>
        </w:tc>
        <w:tc>
          <w:tcPr>
            <w:tcW w:w="720" w:type="dxa"/>
            <w:vAlign w:val="bottom"/>
            <w:gridSpan w:val="2"/>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FFCC"/>
          </w:tcPr>
          <w:p>
            <w:pPr>
              <w:jc w:val="right"/>
              <w:ind w:right="470"/>
              <w:spacing w:after="0"/>
              <w:rPr>
                <w:sz w:val="20"/>
                <w:szCs w:val="20"/>
                <w:color w:val="auto"/>
              </w:rPr>
            </w:pPr>
            <w:r>
              <w:rPr>
                <w:rFonts w:ascii="Arial" w:cs="Arial" w:eastAsia="Arial" w:hAnsi="Arial"/>
                <w:sz w:val="18"/>
                <w:szCs w:val="18"/>
                <w:color w:val="auto"/>
              </w:rPr>
              <w:t>1,064</w:t>
            </w:r>
          </w:p>
        </w:tc>
        <w:tc>
          <w:tcPr>
            <w:tcW w:w="160" w:type="dxa"/>
            <w:vAlign w:val="bottom"/>
            <w:shd w:val="clear" w:color="auto" w:fill="CCFFCC"/>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rPr>
              <w:t>252</w:t>
            </w:r>
          </w:p>
        </w:tc>
      </w:tr>
      <w:tr>
        <w:trPr>
          <w:trHeight w:val="237"/>
        </w:trPr>
        <w:tc>
          <w:tcPr>
            <w:tcW w:w="5260" w:type="dxa"/>
            <w:vAlign w:val="bottom"/>
          </w:tcPr>
          <w:p>
            <w:pPr>
              <w:ind w:left="220"/>
              <w:spacing w:after="0"/>
              <w:rPr>
                <w:sz w:val="20"/>
                <w:szCs w:val="20"/>
                <w:color w:val="auto"/>
              </w:rPr>
            </w:pPr>
            <w:r>
              <w:rPr>
                <w:rFonts w:ascii="Arial" w:cs="Arial" w:eastAsia="Arial" w:hAnsi="Arial"/>
                <w:sz w:val="18"/>
                <w:szCs w:val="18"/>
                <w:color w:val="auto"/>
              </w:rPr>
              <w:t>Accounts payable - trade</w:t>
            </w: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ind w:right="470"/>
              <w:spacing w:after="0"/>
              <w:rPr>
                <w:sz w:val="20"/>
                <w:szCs w:val="20"/>
                <w:color w:val="auto"/>
              </w:rPr>
            </w:pPr>
            <w:r>
              <w:rPr>
                <w:rFonts w:ascii="Arial" w:cs="Arial" w:eastAsia="Arial" w:hAnsi="Arial"/>
                <w:sz w:val="18"/>
                <w:szCs w:val="18"/>
                <w:color w:val="auto"/>
              </w:rPr>
              <w:t>1,374</w:t>
            </w:r>
          </w:p>
        </w:tc>
        <w:tc>
          <w:tcPr>
            <w:tcW w:w="160" w:type="dxa"/>
            <w:vAlign w:val="bottom"/>
          </w:tcPr>
          <w:p>
            <w:pPr>
              <w:spacing w:after="0"/>
              <w:rPr>
                <w:sz w:val="20"/>
                <w:szCs w:val="20"/>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1,432</w:t>
            </w:r>
          </w:p>
        </w:tc>
      </w:tr>
      <w:tr>
        <w:trPr>
          <w:trHeight w:val="249"/>
        </w:trPr>
        <w:tc>
          <w:tcPr>
            <w:tcW w:w="5260" w:type="dxa"/>
            <w:vAlign w:val="bottom"/>
            <w:shd w:val="clear" w:color="auto" w:fill="CCFFCC"/>
          </w:tcPr>
          <w:p>
            <w:pPr>
              <w:ind w:left="220"/>
              <w:spacing w:after="0"/>
              <w:rPr>
                <w:sz w:val="20"/>
                <w:szCs w:val="20"/>
                <w:color w:val="auto"/>
              </w:rPr>
            </w:pPr>
            <w:r>
              <w:rPr>
                <w:rFonts w:ascii="Arial" w:cs="Arial" w:eastAsia="Arial" w:hAnsi="Arial"/>
                <w:sz w:val="18"/>
                <w:szCs w:val="18"/>
                <w:color w:val="auto"/>
              </w:rPr>
              <w:t>Accounts payable - other</w:t>
            </w:r>
          </w:p>
        </w:tc>
        <w:tc>
          <w:tcPr>
            <w:tcW w:w="440" w:type="dxa"/>
            <w:vAlign w:val="bottom"/>
            <w:shd w:val="clear" w:color="auto" w:fill="CCFFCC"/>
          </w:tcPr>
          <w:p>
            <w:pPr>
              <w:spacing w:after="0"/>
              <w:rPr>
                <w:sz w:val="21"/>
                <w:szCs w:val="21"/>
                <w:color w:val="auto"/>
              </w:rPr>
            </w:pPr>
          </w:p>
        </w:tc>
        <w:tc>
          <w:tcPr>
            <w:tcW w:w="280" w:type="dxa"/>
            <w:vAlign w:val="bottom"/>
            <w:shd w:val="clear" w:color="auto" w:fill="CCFFCC"/>
          </w:tcPr>
          <w:p>
            <w:pPr>
              <w:spacing w:after="0"/>
              <w:rPr>
                <w:sz w:val="21"/>
                <w:szCs w:val="21"/>
                <w:color w:val="auto"/>
              </w:rPr>
            </w:pPr>
          </w:p>
        </w:tc>
        <w:tc>
          <w:tcPr>
            <w:tcW w:w="1220" w:type="dxa"/>
            <w:vAlign w:val="bottom"/>
            <w:shd w:val="clear" w:color="auto" w:fill="CCFFCC"/>
          </w:tcPr>
          <w:p>
            <w:pPr>
              <w:jc w:val="right"/>
              <w:ind w:right="470"/>
              <w:spacing w:after="0"/>
              <w:rPr>
                <w:sz w:val="20"/>
                <w:szCs w:val="20"/>
                <w:color w:val="auto"/>
              </w:rPr>
            </w:pPr>
            <w:r>
              <w:rPr>
                <w:rFonts w:ascii="Arial" w:cs="Arial" w:eastAsia="Arial" w:hAnsi="Arial"/>
                <w:sz w:val="18"/>
                <w:szCs w:val="18"/>
                <w:color w:val="auto"/>
              </w:rPr>
              <w:t>189</w:t>
            </w:r>
          </w:p>
        </w:tc>
        <w:tc>
          <w:tcPr>
            <w:tcW w:w="160" w:type="dxa"/>
            <w:vAlign w:val="bottom"/>
            <w:shd w:val="clear" w:color="auto" w:fill="CCFFCC"/>
          </w:tcPr>
          <w:p>
            <w:pPr>
              <w:spacing w:after="0"/>
              <w:rPr>
                <w:sz w:val="21"/>
                <w:szCs w:val="21"/>
                <w:color w:val="auto"/>
              </w:rPr>
            </w:pPr>
          </w:p>
        </w:tc>
        <w:tc>
          <w:tcPr>
            <w:tcW w:w="100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rPr>
              <w:t>155</w:t>
            </w:r>
          </w:p>
        </w:tc>
      </w:tr>
      <w:tr>
        <w:trPr>
          <w:trHeight w:val="237"/>
        </w:trPr>
        <w:tc>
          <w:tcPr>
            <w:tcW w:w="5260" w:type="dxa"/>
            <w:vAlign w:val="bottom"/>
          </w:tcPr>
          <w:p>
            <w:pPr>
              <w:ind w:left="220"/>
              <w:spacing w:after="0"/>
              <w:rPr>
                <w:sz w:val="20"/>
                <w:szCs w:val="20"/>
                <w:color w:val="auto"/>
              </w:rPr>
            </w:pPr>
            <w:r>
              <w:rPr>
                <w:rFonts w:ascii="Arial" w:cs="Arial" w:eastAsia="Arial" w:hAnsi="Arial"/>
                <w:sz w:val="18"/>
                <w:szCs w:val="18"/>
                <w:color w:val="auto"/>
              </w:rPr>
              <w:t>Due to unconsolidated affiliate</w:t>
            </w: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ind w:right="470"/>
              <w:spacing w:after="0"/>
              <w:rPr>
                <w:sz w:val="20"/>
                <w:szCs w:val="20"/>
                <w:color w:val="auto"/>
              </w:rPr>
            </w:pPr>
            <w:r>
              <w:rPr>
                <w:rFonts w:ascii="Arial" w:cs="Arial" w:eastAsia="Arial" w:hAnsi="Arial"/>
                <w:sz w:val="18"/>
                <w:szCs w:val="18"/>
                <w:color w:val="auto"/>
              </w:rPr>
              <w:t>60</w:t>
            </w:r>
          </w:p>
        </w:tc>
        <w:tc>
          <w:tcPr>
            <w:tcW w:w="160" w:type="dxa"/>
            <w:vAlign w:val="bottom"/>
          </w:tcPr>
          <w:p>
            <w:pPr>
              <w:spacing w:after="0"/>
              <w:rPr>
                <w:sz w:val="20"/>
                <w:szCs w:val="20"/>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49"/>
        </w:trPr>
        <w:tc>
          <w:tcPr>
            <w:tcW w:w="5260" w:type="dxa"/>
            <w:vAlign w:val="bottom"/>
            <w:shd w:val="clear" w:color="auto" w:fill="CCFFCC"/>
          </w:tcPr>
          <w:p>
            <w:pPr>
              <w:ind w:left="220"/>
              <w:spacing w:after="0"/>
              <w:rPr>
                <w:sz w:val="20"/>
                <w:szCs w:val="20"/>
                <w:color w:val="auto"/>
              </w:rPr>
            </w:pPr>
            <w:r>
              <w:rPr>
                <w:rFonts w:ascii="Arial" w:cs="Arial" w:eastAsia="Arial" w:hAnsi="Arial"/>
                <w:sz w:val="18"/>
                <w:szCs w:val="18"/>
                <w:color w:val="auto"/>
              </w:rPr>
              <w:t>Income taxes payable</w:t>
            </w:r>
          </w:p>
        </w:tc>
        <w:tc>
          <w:tcPr>
            <w:tcW w:w="440" w:type="dxa"/>
            <w:vAlign w:val="bottom"/>
            <w:shd w:val="clear" w:color="auto" w:fill="CCFFCC"/>
          </w:tcPr>
          <w:p>
            <w:pPr>
              <w:spacing w:after="0"/>
              <w:rPr>
                <w:sz w:val="21"/>
                <w:szCs w:val="21"/>
                <w:color w:val="auto"/>
              </w:rPr>
            </w:pPr>
          </w:p>
        </w:tc>
        <w:tc>
          <w:tcPr>
            <w:tcW w:w="280" w:type="dxa"/>
            <w:vAlign w:val="bottom"/>
            <w:shd w:val="clear" w:color="auto" w:fill="CCFFCC"/>
          </w:tcPr>
          <w:p>
            <w:pPr>
              <w:spacing w:after="0"/>
              <w:rPr>
                <w:sz w:val="21"/>
                <w:szCs w:val="21"/>
                <w:color w:val="auto"/>
              </w:rPr>
            </w:pPr>
          </w:p>
        </w:tc>
        <w:tc>
          <w:tcPr>
            <w:tcW w:w="1220" w:type="dxa"/>
            <w:vAlign w:val="bottom"/>
            <w:shd w:val="clear" w:color="auto" w:fill="CCFFCC"/>
          </w:tcPr>
          <w:p>
            <w:pPr>
              <w:jc w:val="right"/>
              <w:ind w:right="47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21"/>
                <w:szCs w:val="21"/>
                <w:color w:val="auto"/>
              </w:rPr>
            </w:pPr>
          </w:p>
        </w:tc>
        <w:tc>
          <w:tcPr>
            <w:tcW w:w="100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rPr>
              <w:t>9</w:t>
            </w:r>
          </w:p>
        </w:tc>
      </w:tr>
      <w:tr>
        <w:trPr>
          <w:trHeight w:val="237"/>
        </w:trPr>
        <w:tc>
          <w:tcPr>
            <w:tcW w:w="5260" w:type="dxa"/>
            <w:vAlign w:val="bottom"/>
          </w:tcPr>
          <w:p>
            <w:pPr>
              <w:ind w:left="220"/>
              <w:spacing w:after="0"/>
              <w:rPr>
                <w:sz w:val="20"/>
                <w:szCs w:val="20"/>
                <w:color w:val="auto"/>
              </w:rPr>
            </w:pPr>
            <w:r>
              <w:rPr>
                <w:rFonts w:ascii="Arial" w:cs="Arial" w:eastAsia="Arial" w:hAnsi="Arial"/>
                <w:sz w:val="18"/>
                <w:szCs w:val="18"/>
                <w:color w:val="auto"/>
              </w:rPr>
              <w:t>Trading-related payables</w:t>
            </w: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ind w:right="470"/>
              <w:spacing w:after="0"/>
              <w:rPr>
                <w:sz w:val="20"/>
                <w:szCs w:val="20"/>
                <w:color w:val="auto"/>
              </w:rPr>
            </w:pPr>
            <w:r>
              <w:rPr>
                <w:rFonts w:ascii="Arial" w:cs="Arial" w:eastAsia="Arial" w:hAnsi="Arial"/>
                <w:sz w:val="18"/>
                <w:szCs w:val="18"/>
                <w:color w:val="auto"/>
              </w:rPr>
              <w:t>3,328</w:t>
            </w:r>
          </w:p>
        </w:tc>
        <w:tc>
          <w:tcPr>
            <w:tcW w:w="160" w:type="dxa"/>
            <w:vAlign w:val="bottom"/>
          </w:tcPr>
          <w:p>
            <w:pPr>
              <w:spacing w:after="0"/>
              <w:rPr>
                <w:sz w:val="20"/>
                <w:szCs w:val="20"/>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3,211</w:t>
            </w:r>
          </w:p>
        </w:tc>
      </w:tr>
      <w:tr>
        <w:trPr>
          <w:trHeight w:val="249"/>
        </w:trPr>
        <w:tc>
          <w:tcPr>
            <w:tcW w:w="5260" w:type="dxa"/>
            <w:vAlign w:val="bottom"/>
            <w:shd w:val="clear" w:color="auto" w:fill="CCFFCC"/>
          </w:tcPr>
          <w:p>
            <w:pPr>
              <w:ind w:left="220"/>
              <w:spacing w:after="0"/>
              <w:rPr>
                <w:sz w:val="20"/>
                <w:szCs w:val="20"/>
                <w:color w:val="auto"/>
              </w:rPr>
            </w:pPr>
            <w:r>
              <w:rPr>
                <w:rFonts w:ascii="Arial" w:cs="Arial" w:eastAsia="Arial" w:hAnsi="Arial"/>
                <w:sz w:val="18"/>
                <w:szCs w:val="18"/>
                <w:color w:val="auto"/>
              </w:rPr>
              <w:t>Derivative trading instruments</w:t>
            </w:r>
          </w:p>
        </w:tc>
        <w:tc>
          <w:tcPr>
            <w:tcW w:w="440" w:type="dxa"/>
            <w:vAlign w:val="bottom"/>
            <w:shd w:val="clear" w:color="auto" w:fill="CCFFCC"/>
          </w:tcPr>
          <w:p>
            <w:pPr>
              <w:spacing w:after="0"/>
              <w:rPr>
                <w:sz w:val="21"/>
                <w:szCs w:val="21"/>
                <w:color w:val="auto"/>
              </w:rPr>
            </w:pPr>
          </w:p>
        </w:tc>
        <w:tc>
          <w:tcPr>
            <w:tcW w:w="280" w:type="dxa"/>
            <w:vAlign w:val="bottom"/>
            <w:shd w:val="clear" w:color="auto" w:fill="CCFFCC"/>
          </w:tcPr>
          <w:p>
            <w:pPr>
              <w:spacing w:after="0"/>
              <w:rPr>
                <w:sz w:val="21"/>
                <w:szCs w:val="21"/>
                <w:color w:val="auto"/>
              </w:rPr>
            </w:pPr>
          </w:p>
        </w:tc>
        <w:tc>
          <w:tcPr>
            <w:tcW w:w="1220" w:type="dxa"/>
            <w:vAlign w:val="bottom"/>
            <w:shd w:val="clear" w:color="auto" w:fill="CCFFCC"/>
          </w:tcPr>
          <w:p>
            <w:pPr>
              <w:jc w:val="right"/>
              <w:ind w:right="470"/>
              <w:spacing w:after="0"/>
              <w:rPr>
                <w:sz w:val="20"/>
                <w:szCs w:val="20"/>
                <w:color w:val="auto"/>
              </w:rPr>
            </w:pPr>
            <w:r>
              <w:rPr>
                <w:rFonts w:ascii="Arial" w:cs="Arial" w:eastAsia="Arial" w:hAnsi="Arial"/>
                <w:sz w:val="18"/>
                <w:szCs w:val="18"/>
                <w:color w:val="auto"/>
              </w:rPr>
              <w:t>1,974</w:t>
            </w:r>
          </w:p>
        </w:tc>
        <w:tc>
          <w:tcPr>
            <w:tcW w:w="160" w:type="dxa"/>
            <w:vAlign w:val="bottom"/>
            <w:shd w:val="clear" w:color="auto" w:fill="CCFFCC"/>
          </w:tcPr>
          <w:p>
            <w:pPr>
              <w:spacing w:after="0"/>
              <w:rPr>
                <w:sz w:val="21"/>
                <w:szCs w:val="21"/>
                <w:color w:val="auto"/>
              </w:rPr>
            </w:pPr>
          </w:p>
        </w:tc>
        <w:tc>
          <w:tcPr>
            <w:tcW w:w="100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rPr>
              <w:t>2,304</w:t>
            </w:r>
          </w:p>
        </w:tc>
      </w:tr>
      <w:tr>
        <w:trPr>
          <w:trHeight w:val="237"/>
        </w:trPr>
        <w:tc>
          <w:tcPr>
            <w:tcW w:w="5260" w:type="dxa"/>
            <w:vAlign w:val="bottom"/>
          </w:tcPr>
          <w:p>
            <w:pPr>
              <w:ind w:left="220"/>
              <w:spacing w:after="0"/>
              <w:rPr>
                <w:sz w:val="20"/>
                <w:szCs w:val="20"/>
                <w:color w:val="auto"/>
              </w:rPr>
            </w:pPr>
            <w:r>
              <w:rPr>
                <w:rFonts w:ascii="Arial" w:cs="Arial" w:eastAsia="Arial" w:hAnsi="Arial"/>
                <w:sz w:val="18"/>
                <w:szCs w:val="18"/>
                <w:color w:val="auto"/>
              </w:rPr>
              <w:t>Commodities sold with agreement to repurchase</w:t>
            </w: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ind w:right="470"/>
              <w:spacing w:after="0"/>
              <w:rPr>
                <w:sz w:val="20"/>
                <w:szCs w:val="20"/>
                <w:color w:val="auto"/>
              </w:rPr>
            </w:pPr>
            <w:r>
              <w:rPr>
                <w:rFonts w:ascii="Arial" w:cs="Arial" w:eastAsia="Arial" w:hAnsi="Arial"/>
                <w:sz w:val="18"/>
                <w:szCs w:val="18"/>
                <w:color w:val="auto"/>
              </w:rPr>
              <w:t>500</w:t>
            </w:r>
          </w:p>
        </w:tc>
        <w:tc>
          <w:tcPr>
            <w:tcW w:w="160" w:type="dxa"/>
            <w:vAlign w:val="bottom"/>
          </w:tcPr>
          <w:p>
            <w:pPr>
              <w:spacing w:after="0"/>
              <w:rPr>
                <w:sz w:val="20"/>
                <w:szCs w:val="20"/>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537</w:t>
            </w:r>
          </w:p>
        </w:tc>
      </w:tr>
      <w:tr>
        <w:trPr>
          <w:trHeight w:val="249"/>
        </w:trPr>
        <w:tc>
          <w:tcPr>
            <w:tcW w:w="5260" w:type="dxa"/>
            <w:vAlign w:val="bottom"/>
            <w:shd w:val="clear" w:color="auto" w:fill="CCFFCC"/>
          </w:tcPr>
          <w:p>
            <w:pPr>
              <w:ind w:left="220"/>
              <w:spacing w:after="0"/>
              <w:rPr>
                <w:sz w:val="20"/>
                <w:szCs w:val="20"/>
                <w:color w:val="auto"/>
              </w:rPr>
            </w:pPr>
            <w:r>
              <w:rPr>
                <w:rFonts w:ascii="Arial" w:cs="Arial" w:eastAsia="Arial" w:hAnsi="Arial"/>
                <w:sz w:val="18"/>
                <w:szCs w:val="18"/>
                <w:color w:val="auto"/>
              </w:rPr>
              <w:t>Dividends and interest payable</w:t>
            </w:r>
          </w:p>
        </w:tc>
        <w:tc>
          <w:tcPr>
            <w:tcW w:w="440" w:type="dxa"/>
            <w:vAlign w:val="bottom"/>
            <w:shd w:val="clear" w:color="auto" w:fill="CCFFCC"/>
          </w:tcPr>
          <w:p>
            <w:pPr>
              <w:spacing w:after="0"/>
              <w:rPr>
                <w:sz w:val="21"/>
                <w:szCs w:val="21"/>
                <w:color w:val="auto"/>
              </w:rPr>
            </w:pPr>
          </w:p>
        </w:tc>
        <w:tc>
          <w:tcPr>
            <w:tcW w:w="280" w:type="dxa"/>
            <w:vAlign w:val="bottom"/>
            <w:shd w:val="clear" w:color="auto" w:fill="CCFFCC"/>
          </w:tcPr>
          <w:p>
            <w:pPr>
              <w:spacing w:after="0"/>
              <w:rPr>
                <w:sz w:val="21"/>
                <w:szCs w:val="21"/>
                <w:color w:val="auto"/>
              </w:rPr>
            </w:pPr>
          </w:p>
        </w:tc>
        <w:tc>
          <w:tcPr>
            <w:tcW w:w="1220" w:type="dxa"/>
            <w:vAlign w:val="bottom"/>
            <w:shd w:val="clear" w:color="auto" w:fill="CCFFCC"/>
          </w:tcPr>
          <w:p>
            <w:pPr>
              <w:jc w:val="right"/>
              <w:ind w:right="470"/>
              <w:spacing w:after="0"/>
              <w:rPr>
                <w:sz w:val="20"/>
                <w:szCs w:val="20"/>
                <w:color w:val="auto"/>
              </w:rPr>
            </w:pPr>
            <w:r>
              <w:rPr>
                <w:rFonts w:ascii="Arial" w:cs="Arial" w:eastAsia="Arial" w:hAnsi="Arial"/>
                <w:sz w:val="18"/>
                <w:szCs w:val="18"/>
                <w:color w:val="auto"/>
              </w:rPr>
              <w:t>145</w:t>
            </w:r>
          </w:p>
        </w:tc>
        <w:tc>
          <w:tcPr>
            <w:tcW w:w="160" w:type="dxa"/>
            <w:vAlign w:val="bottom"/>
            <w:shd w:val="clear" w:color="auto" w:fill="CCFFCC"/>
          </w:tcPr>
          <w:p>
            <w:pPr>
              <w:spacing w:after="0"/>
              <w:rPr>
                <w:sz w:val="21"/>
                <w:szCs w:val="21"/>
                <w:color w:val="auto"/>
              </w:rPr>
            </w:pPr>
          </w:p>
        </w:tc>
        <w:tc>
          <w:tcPr>
            <w:tcW w:w="100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rPr>
              <w:t>145</w:t>
            </w:r>
          </w:p>
        </w:tc>
      </w:tr>
      <w:tr>
        <w:trPr>
          <w:trHeight w:val="237"/>
        </w:trPr>
        <w:tc>
          <w:tcPr>
            <w:tcW w:w="5260" w:type="dxa"/>
            <w:vAlign w:val="bottom"/>
          </w:tcPr>
          <w:p>
            <w:pPr>
              <w:ind w:left="220"/>
              <w:spacing w:after="0"/>
              <w:rPr>
                <w:sz w:val="20"/>
                <w:szCs w:val="20"/>
                <w:color w:val="auto"/>
              </w:rPr>
            </w:pPr>
            <w:r>
              <w:rPr>
                <w:rFonts w:ascii="Arial" w:cs="Arial" w:eastAsia="Arial" w:hAnsi="Arial"/>
                <w:sz w:val="18"/>
                <w:szCs w:val="18"/>
                <w:color w:val="auto"/>
              </w:rPr>
              <w:t>Regulatory balancing accounts, net</w:t>
            </w: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ind w:right="470"/>
              <w:spacing w:after="0"/>
              <w:rPr>
                <w:sz w:val="20"/>
                <w:szCs w:val="20"/>
                <w:color w:val="auto"/>
              </w:rPr>
            </w:pPr>
            <w:r>
              <w:rPr>
                <w:rFonts w:ascii="Arial" w:cs="Arial" w:eastAsia="Arial" w:hAnsi="Arial"/>
                <w:sz w:val="18"/>
                <w:szCs w:val="18"/>
                <w:color w:val="auto"/>
              </w:rPr>
              <w:t>481</w:t>
            </w:r>
          </w:p>
        </w:tc>
        <w:tc>
          <w:tcPr>
            <w:tcW w:w="160" w:type="dxa"/>
            <w:vAlign w:val="bottom"/>
          </w:tcPr>
          <w:p>
            <w:pPr>
              <w:spacing w:after="0"/>
              <w:rPr>
                <w:sz w:val="20"/>
                <w:szCs w:val="20"/>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332</w:t>
            </w:r>
          </w:p>
        </w:tc>
      </w:tr>
      <w:tr>
        <w:trPr>
          <w:trHeight w:val="249"/>
        </w:trPr>
        <w:tc>
          <w:tcPr>
            <w:tcW w:w="5260" w:type="dxa"/>
            <w:vAlign w:val="bottom"/>
            <w:shd w:val="clear" w:color="auto" w:fill="CCFFCC"/>
          </w:tcPr>
          <w:p>
            <w:pPr>
              <w:ind w:left="220"/>
              <w:spacing w:after="0"/>
              <w:rPr>
                <w:sz w:val="20"/>
                <w:szCs w:val="20"/>
                <w:color w:val="auto"/>
              </w:rPr>
            </w:pPr>
            <w:r>
              <w:rPr>
                <w:rFonts w:ascii="Arial" w:cs="Arial" w:eastAsia="Arial" w:hAnsi="Arial"/>
                <w:sz w:val="18"/>
                <w:szCs w:val="18"/>
                <w:color w:val="auto"/>
              </w:rPr>
              <w:t>Fixed-price contracts and other derivatives</w:t>
            </w:r>
          </w:p>
        </w:tc>
        <w:tc>
          <w:tcPr>
            <w:tcW w:w="440" w:type="dxa"/>
            <w:vAlign w:val="bottom"/>
            <w:shd w:val="clear" w:color="auto" w:fill="CCFFCC"/>
          </w:tcPr>
          <w:p>
            <w:pPr>
              <w:spacing w:after="0"/>
              <w:rPr>
                <w:sz w:val="21"/>
                <w:szCs w:val="21"/>
                <w:color w:val="auto"/>
              </w:rPr>
            </w:pPr>
          </w:p>
        </w:tc>
        <w:tc>
          <w:tcPr>
            <w:tcW w:w="280" w:type="dxa"/>
            <w:vAlign w:val="bottom"/>
            <w:shd w:val="clear" w:color="auto" w:fill="CCFFCC"/>
          </w:tcPr>
          <w:p>
            <w:pPr>
              <w:spacing w:after="0"/>
              <w:rPr>
                <w:sz w:val="21"/>
                <w:szCs w:val="21"/>
                <w:color w:val="auto"/>
              </w:rPr>
            </w:pPr>
          </w:p>
        </w:tc>
        <w:tc>
          <w:tcPr>
            <w:tcW w:w="1220" w:type="dxa"/>
            <w:vAlign w:val="bottom"/>
            <w:shd w:val="clear" w:color="auto" w:fill="CCFFCC"/>
          </w:tcPr>
          <w:p>
            <w:pPr>
              <w:jc w:val="right"/>
              <w:ind w:right="470"/>
              <w:spacing w:after="0"/>
              <w:rPr>
                <w:sz w:val="20"/>
                <w:szCs w:val="20"/>
                <w:color w:val="auto"/>
              </w:rPr>
            </w:pPr>
            <w:r>
              <w:rPr>
                <w:rFonts w:ascii="Arial" w:cs="Arial" w:eastAsia="Arial" w:hAnsi="Arial"/>
                <w:sz w:val="18"/>
                <w:szCs w:val="18"/>
                <w:color w:val="auto"/>
              </w:rPr>
              <w:t>62</w:t>
            </w:r>
          </w:p>
        </w:tc>
        <w:tc>
          <w:tcPr>
            <w:tcW w:w="160" w:type="dxa"/>
            <w:vAlign w:val="bottom"/>
            <w:shd w:val="clear" w:color="auto" w:fill="CCFFCC"/>
          </w:tcPr>
          <w:p>
            <w:pPr>
              <w:spacing w:after="0"/>
              <w:rPr>
                <w:sz w:val="21"/>
                <w:szCs w:val="21"/>
                <w:color w:val="auto"/>
              </w:rPr>
            </w:pPr>
          </w:p>
        </w:tc>
        <w:tc>
          <w:tcPr>
            <w:tcW w:w="100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rPr>
              <w:t>87</w:t>
            </w:r>
          </w:p>
        </w:tc>
      </w:tr>
      <w:tr>
        <w:trPr>
          <w:trHeight w:val="237"/>
        </w:trPr>
        <w:tc>
          <w:tcPr>
            <w:tcW w:w="5260" w:type="dxa"/>
            <w:vAlign w:val="bottom"/>
          </w:tcPr>
          <w:p>
            <w:pPr>
              <w:ind w:left="220"/>
              <w:spacing w:after="0"/>
              <w:rPr>
                <w:sz w:val="20"/>
                <w:szCs w:val="20"/>
                <w:color w:val="auto"/>
              </w:rPr>
            </w:pPr>
            <w:r>
              <w:rPr>
                <w:rFonts w:ascii="Arial" w:cs="Arial" w:eastAsia="Arial" w:hAnsi="Arial"/>
                <w:sz w:val="18"/>
                <w:szCs w:val="18"/>
                <w:color w:val="auto"/>
              </w:rPr>
              <w:t>Current portion of long-term debt</w:t>
            </w: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ind w:right="470"/>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20"/>
                <w:szCs w:val="20"/>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681</w:t>
            </w:r>
          </w:p>
        </w:tc>
      </w:tr>
      <w:tr>
        <w:trPr>
          <w:trHeight w:val="249"/>
        </w:trPr>
        <w:tc>
          <w:tcPr>
            <w:tcW w:w="5260" w:type="dxa"/>
            <w:vAlign w:val="bottom"/>
            <w:tcBorders>
              <w:bottom w:val="single" w:sz="8" w:color="CCFFCC"/>
            </w:tcBorders>
            <w:shd w:val="clear" w:color="auto" w:fill="CCFFCC"/>
          </w:tcPr>
          <w:p>
            <w:pPr>
              <w:ind w:left="220"/>
              <w:spacing w:after="0"/>
              <w:rPr>
                <w:sz w:val="20"/>
                <w:szCs w:val="20"/>
                <w:color w:val="auto"/>
              </w:rPr>
            </w:pPr>
            <w:r>
              <w:rPr>
                <w:rFonts w:ascii="Arial" w:cs="Arial" w:eastAsia="Arial" w:hAnsi="Arial"/>
                <w:sz w:val="18"/>
                <w:szCs w:val="18"/>
                <w:color w:val="auto"/>
              </w:rPr>
              <w:t>Other</w:t>
            </w:r>
          </w:p>
        </w:tc>
        <w:tc>
          <w:tcPr>
            <w:tcW w:w="440" w:type="dxa"/>
            <w:vAlign w:val="bottom"/>
            <w:tcBorders>
              <w:bottom w:val="single" w:sz="8" w:color="CCFFCC"/>
            </w:tcBorders>
            <w:shd w:val="clear" w:color="auto" w:fill="CCFFCC"/>
          </w:tcPr>
          <w:p>
            <w:pPr>
              <w:spacing w:after="0"/>
              <w:rPr>
                <w:sz w:val="21"/>
                <w:szCs w:val="21"/>
                <w:color w:val="auto"/>
              </w:rPr>
            </w:pPr>
          </w:p>
        </w:tc>
        <w:tc>
          <w:tcPr>
            <w:tcW w:w="280" w:type="dxa"/>
            <w:vAlign w:val="bottom"/>
            <w:tcBorders>
              <w:bottom w:val="single" w:sz="8" w:color="auto"/>
            </w:tcBorders>
            <w:shd w:val="clear" w:color="auto" w:fill="CCFFCC"/>
          </w:tcPr>
          <w:p>
            <w:pPr>
              <w:spacing w:after="0"/>
              <w:rPr>
                <w:sz w:val="21"/>
                <w:szCs w:val="21"/>
                <w:color w:val="auto"/>
              </w:rPr>
            </w:pPr>
          </w:p>
        </w:tc>
        <w:tc>
          <w:tcPr>
            <w:tcW w:w="1220" w:type="dxa"/>
            <w:vAlign w:val="bottom"/>
            <w:tcBorders>
              <w:bottom w:val="single" w:sz="8" w:color="auto"/>
            </w:tcBorders>
            <w:shd w:val="clear" w:color="auto" w:fill="CCFFCC"/>
          </w:tcPr>
          <w:p>
            <w:pPr>
              <w:jc w:val="right"/>
              <w:ind w:right="470"/>
              <w:spacing w:after="0"/>
              <w:rPr>
                <w:sz w:val="20"/>
                <w:szCs w:val="20"/>
                <w:color w:val="auto"/>
              </w:rPr>
            </w:pPr>
            <w:r>
              <w:rPr>
                <w:rFonts w:ascii="Arial" w:cs="Arial" w:eastAsia="Arial" w:hAnsi="Arial"/>
                <w:sz w:val="18"/>
                <w:szCs w:val="18"/>
                <w:color w:val="auto"/>
              </w:rPr>
              <w:t>1,210</w:t>
            </w:r>
          </w:p>
        </w:tc>
        <w:tc>
          <w:tcPr>
            <w:tcW w:w="160" w:type="dxa"/>
            <w:vAlign w:val="bottom"/>
            <w:tcBorders>
              <w:bottom w:val="single" w:sz="8" w:color="auto"/>
            </w:tcBorders>
            <w:shd w:val="clear" w:color="auto" w:fill="CCFFCC"/>
          </w:tcPr>
          <w:p>
            <w:pPr>
              <w:spacing w:after="0"/>
              <w:rPr>
                <w:sz w:val="21"/>
                <w:szCs w:val="21"/>
                <w:color w:val="auto"/>
              </w:rPr>
            </w:pPr>
          </w:p>
        </w:tc>
        <w:tc>
          <w:tcPr>
            <w:tcW w:w="1000" w:type="dxa"/>
            <w:vAlign w:val="bottom"/>
            <w:tcBorders>
              <w:bottom w:val="single" w:sz="8" w:color="auto"/>
            </w:tcBorders>
            <w:shd w:val="clear" w:color="auto" w:fill="CCFFCC"/>
          </w:tcPr>
          <w:p>
            <w:pPr>
              <w:jc w:val="right"/>
              <w:ind w:right="130"/>
              <w:spacing w:after="0"/>
              <w:rPr>
                <w:sz w:val="20"/>
                <w:szCs w:val="20"/>
                <w:color w:val="auto"/>
              </w:rPr>
            </w:pPr>
            <w:r>
              <w:rPr>
                <w:rFonts w:ascii="Arial" w:cs="Arial" w:eastAsia="Arial" w:hAnsi="Arial"/>
                <w:sz w:val="18"/>
                <w:szCs w:val="18"/>
                <w:color w:val="auto"/>
              </w:rPr>
              <w:t>1,197</w:t>
            </w:r>
          </w:p>
        </w:tc>
      </w:tr>
      <w:tr>
        <w:trPr>
          <w:trHeight w:val="230"/>
        </w:trPr>
        <w:tc>
          <w:tcPr>
            <w:tcW w:w="5260" w:type="dxa"/>
            <w:vAlign w:val="bottom"/>
          </w:tcPr>
          <w:p>
            <w:pPr>
              <w:ind w:left="220"/>
              <w:spacing w:after="0"/>
              <w:rPr>
                <w:sz w:val="20"/>
                <w:szCs w:val="20"/>
                <w:color w:val="auto"/>
              </w:rPr>
            </w:pPr>
            <w:r>
              <w:rPr>
                <w:rFonts w:ascii="Arial" w:cs="Arial" w:eastAsia="Arial" w:hAnsi="Arial"/>
                <w:sz w:val="18"/>
                <w:szCs w:val="18"/>
                <w:color w:val="auto"/>
              </w:rPr>
              <w:t>Current liabilities of continuing operations</w:t>
            </w: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ind w:right="470"/>
              <w:spacing w:after="0"/>
              <w:rPr>
                <w:sz w:val="20"/>
                <w:szCs w:val="20"/>
                <w:color w:val="auto"/>
              </w:rPr>
            </w:pPr>
            <w:r>
              <w:rPr>
                <w:rFonts w:ascii="Arial" w:cs="Arial" w:eastAsia="Arial" w:hAnsi="Arial"/>
                <w:sz w:val="18"/>
                <w:szCs w:val="18"/>
                <w:color w:val="auto"/>
              </w:rPr>
              <w:t>10,394</w:t>
            </w:r>
          </w:p>
        </w:tc>
        <w:tc>
          <w:tcPr>
            <w:tcW w:w="160" w:type="dxa"/>
            <w:vAlign w:val="bottom"/>
          </w:tcPr>
          <w:p>
            <w:pPr>
              <w:spacing w:after="0"/>
              <w:rPr>
                <w:sz w:val="20"/>
                <w:szCs w:val="20"/>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10,342</w:t>
            </w:r>
          </w:p>
        </w:tc>
      </w:tr>
      <w:tr>
        <w:trPr>
          <w:trHeight w:val="249"/>
        </w:trPr>
        <w:tc>
          <w:tcPr>
            <w:tcW w:w="5260" w:type="dxa"/>
            <w:vAlign w:val="bottom"/>
            <w:tcBorders>
              <w:bottom w:val="single" w:sz="8" w:color="CCFFCC"/>
            </w:tcBorders>
            <w:shd w:val="clear" w:color="auto" w:fill="CCFFCC"/>
          </w:tcPr>
          <w:p>
            <w:pPr>
              <w:ind w:left="220"/>
              <w:spacing w:after="0"/>
              <w:rPr>
                <w:sz w:val="20"/>
                <w:szCs w:val="20"/>
                <w:color w:val="auto"/>
              </w:rPr>
            </w:pPr>
            <w:r>
              <w:rPr>
                <w:rFonts w:ascii="Arial" w:cs="Arial" w:eastAsia="Arial" w:hAnsi="Arial"/>
                <w:sz w:val="18"/>
                <w:szCs w:val="18"/>
                <w:color w:val="auto"/>
              </w:rPr>
              <w:t>Current liabilities of discontinued operations</w:t>
            </w:r>
          </w:p>
        </w:tc>
        <w:tc>
          <w:tcPr>
            <w:tcW w:w="440" w:type="dxa"/>
            <w:vAlign w:val="bottom"/>
            <w:tcBorders>
              <w:bottom w:val="single" w:sz="8" w:color="CCFFCC"/>
            </w:tcBorders>
            <w:shd w:val="clear" w:color="auto" w:fill="CCFFCC"/>
          </w:tcPr>
          <w:p>
            <w:pPr>
              <w:spacing w:after="0"/>
              <w:rPr>
                <w:sz w:val="21"/>
                <w:szCs w:val="21"/>
                <w:color w:val="auto"/>
              </w:rPr>
            </w:pPr>
          </w:p>
        </w:tc>
        <w:tc>
          <w:tcPr>
            <w:tcW w:w="280" w:type="dxa"/>
            <w:vAlign w:val="bottom"/>
            <w:tcBorders>
              <w:bottom w:val="single" w:sz="8" w:color="auto"/>
            </w:tcBorders>
            <w:shd w:val="clear" w:color="auto" w:fill="CCFFCC"/>
          </w:tcPr>
          <w:p>
            <w:pPr>
              <w:spacing w:after="0"/>
              <w:rPr>
                <w:sz w:val="21"/>
                <w:szCs w:val="21"/>
                <w:color w:val="auto"/>
              </w:rPr>
            </w:pPr>
          </w:p>
        </w:tc>
        <w:tc>
          <w:tcPr>
            <w:tcW w:w="1220" w:type="dxa"/>
            <w:vAlign w:val="bottom"/>
            <w:tcBorders>
              <w:bottom w:val="single" w:sz="8" w:color="auto"/>
            </w:tcBorders>
            <w:shd w:val="clear" w:color="auto" w:fill="CCFFCC"/>
          </w:tcPr>
          <w:p>
            <w:pPr>
              <w:jc w:val="right"/>
              <w:ind w:right="47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CFFCC"/>
          </w:tcPr>
          <w:p>
            <w:pPr>
              <w:spacing w:after="0"/>
              <w:rPr>
                <w:sz w:val="21"/>
                <w:szCs w:val="21"/>
                <w:color w:val="auto"/>
              </w:rPr>
            </w:pPr>
          </w:p>
        </w:tc>
        <w:tc>
          <w:tcPr>
            <w:tcW w:w="1000" w:type="dxa"/>
            <w:vAlign w:val="bottom"/>
            <w:tcBorders>
              <w:bottom w:val="single" w:sz="8" w:color="auto"/>
            </w:tcBorders>
            <w:shd w:val="clear" w:color="auto" w:fill="CCFFCC"/>
          </w:tcPr>
          <w:p>
            <w:pPr>
              <w:jc w:val="right"/>
              <w:ind w:right="130"/>
              <w:spacing w:after="0"/>
              <w:rPr>
                <w:sz w:val="20"/>
                <w:szCs w:val="20"/>
                <w:color w:val="auto"/>
              </w:rPr>
            </w:pPr>
            <w:r>
              <w:rPr>
                <w:rFonts w:ascii="Arial" w:cs="Arial" w:eastAsia="Arial" w:hAnsi="Arial"/>
                <w:sz w:val="18"/>
                <w:szCs w:val="18"/>
                <w:color w:val="auto"/>
              </w:rPr>
              <w:t>7</w:t>
            </w:r>
          </w:p>
        </w:tc>
      </w:tr>
      <w:tr>
        <w:trPr>
          <w:trHeight w:val="237"/>
        </w:trPr>
        <w:tc>
          <w:tcPr>
            <w:tcW w:w="5260" w:type="dxa"/>
            <w:vAlign w:val="bottom"/>
          </w:tcPr>
          <w:p>
            <w:pPr>
              <w:ind w:left="380"/>
              <w:spacing w:after="0"/>
              <w:rPr>
                <w:sz w:val="20"/>
                <w:szCs w:val="20"/>
                <w:color w:val="auto"/>
              </w:rPr>
            </w:pPr>
            <w:r>
              <w:rPr>
                <w:rFonts w:ascii="Arial" w:cs="Arial" w:eastAsia="Arial" w:hAnsi="Arial"/>
                <w:sz w:val="18"/>
                <w:szCs w:val="18"/>
                <w:color w:val="auto"/>
              </w:rPr>
              <w:t>Total current liabilities</w:t>
            </w:r>
          </w:p>
        </w:tc>
        <w:tc>
          <w:tcPr>
            <w:tcW w:w="4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10,394</w:t>
            </w: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10,349</w:t>
            </w:r>
          </w:p>
        </w:tc>
      </w:tr>
      <w:tr>
        <w:trPr>
          <w:trHeight w:val="480"/>
        </w:trPr>
        <w:tc>
          <w:tcPr>
            <w:tcW w:w="5260" w:type="dxa"/>
            <w:vAlign w:val="bottom"/>
          </w:tcPr>
          <w:p>
            <w:pPr>
              <w:spacing w:after="0"/>
              <w:rPr>
                <w:sz w:val="20"/>
                <w:szCs w:val="20"/>
                <w:color w:val="auto"/>
              </w:rPr>
            </w:pPr>
            <w:r>
              <w:rPr>
                <w:rFonts w:ascii="Arial" w:cs="Arial" w:eastAsia="Arial" w:hAnsi="Arial"/>
                <w:sz w:val="18"/>
                <w:szCs w:val="18"/>
                <w:color w:val="auto"/>
              </w:rPr>
              <w:t>Long-term debt</w:t>
            </w:r>
          </w:p>
        </w:tc>
        <w:tc>
          <w:tcPr>
            <w:tcW w:w="4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4,553</w:t>
            </w: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4,525</w:t>
            </w:r>
          </w:p>
        </w:tc>
      </w:tr>
      <w:tr>
        <w:trPr>
          <w:trHeight w:val="237"/>
        </w:trPr>
        <w:tc>
          <w:tcPr>
            <w:tcW w:w="5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43"/>
        </w:trPr>
        <w:tc>
          <w:tcPr>
            <w:tcW w:w="5260" w:type="dxa"/>
            <w:vAlign w:val="bottom"/>
            <w:shd w:val="clear" w:color="auto" w:fill="CCFFCC"/>
          </w:tcPr>
          <w:p>
            <w:pPr>
              <w:spacing w:after="0"/>
              <w:rPr>
                <w:sz w:val="20"/>
                <w:szCs w:val="20"/>
                <w:color w:val="auto"/>
              </w:rPr>
            </w:pPr>
            <w:r>
              <w:rPr>
                <w:rFonts w:ascii="Arial" w:cs="Arial" w:eastAsia="Arial" w:hAnsi="Arial"/>
                <w:sz w:val="18"/>
                <w:szCs w:val="18"/>
                <w:color w:val="auto"/>
              </w:rPr>
              <w:t>Deferred credits and other liabilities:</w:t>
            </w:r>
          </w:p>
        </w:tc>
        <w:tc>
          <w:tcPr>
            <w:tcW w:w="440" w:type="dxa"/>
            <w:vAlign w:val="bottom"/>
            <w:shd w:val="clear" w:color="auto" w:fill="CCFFCC"/>
          </w:tcPr>
          <w:p>
            <w:pPr>
              <w:spacing w:after="0"/>
              <w:rPr>
                <w:sz w:val="21"/>
                <w:szCs w:val="21"/>
                <w:color w:val="auto"/>
              </w:rPr>
            </w:pPr>
          </w:p>
        </w:tc>
        <w:tc>
          <w:tcPr>
            <w:tcW w:w="280" w:type="dxa"/>
            <w:vAlign w:val="bottom"/>
            <w:shd w:val="clear" w:color="auto" w:fill="CCFFCC"/>
          </w:tcPr>
          <w:p>
            <w:pPr>
              <w:spacing w:after="0"/>
              <w:rPr>
                <w:sz w:val="21"/>
                <w:szCs w:val="21"/>
                <w:color w:val="auto"/>
              </w:rPr>
            </w:pPr>
          </w:p>
        </w:tc>
        <w:tc>
          <w:tcPr>
            <w:tcW w:w="122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000" w:type="dxa"/>
            <w:vAlign w:val="bottom"/>
            <w:shd w:val="clear" w:color="auto" w:fill="CCFFCC"/>
          </w:tcPr>
          <w:p>
            <w:pPr>
              <w:spacing w:after="0"/>
              <w:rPr>
                <w:sz w:val="21"/>
                <w:szCs w:val="21"/>
                <w:color w:val="auto"/>
              </w:rPr>
            </w:pPr>
          </w:p>
        </w:tc>
      </w:tr>
      <w:tr>
        <w:trPr>
          <w:trHeight w:val="237"/>
        </w:trPr>
        <w:tc>
          <w:tcPr>
            <w:tcW w:w="5260" w:type="dxa"/>
            <w:vAlign w:val="bottom"/>
          </w:tcPr>
          <w:p>
            <w:pPr>
              <w:ind w:left="220"/>
              <w:spacing w:after="0"/>
              <w:rPr>
                <w:sz w:val="20"/>
                <w:szCs w:val="20"/>
                <w:color w:val="auto"/>
              </w:rPr>
            </w:pPr>
            <w:r>
              <w:rPr>
                <w:rFonts w:ascii="Arial" w:cs="Arial" w:eastAsia="Arial" w:hAnsi="Arial"/>
                <w:sz w:val="18"/>
                <w:szCs w:val="18"/>
                <w:color w:val="auto"/>
              </w:rPr>
              <w:t>Due to unconsolidated affiliate</w:t>
            </w: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ind w:right="470"/>
              <w:spacing w:after="0"/>
              <w:rPr>
                <w:sz w:val="20"/>
                <w:szCs w:val="20"/>
                <w:color w:val="auto"/>
              </w:rPr>
            </w:pPr>
            <w:r>
              <w:rPr>
                <w:rFonts w:ascii="Arial" w:cs="Arial" w:eastAsia="Arial" w:hAnsi="Arial"/>
                <w:sz w:val="18"/>
                <w:szCs w:val="18"/>
                <w:color w:val="auto"/>
              </w:rPr>
              <w:t>102</w:t>
            </w:r>
          </w:p>
        </w:tc>
        <w:tc>
          <w:tcPr>
            <w:tcW w:w="160" w:type="dxa"/>
            <w:vAlign w:val="bottom"/>
          </w:tcPr>
          <w:p>
            <w:pPr>
              <w:spacing w:after="0"/>
              <w:rPr>
                <w:sz w:val="20"/>
                <w:szCs w:val="20"/>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162</w:t>
            </w:r>
          </w:p>
        </w:tc>
      </w:tr>
      <w:tr>
        <w:trPr>
          <w:trHeight w:val="249"/>
        </w:trPr>
        <w:tc>
          <w:tcPr>
            <w:tcW w:w="5260" w:type="dxa"/>
            <w:vAlign w:val="bottom"/>
            <w:shd w:val="clear" w:color="auto" w:fill="CCFFCC"/>
          </w:tcPr>
          <w:p>
            <w:pPr>
              <w:ind w:left="220"/>
              <w:spacing w:after="0"/>
              <w:rPr>
                <w:sz w:val="20"/>
                <w:szCs w:val="20"/>
                <w:color w:val="auto"/>
              </w:rPr>
            </w:pPr>
            <w:r>
              <w:rPr>
                <w:rFonts w:ascii="Arial" w:cs="Arial" w:eastAsia="Arial" w:hAnsi="Arial"/>
                <w:sz w:val="18"/>
                <w:szCs w:val="18"/>
                <w:color w:val="auto"/>
              </w:rPr>
              <w:t>Customer advances for construction</w:t>
            </w:r>
          </w:p>
        </w:tc>
        <w:tc>
          <w:tcPr>
            <w:tcW w:w="440" w:type="dxa"/>
            <w:vAlign w:val="bottom"/>
            <w:shd w:val="clear" w:color="auto" w:fill="CCFFCC"/>
          </w:tcPr>
          <w:p>
            <w:pPr>
              <w:spacing w:after="0"/>
              <w:rPr>
                <w:sz w:val="21"/>
                <w:szCs w:val="21"/>
                <w:color w:val="auto"/>
              </w:rPr>
            </w:pPr>
          </w:p>
        </w:tc>
        <w:tc>
          <w:tcPr>
            <w:tcW w:w="280" w:type="dxa"/>
            <w:vAlign w:val="bottom"/>
            <w:shd w:val="clear" w:color="auto" w:fill="CCFFCC"/>
          </w:tcPr>
          <w:p>
            <w:pPr>
              <w:spacing w:after="0"/>
              <w:rPr>
                <w:sz w:val="21"/>
                <w:szCs w:val="21"/>
                <w:color w:val="auto"/>
              </w:rPr>
            </w:pPr>
          </w:p>
        </w:tc>
        <w:tc>
          <w:tcPr>
            <w:tcW w:w="1220" w:type="dxa"/>
            <w:vAlign w:val="bottom"/>
            <w:shd w:val="clear" w:color="auto" w:fill="CCFFCC"/>
          </w:tcPr>
          <w:p>
            <w:pPr>
              <w:jc w:val="right"/>
              <w:ind w:right="470"/>
              <w:spacing w:after="0"/>
              <w:rPr>
                <w:sz w:val="20"/>
                <w:szCs w:val="20"/>
                <w:color w:val="auto"/>
              </w:rPr>
            </w:pPr>
            <w:r>
              <w:rPr>
                <w:rFonts w:ascii="Arial" w:cs="Arial" w:eastAsia="Arial" w:hAnsi="Arial"/>
                <w:sz w:val="18"/>
                <w:szCs w:val="18"/>
                <w:color w:val="auto"/>
              </w:rPr>
              <w:t>153</w:t>
            </w:r>
          </w:p>
        </w:tc>
        <w:tc>
          <w:tcPr>
            <w:tcW w:w="160" w:type="dxa"/>
            <w:vAlign w:val="bottom"/>
            <w:shd w:val="clear" w:color="auto" w:fill="CCFFCC"/>
          </w:tcPr>
          <w:p>
            <w:pPr>
              <w:spacing w:after="0"/>
              <w:rPr>
                <w:sz w:val="21"/>
                <w:szCs w:val="21"/>
                <w:color w:val="auto"/>
              </w:rPr>
            </w:pPr>
          </w:p>
        </w:tc>
        <w:tc>
          <w:tcPr>
            <w:tcW w:w="100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rPr>
              <w:t>126</w:t>
            </w:r>
          </w:p>
        </w:tc>
      </w:tr>
      <w:tr>
        <w:trPr>
          <w:trHeight w:val="215"/>
        </w:trPr>
        <w:tc>
          <w:tcPr>
            <w:tcW w:w="5260" w:type="dxa"/>
            <w:vAlign w:val="bottom"/>
          </w:tcPr>
          <w:p>
            <w:pPr>
              <w:ind w:left="220"/>
              <w:spacing w:after="0"/>
              <w:rPr>
                <w:sz w:val="20"/>
                <w:szCs w:val="20"/>
                <w:color w:val="auto"/>
              </w:rPr>
            </w:pPr>
            <w:r>
              <w:rPr>
                <w:rFonts w:ascii="Arial" w:cs="Arial" w:eastAsia="Arial" w:hAnsi="Arial"/>
                <w:sz w:val="18"/>
                <w:szCs w:val="18"/>
                <w:color w:val="auto"/>
                <w:w w:val="98"/>
              </w:rPr>
              <w:t>Pension and other postretirement benefit obligations, net of plan</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7"/>
        </w:trPr>
        <w:tc>
          <w:tcPr>
            <w:tcW w:w="5260" w:type="dxa"/>
            <w:vAlign w:val="bottom"/>
          </w:tcPr>
          <w:p>
            <w:pPr>
              <w:ind w:left="320"/>
              <w:spacing w:after="0"/>
              <w:rPr>
                <w:sz w:val="20"/>
                <w:szCs w:val="20"/>
                <w:color w:val="auto"/>
              </w:rPr>
            </w:pPr>
            <w:r>
              <w:rPr>
                <w:rFonts w:ascii="Arial" w:cs="Arial" w:eastAsia="Arial" w:hAnsi="Arial"/>
                <w:sz w:val="18"/>
                <w:szCs w:val="18"/>
                <w:color w:val="auto"/>
              </w:rPr>
              <w:t>assets</w:t>
            </w: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ind w:right="470"/>
              <w:spacing w:after="0"/>
              <w:rPr>
                <w:sz w:val="20"/>
                <w:szCs w:val="20"/>
                <w:color w:val="auto"/>
              </w:rPr>
            </w:pPr>
            <w:r>
              <w:rPr>
                <w:rFonts w:ascii="Arial" w:cs="Arial" w:eastAsia="Arial" w:hAnsi="Arial"/>
                <w:sz w:val="18"/>
                <w:szCs w:val="18"/>
                <w:color w:val="auto"/>
              </w:rPr>
              <w:t>434</w:t>
            </w:r>
          </w:p>
        </w:tc>
        <w:tc>
          <w:tcPr>
            <w:tcW w:w="160" w:type="dxa"/>
            <w:vAlign w:val="bottom"/>
          </w:tcPr>
          <w:p>
            <w:pPr>
              <w:spacing w:after="0"/>
              <w:rPr>
                <w:sz w:val="20"/>
                <w:szCs w:val="20"/>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609</w:t>
            </w:r>
          </w:p>
        </w:tc>
      </w:tr>
      <w:tr>
        <w:trPr>
          <w:trHeight w:val="250"/>
        </w:trPr>
        <w:tc>
          <w:tcPr>
            <w:tcW w:w="5260" w:type="dxa"/>
            <w:vAlign w:val="bottom"/>
            <w:shd w:val="clear" w:color="auto" w:fill="CCFFCC"/>
          </w:tcPr>
          <w:p>
            <w:pPr>
              <w:ind w:left="220"/>
              <w:spacing w:after="0"/>
              <w:rPr>
                <w:sz w:val="20"/>
                <w:szCs w:val="20"/>
                <w:color w:val="auto"/>
              </w:rPr>
            </w:pPr>
            <w:r>
              <w:rPr>
                <w:rFonts w:ascii="Arial" w:cs="Arial" w:eastAsia="Arial" w:hAnsi="Arial"/>
                <w:sz w:val="18"/>
                <w:szCs w:val="18"/>
                <w:color w:val="auto"/>
              </w:rPr>
              <w:t>Deferred income taxes</w:t>
            </w:r>
          </w:p>
        </w:tc>
        <w:tc>
          <w:tcPr>
            <w:tcW w:w="440" w:type="dxa"/>
            <w:vAlign w:val="bottom"/>
            <w:shd w:val="clear" w:color="auto" w:fill="CCFFCC"/>
          </w:tcPr>
          <w:p>
            <w:pPr>
              <w:spacing w:after="0"/>
              <w:rPr>
                <w:sz w:val="21"/>
                <w:szCs w:val="21"/>
                <w:color w:val="auto"/>
              </w:rPr>
            </w:pPr>
          </w:p>
        </w:tc>
        <w:tc>
          <w:tcPr>
            <w:tcW w:w="280" w:type="dxa"/>
            <w:vAlign w:val="bottom"/>
            <w:shd w:val="clear" w:color="auto" w:fill="CCFFCC"/>
          </w:tcPr>
          <w:p>
            <w:pPr>
              <w:spacing w:after="0"/>
              <w:rPr>
                <w:sz w:val="21"/>
                <w:szCs w:val="21"/>
                <w:color w:val="auto"/>
              </w:rPr>
            </w:pPr>
          </w:p>
        </w:tc>
        <w:tc>
          <w:tcPr>
            <w:tcW w:w="1220" w:type="dxa"/>
            <w:vAlign w:val="bottom"/>
            <w:shd w:val="clear" w:color="auto" w:fill="CCFFCC"/>
          </w:tcPr>
          <w:p>
            <w:pPr>
              <w:jc w:val="right"/>
              <w:ind w:right="470"/>
              <w:spacing w:after="0"/>
              <w:rPr>
                <w:sz w:val="20"/>
                <w:szCs w:val="20"/>
                <w:color w:val="auto"/>
              </w:rPr>
            </w:pPr>
            <w:r>
              <w:rPr>
                <w:rFonts w:ascii="Arial" w:cs="Arial" w:eastAsia="Arial" w:hAnsi="Arial"/>
                <w:sz w:val="18"/>
                <w:szCs w:val="18"/>
                <w:color w:val="auto"/>
              </w:rPr>
              <w:t>531</w:t>
            </w:r>
          </w:p>
        </w:tc>
        <w:tc>
          <w:tcPr>
            <w:tcW w:w="160" w:type="dxa"/>
            <w:vAlign w:val="bottom"/>
            <w:shd w:val="clear" w:color="auto" w:fill="CCFFCC"/>
          </w:tcPr>
          <w:p>
            <w:pPr>
              <w:spacing w:after="0"/>
              <w:rPr>
                <w:sz w:val="21"/>
                <w:szCs w:val="21"/>
                <w:color w:val="auto"/>
              </w:rPr>
            </w:pPr>
          </w:p>
        </w:tc>
        <w:tc>
          <w:tcPr>
            <w:tcW w:w="100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rPr>
              <w:t>412</w:t>
            </w:r>
          </w:p>
        </w:tc>
      </w:tr>
      <w:tr>
        <w:trPr>
          <w:trHeight w:val="237"/>
        </w:trPr>
        <w:tc>
          <w:tcPr>
            <w:tcW w:w="5260" w:type="dxa"/>
            <w:vAlign w:val="bottom"/>
          </w:tcPr>
          <w:p>
            <w:pPr>
              <w:ind w:left="220"/>
              <w:spacing w:after="0"/>
              <w:rPr>
                <w:sz w:val="20"/>
                <w:szCs w:val="20"/>
                <w:color w:val="auto"/>
              </w:rPr>
            </w:pPr>
            <w:r>
              <w:rPr>
                <w:rFonts w:ascii="Arial" w:cs="Arial" w:eastAsia="Arial" w:hAnsi="Arial"/>
                <w:sz w:val="18"/>
                <w:szCs w:val="18"/>
                <w:color w:val="auto"/>
              </w:rPr>
              <w:t>Deferred investment tax credits</w:t>
            </w: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ind w:right="470"/>
              <w:spacing w:after="0"/>
              <w:rPr>
                <w:sz w:val="20"/>
                <w:szCs w:val="20"/>
                <w:color w:val="auto"/>
              </w:rPr>
            </w:pPr>
            <w:r>
              <w:rPr>
                <w:rFonts w:ascii="Arial" w:cs="Arial" w:eastAsia="Arial" w:hAnsi="Arial"/>
                <w:sz w:val="18"/>
                <w:szCs w:val="18"/>
                <w:color w:val="auto"/>
              </w:rPr>
              <w:t>61</w:t>
            </w:r>
          </w:p>
        </w:tc>
        <w:tc>
          <w:tcPr>
            <w:tcW w:w="160" w:type="dxa"/>
            <w:vAlign w:val="bottom"/>
          </w:tcPr>
          <w:p>
            <w:pPr>
              <w:spacing w:after="0"/>
              <w:rPr>
                <w:sz w:val="20"/>
                <w:szCs w:val="20"/>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67</w:t>
            </w:r>
          </w:p>
        </w:tc>
      </w:tr>
      <w:tr>
        <w:trPr>
          <w:trHeight w:val="249"/>
        </w:trPr>
        <w:tc>
          <w:tcPr>
            <w:tcW w:w="5260" w:type="dxa"/>
            <w:vAlign w:val="bottom"/>
            <w:shd w:val="clear" w:color="auto" w:fill="CCFFCC"/>
          </w:tcPr>
          <w:p>
            <w:pPr>
              <w:ind w:left="220"/>
              <w:spacing w:after="0"/>
              <w:rPr>
                <w:sz w:val="20"/>
                <w:szCs w:val="20"/>
                <w:color w:val="auto"/>
              </w:rPr>
            </w:pPr>
            <w:r>
              <w:rPr>
                <w:rFonts w:ascii="Arial" w:cs="Arial" w:eastAsia="Arial" w:hAnsi="Arial"/>
                <w:sz w:val="18"/>
                <w:szCs w:val="18"/>
                <w:color w:val="auto"/>
              </w:rPr>
              <w:t>Regulatory liabilities arising from removal obligations</w:t>
            </w:r>
          </w:p>
        </w:tc>
        <w:tc>
          <w:tcPr>
            <w:tcW w:w="440" w:type="dxa"/>
            <w:vAlign w:val="bottom"/>
            <w:shd w:val="clear" w:color="auto" w:fill="CCFFCC"/>
          </w:tcPr>
          <w:p>
            <w:pPr>
              <w:spacing w:after="0"/>
              <w:rPr>
                <w:sz w:val="21"/>
                <w:szCs w:val="21"/>
                <w:color w:val="auto"/>
              </w:rPr>
            </w:pPr>
          </w:p>
        </w:tc>
        <w:tc>
          <w:tcPr>
            <w:tcW w:w="280" w:type="dxa"/>
            <w:vAlign w:val="bottom"/>
            <w:shd w:val="clear" w:color="auto" w:fill="CCFFCC"/>
          </w:tcPr>
          <w:p>
            <w:pPr>
              <w:spacing w:after="0"/>
              <w:rPr>
                <w:sz w:val="21"/>
                <w:szCs w:val="21"/>
                <w:color w:val="auto"/>
              </w:rPr>
            </w:pPr>
          </w:p>
        </w:tc>
        <w:tc>
          <w:tcPr>
            <w:tcW w:w="1220" w:type="dxa"/>
            <w:vAlign w:val="bottom"/>
            <w:shd w:val="clear" w:color="auto" w:fill="CCFFCC"/>
          </w:tcPr>
          <w:p>
            <w:pPr>
              <w:jc w:val="right"/>
              <w:ind w:right="470"/>
              <w:spacing w:after="0"/>
              <w:rPr>
                <w:sz w:val="20"/>
                <w:szCs w:val="20"/>
                <w:color w:val="auto"/>
              </w:rPr>
            </w:pPr>
            <w:r>
              <w:rPr>
                <w:rFonts w:ascii="Arial" w:cs="Arial" w:eastAsia="Arial" w:hAnsi="Arial"/>
                <w:sz w:val="18"/>
                <w:szCs w:val="18"/>
                <w:color w:val="auto"/>
              </w:rPr>
              <w:t>2,522</w:t>
            </w:r>
          </w:p>
        </w:tc>
        <w:tc>
          <w:tcPr>
            <w:tcW w:w="160" w:type="dxa"/>
            <w:vAlign w:val="bottom"/>
            <w:shd w:val="clear" w:color="auto" w:fill="CCFFCC"/>
          </w:tcPr>
          <w:p>
            <w:pPr>
              <w:spacing w:after="0"/>
              <w:rPr>
                <w:sz w:val="21"/>
                <w:szCs w:val="21"/>
                <w:color w:val="auto"/>
              </w:rPr>
            </w:pPr>
          </w:p>
        </w:tc>
        <w:tc>
          <w:tcPr>
            <w:tcW w:w="100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rPr>
              <w:t>2,330</w:t>
            </w:r>
          </w:p>
        </w:tc>
      </w:tr>
      <w:tr>
        <w:trPr>
          <w:trHeight w:val="237"/>
        </w:trPr>
        <w:tc>
          <w:tcPr>
            <w:tcW w:w="5260" w:type="dxa"/>
            <w:vAlign w:val="bottom"/>
          </w:tcPr>
          <w:p>
            <w:pPr>
              <w:ind w:left="220"/>
              <w:spacing w:after="0"/>
              <w:rPr>
                <w:sz w:val="20"/>
                <w:szCs w:val="20"/>
                <w:color w:val="auto"/>
              </w:rPr>
            </w:pPr>
            <w:r>
              <w:rPr>
                <w:rFonts w:ascii="Arial" w:cs="Arial" w:eastAsia="Arial" w:hAnsi="Arial"/>
                <w:sz w:val="18"/>
                <w:szCs w:val="18"/>
                <w:color w:val="auto"/>
              </w:rPr>
              <w:t>Asset retirement obligations</w:t>
            </w: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ind w:right="470"/>
              <w:spacing w:after="0"/>
              <w:rPr>
                <w:sz w:val="20"/>
                <w:szCs w:val="20"/>
                <w:color w:val="auto"/>
              </w:rPr>
            </w:pPr>
            <w:r>
              <w:rPr>
                <w:rFonts w:ascii="Arial" w:cs="Arial" w:eastAsia="Arial" w:hAnsi="Arial"/>
                <w:sz w:val="18"/>
                <w:szCs w:val="18"/>
                <w:color w:val="auto"/>
              </w:rPr>
              <w:t>1,129</w:t>
            </w:r>
          </w:p>
        </w:tc>
        <w:tc>
          <w:tcPr>
            <w:tcW w:w="160" w:type="dxa"/>
            <w:vAlign w:val="bottom"/>
          </w:tcPr>
          <w:p>
            <w:pPr>
              <w:spacing w:after="0"/>
              <w:rPr>
                <w:sz w:val="20"/>
                <w:szCs w:val="20"/>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1,128</w:t>
            </w:r>
          </w:p>
        </w:tc>
      </w:tr>
      <w:tr>
        <w:trPr>
          <w:trHeight w:val="249"/>
        </w:trPr>
        <w:tc>
          <w:tcPr>
            <w:tcW w:w="5260" w:type="dxa"/>
            <w:vAlign w:val="bottom"/>
            <w:shd w:val="clear" w:color="auto" w:fill="CCFFCC"/>
          </w:tcPr>
          <w:p>
            <w:pPr>
              <w:ind w:left="220"/>
              <w:spacing w:after="0"/>
              <w:rPr>
                <w:sz w:val="20"/>
                <w:szCs w:val="20"/>
                <w:color w:val="auto"/>
              </w:rPr>
            </w:pPr>
            <w:r>
              <w:rPr>
                <w:rFonts w:ascii="Arial" w:cs="Arial" w:eastAsia="Arial" w:hAnsi="Arial"/>
                <w:sz w:val="18"/>
                <w:szCs w:val="18"/>
                <w:color w:val="auto"/>
              </w:rPr>
              <w:t>Other regulatory liabilities</w:t>
            </w:r>
          </w:p>
        </w:tc>
        <w:tc>
          <w:tcPr>
            <w:tcW w:w="440" w:type="dxa"/>
            <w:vAlign w:val="bottom"/>
            <w:shd w:val="clear" w:color="auto" w:fill="CCFFCC"/>
          </w:tcPr>
          <w:p>
            <w:pPr>
              <w:spacing w:after="0"/>
              <w:rPr>
                <w:sz w:val="21"/>
                <w:szCs w:val="21"/>
                <w:color w:val="auto"/>
              </w:rPr>
            </w:pPr>
          </w:p>
        </w:tc>
        <w:tc>
          <w:tcPr>
            <w:tcW w:w="280" w:type="dxa"/>
            <w:vAlign w:val="bottom"/>
            <w:shd w:val="clear" w:color="auto" w:fill="CCFFCC"/>
          </w:tcPr>
          <w:p>
            <w:pPr>
              <w:spacing w:after="0"/>
              <w:rPr>
                <w:sz w:val="21"/>
                <w:szCs w:val="21"/>
                <w:color w:val="auto"/>
              </w:rPr>
            </w:pPr>
          </w:p>
        </w:tc>
        <w:tc>
          <w:tcPr>
            <w:tcW w:w="1220" w:type="dxa"/>
            <w:vAlign w:val="bottom"/>
            <w:shd w:val="clear" w:color="auto" w:fill="CCFFCC"/>
          </w:tcPr>
          <w:p>
            <w:pPr>
              <w:jc w:val="right"/>
              <w:ind w:right="470"/>
              <w:spacing w:after="0"/>
              <w:rPr>
                <w:sz w:val="20"/>
                <w:szCs w:val="20"/>
                <w:color w:val="auto"/>
              </w:rPr>
            </w:pPr>
            <w:r>
              <w:rPr>
                <w:rFonts w:ascii="Arial" w:cs="Arial" w:eastAsia="Arial" w:hAnsi="Arial"/>
                <w:sz w:val="18"/>
                <w:szCs w:val="18"/>
                <w:color w:val="auto"/>
              </w:rPr>
              <w:t>265</w:t>
            </w:r>
          </w:p>
        </w:tc>
        <w:tc>
          <w:tcPr>
            <w:tcW w:w="160" w:type="dxa"/>
            <w:vAlign w:val="bottom"/>
            <w:shd w:val="clear" w:color="auto" w:fill="CCFFCC"/>
          </w:tcPr>
          <w:p>
            <w:pPr>
              <w:spacing w:after="0"/>
              <w:rPr>
                <w:sz w:val="21"/>
                <w:szCs w:val="21"/>
                <w:color w:val="auto"/>
              </w:rPr>
            </w:pPr>
          </w:p>
        </w:tc>
        <w:tc>
          <w:tcPr>
            <w:tcW w:w="100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rPr>
              <w:t>221</w:t>
            </w:r>
          </w:p>
        </w:tc>
      </w:tr>
      <w:tr>
        <w:trPr>
          <w:trHeight w:val="237"/>
        </w:trPr>
        <w:tc>
          <w:tcPr>
            <w:tcW w:w="5260" w:type="dxa"/>
            <w:vAlign w:val="bottom"/>
          </w:tcPr>
          <w:p>
            <w:pPr>
              <w:ind w:left="220"/>
              <w:spacing w:after="0"/>
              <w:rPr>
                <w:sz w:val="20"/>
                <w:szCs w:val="20"/>
                <w:color w:val="auto"/>
              </w:rPr>
            </w:pPr>
            <w:r>
              <w:rPr>
                <w:rFonts w:ascii="Arial" w:cs="Arial" w:eastAsia="Arial" w:hAnsi="Arial"/>
                <w:sz w:val="18"/>
                <w:szCs w:val="18"/>
                <w:color w:val="auto"/>
              </w:rPr>
              <w:t>Fixed-price contracts and other derivatives</w:t>
            </w: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ind w:right="470"/>
              <w:spacing w:after="0"/>
              <w:rPr>
                <w:sz w:val="20"/>
                <w:szCs w:val="20"/>
                <w:color w:val="auto"/>
              </w:rPr>
            </w:pPr>
            <w:r>
              <w:rPr>
                <w:rFonts w:ascii="Arial" w:cs="Arial" w:eastAsia="Arial" w:hAnsi="Arial"/>
                <w:sz w:val="18"/>
                <w:szCs w:val="18"/>
                <w:color w:val="auto"/>
              </w:rPr>
              <w:t>332</w:t>
            </w:r>
          </w:p>
        </w:tc>
        <w:tc>
          <w:tcPr>
            <w:tcW w:w="160" w:type="dxa"/>
            <w:vAlign w:val="bottom"/>
          </w:tcPr>
          <w:p>
            <w:pPr>
              <w:spacing w:after="0"/>
              <w:rPr>
                <w:sz w:val="20"/>
                <w:szCs w:val="20"/>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358</w:t>
            </w:r>
          </w:p>
        </w:tc>
      </w:tr>
      <w:tr>
        <w:trPr>
          <w:trHeight w:val="249"/>
        </w:trPr>
        <w:tc>
          <w:tcPr>
            <w:tcW w:w="5260" w:type="dxa"/>
            <w:vAlign w:val="bottom"/>
            <w:tcBorders>
              <w:bottom w:val="single" w:sz="8" w:color="CCFFCC"/>
            </w:tcBorders>
            <w:shd w:val="clear" w:color="auto" w:fill="CCFFCC"/>
          </w:tcPr>
          <w:p>
            <w:pPr>
              <w:ind w:left="220"/>
              <w:spacing w:after="0"/>
              <w:rPr>
                <w:sz w:val="20"/>
                <w:szCs w:val="20"/>
                <w:color w:val="auto"/>
              </w:rPr>
            </w:pPr>
            <w:r>
              <w:rPr>
                <w:rFonts w:ascii="Arial" w:cs="Arial" w:eastAsia="Arial" w:hAnsi="Arial"/>
                <w:sz w:val="18"/>
                <w:szCs w:val="18"/>
                <w:color w:val="auto"/>
              </w:rPr>
              <w:t>Deferred credits and other</w:t>
            </w:r>
          </w:p>
        </w:tc>
        <w:tc>
          <w:tcPr>
            <w:tcW w:w="440" w:type="dxa"/>
            <w:vAlign w:val="bottom"/>
            <w:tcBorders>
              <w:bottom w:val="single" w:sz="8" w:color="CCFFCC"/>
            </w:tcBorders>
            <w:shd w:val="clear" w:color="auto" w:fill="CCFFCC"/>
          </w:tcPr>
          <w:p>
            <w:pPr>
              <w:spacing w:after="0"/>
              <w:rPr>
                <w:sz w:val="21"/>
                <w:szCs w:val="21"/>
                <w:color w:val="auto"/>
              </w:rPr>
            </w:pPr>
          </w:p>
        </w:tc>
        <w:tc>
          <w:tcPr>
            <w:tcW w:w="280" w:type="dxa"/>
            <w:vAlign w:val="bottom"/>
            <w:tcBorders>
              <w:bottom w:val="single" w:sz="8" w:color="auto"/>
            </w:tcBorders>
            <w:shd w:val="clear" w:color="auto" w:fill="CCFFCC"/>
          </w:tcPr>
          <w:p>
            <w:pPr>
              <w:spacing w:after="0"/>
              <w:rPr>
                <w:sz w:val="21"/>
                <w:szCs w:val="21"/>
                <w:color w:val="auto"/>
              </w:rPr>
            </w:pPr>
          </w:p>
        </w:tc>
        <w:tc>
          <w:tcPr>
            <w:tcW w:w="1220" w:type="dxa"/>
            <w:vAlign w:val="bottom"/>
            <w:tcBorders>
              <w:bottom w:val="single" w:sz="8" w:color="auto"/>
            </w:tcBorders>
            <w:shd w:val="clear" w:color="auto" w:fill="CCFFCC"/>
          </w:tcPr>
          <w:p>
            <w:pPr>
              <w:jc w:val="right"/>
              <w:ind w:right="470"/>
              <w:spacing w:after="0"/>
              <w:rPr>
                <w:sz w:val="20"/>
                <w:szCs w:val="20"/>
                <w:color w:val="auto"/>
              </w:rPr>
            </w:pPr>
            <w:r>
              <w:rPr>
                <w:rFonts w:ascii="Arial" w:cs="Arial" w:eastAsia="Arial" w:hAnsi="Arial"/>
                <w:sz w:val="18"/>
                <w:szCs w:val="18"/>
                <w:color w:val="auto"/>
              </w:rPr>
              <w:t>949</w:t>
            </w:r>
          </w:p>
        </w:tc>
        <w:tc>
          <w:tcPr>
            <w:tcW w:w="160" w:type="dxa"/>
            <w:vAlign w:val="bottom"/>
            <w:tcBorders>
              <w:bottom w:val="single" w:sz="8" w:color="auto"/>
            </w:tcBorders>
            <w:shd w:val="clear" w:color="auto" w:fill="CCFFCC"/>
          </w:tcPr>
          <w:p>
            <w:pPr>
              <w:spacing w:after="0"/>
              <w:rPr>
                <w:sz w:val="21"/>
                <w:szCs w:val="21"/>
                <w:color w:val="auto"/>
              </w:rPr>
            </w:pPr>
          </w:p>
        </w:tc>
        <w:tc>
          <w:tcPr>
            <w:tcW w:w="1000" w:type="dxa"/>
            <w:vAlign w:val="bottom"/>
            <w:tcBorders>
              <w:bottom w:val="single" w:sz="8" w:color="auto"/>
            </w:tcBorders>
            <w:shd w:val="clear" w:color="auto" w:fill="CCFFCC"/>
          </w:tcPr>
          <w:p>
            <w:pPr>
              <w:jc w:val="right"/>
              <w:ind w:right="130"/>
              <w:spacing w:after="0"/>
              <w:rPr>
                <w:sz w:val="20"/>
                <w:szCs w:val="20"/>
                <w:color w:val="auto"/>
              </w:rPr>
            </w:pPr>
            <w:r>
              <w:rPr>
                <w:rFonts w:ascii="Arial" w:cs="Arial" w:eastAsia="Arial" w:hAnsi="Arial"/>
                <w:sz w:val="18"/>
                <w:szCs w:val="18"/>
                <w:color w:val="auto"/>
              </w:rPr>
              <w:t>961</w:t>
            </w:r>
          </w:p>
        </w:tc>
      </w:tr>
      <w:tr>
        <w:trPr>
          <w:trHeight w:val="237"/>
        </w:trPr>
        <w:tc>
          <w:tcPr>
            <w:tcW w:w="5260" w:type="dxa"/>
            <w:vAlign w:val="bottom"/>
          </w:tcPr>
          <w:p>
            <w:pPr>
              <w:ind w:left="380"/>
              <w:spacing w:after="0"/>
              <w:rPr>
                <w:sz w:val="20"/>
                <w:szCs w:val="20"/>
                <w:color w:val="auto"/>
              </w:rPr>
            </w:pPr>
            <w:r>
              <w:rPr>
                <w:rFonts w:ascii="Arial" w:cs="Arial" w:eastAsia="Arial" w:hAnsi="Arial"/>
                <w:sz w:val="18"/>
                <w:szCs w:val="18"/>
                <w:color w:val="auto"/>
              </w:rPr>
              <w:t>Total deferred credits and other liabilities</w:t>
            </w:r>
          </w:p>
        </w:tc>
        <w:tc>
          <w:tcPr>
            <w:tcW w:w="4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6,478</w:t>
            </w: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6,374</w:t>
            </w:r>
          </w:p>
        </w:tc>
      </w:tr>
      <w:tr>
        <w:trPr>
          <w:trHeight w:val="480"/>
        </w:trPr>
        <w:tc>
          <w:tcPr>
            <w:tcW w:w="5260" w:type="dxa"/>
            <w:vAlign w:val="bottom"/>
          </w:tcPr>
          <w:p>
            <w:pPr>
              <w:spacing w:after="0"/>
              <w:rPr>
                <w:sz w:val="20"/>
                <w:szCs w:val="20"/>
                <w:color w:val="auto"/>
              </w:rPr>
            </w:pPr>
            <w:r>
              <w:rPr>
                <w:rFonts w:ascii="Arial" w:cs="Arial" w:eastAsia="Arial" w:hAnsi="Arial"/>
                <w:sz w:val="18"/>
                <w:szCs w:val="18"/>
                <w:color w:val="auto"/>
              </w:rPr>
              <w:t>Preferred stock of subsidiaries</w:t>
            </w:r>
          </w:p>
        </w:tc>
        <w:tc>
          <w:tcPr>
            <w:tcW w:w="4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179</w:t>
            </w: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179</w:t>
            </w:r>
          </w:p>
        </w:tc>
      </w:tr>
      <w:tr>
        <w:trPr>
          <w:trHeight w:val="237"/>
        </w:trPr>
        <w:tc>
          <w:tcPr>
            <w:tcW w:w="5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43"/>
        </w:trPr>
        <w:tc>
          <w:tcPr>
            <w:tcW w:w="526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Minority interests</w:t>
            </w:r>
          </w:p>
        </w:tc>
        <w:tc>
          <w:tcPr>
            <w:tcW w:w="440" w:type="dxa"/>
            <w:vAlign w:val="bottom"/>
            <w:tcBorders>
              <w:bottom w:val="single" w:sz="8" w:color="CCFFCC"/>
            </w:tcBorders>
            <w:shd w:val="clear" w:color="auto" w:fill="CCFFCC"/>
          </w:tcPr>
          <w:p>
            <w:pPr>
              <w:spacing w:after="0"/>
              <w:rPr>
                <w:sz w:val="21"/>
                <w:szCs w:val="21"/>
                <w:color w:val="auto"/>
              </w:rPr>
            </w:pPr>
          </w:p>
        </w:tc>
        <w:tc>
          <w:tcPr>
            <w:tcW w:w="280" w:type="dxa"/>
            <w:vAlign w:val="bottom"/>
            <w:tcBorders>
              <w:bottom w:val="single" w:sz="8" w:color="auto"/>
            </w:tcBorders>
            <w:shd w:val="clear" w:color="auto" w:fill="CCFFCC"/>
          </w:tcPr>
          <w:p>
            <w:pPr>
              <w:spacing w:after="0"/>
              <w:rPr>
                <w:sz w:val="21"/>
                <w:szCs w:val="21"/>
                <w:color w:val="auto"/>
              </w:rPr>
            </w:pPr>
          </w:p>
        </w:tc>
        <w:tc>
          <w:tcPr>
            <w:tcW w:w="1220" w:type="dxa"/>
            <w:vAlign w:val="bottom"/>
            <w:tcBorders>
              <w:bottom w:val="single" w:sz="8" w:color="auto"/>
            </w:tcBorders>
            <w:shd w:val="clear" w:color="auto" w:fill="CCFFCC"/>
          </w:tcPr>
          <w:p>
            <w:pPr>
              <w:jc w:val="right"/>
              <w:ind w:right="470"/>
              <w:spacing w:after="0"/>
              <w:rPr>
                <w:sz w:val="20"/>
                <w:szCs w:val="20"/>
                <w:color w:val="auto"/>
              </w:rPr>
            </w:pPr>
            <w:r>
              <w:rPr>
                <w:rFonts w:ascii="Arial" w:cs="Arial" w:eastAsia="Arial" w:hAnsi="Arial"/>
                <w:sz w:val="18"/>
                <w:szCs w:val="18"/>
                <w:color w:val="auto"/>
              </w:rPr>
              <w:t>148</w:t>
            </w:r>
          </w:p>
        </w:tc>
        <w:tc>
          <w:tcPr>
            <w:tcW w:w="160" w:type="dxa"/>
            <w:vAlign w:val="bottom"/>
            <w:tcBorders>
              <w:bottom w:val="single" w:sz="8" w:color="auto"/>
            </w:tcBorders>
            <w:shd w:val="clear" w:color="auto" w:fill="CCFFCC"/>
          </w:tcPr>
          <w:p>
            <w:pPr>
              <w:spacing w:after="0"/>
              <w:rPr>
                <w:sz w:val="21"/>
                <w:szCs w:val="21"/>
                <w:color w:val="auto"/>
              </w:rPr>
            </w:pPr>
          </w:p>
        </w:tc>
        <w:tc>
          <w:tcPr>
            <w:tcW w:w="1000" w:type="dxa"/>
            <w:vAlign w:val="bottom"/>
            <w:tcBorders>
              <w:bottom w:val="single" w:sz="8" w:color="auto"/>
            </w:tcBorders>
            <w:shd w:val="clear" w:color="auto" w:fill="CCFFCC"/>
          </w:tcPr>
          <w:p>
            <w:pPr>
              <w:jc w:val="right"/>
              <w:ind w:right="130"/>
              <w:spacing w:after="0"/>
              <w:rPr>
                <w:sz w:val="20"/>
                <w:szCs w:val="20"/>
                <w:color w:val="auto"/>
              </w:rPr>
            </w:pPr>
            <w:r>
              <w:rPr>
                <w:rFonts w:ascii="Arial" w:cs="Arial" w:eastAsia="Arial" w:hAnsi="Arial"/>
                <w:sz w:val="18"/>
                <w:szCs w:val="18"/>
                <w:color w:val="auto"/>
              </w:rPr>
              <w:t>11</w:t>
            </w:r>
          </w:p>
        </w:tc>
      </w:tr>
      <w:tr>
        <w:trPr>
          <w:trHeight w:val="473"/>
        </w:trPr>
        <w:tc>
          <w:tcPr>
            <w:tcW w:w="5260" w:type="dxa"/>
            <w:vAlign w:val="bottom"/>
          </w:tcPr>
          <w:p>
            <w:pPr>
              <w:spacing w:after="0"/>
              <w:rPr>
                <w:sz w:val="20"/>
                <w:szCs w:val="20"/>
                <w:color w:val="auto"/>
              </w:rPr>
            </w:pPr>
            <w:r>
              <w:rPr>
                <w:rFonts w:ascii="Arial" w:cs="Arial" w:eastAsia="Arial" w:hAnsi="Arial"/>
                <w:sz w:val="18"/>
                <w:szCs w:val="18"/>
                <w:color w:val="auto"/>
              </w:rPr>
              <w:t>Commitments and contingencies (Note 16)</w:t>
            </w: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50"/>
        </w:trPr>
        <w:tc>
          <w:tcPr>
            <w:tcW w:w="5260" w:type="dxa"/>
            <w:vAlign w:val="bottom"/>
            <w:shd w:val="clear" w:color="auto" w:fill="CCFFCC"/>
          </w:tcPr>
          <w:p>
            <w:pPr>
              <w:spacing w:after="0"/>
              <w:rPr>
                <w:sz w:val="21"/>
                <w:szCs w:val="21"/>
                <w:color w:val="auto"/>
              </w:rPr>
            </w:pPr>
          </w:p>
        </w:tc>
        <w:tc>
          <w:tcPr>
            <w:tcW w:w="440" w:type="dxa"/>
            <w:vAlign w:val="bottom"/>
            <w:shd w:val="clear" w:color="auto" w:fill="CCFFCC"/>
          </w:tcPr>
          <w:p>
            <w:pPr>
              <w:spacing w:after="0"/>
              <w:rPr>
                <w:sz w:val="21"/>
                <w:szCs w:val="21"/>
                <w:color w:val="auto"/>
              </w:rPr>
            </w:pPr>
          </w:p>
        </w:tc>
        <w:tc>
          <w:tcPr>
            <w:tcW w:w="280" w:type="dxa"/>
            <w:vAlign w:val="bottom"/>
            <w:shd w:val="clear" w:color="auto" w:fill="CCFFCC"/>
          </w:tcPr>
          <w:p>
            <w:pPr>
              <w:spacing w:after="0"/>
              <w:rPr>
                <w:sz w:val="21"/>
                <w:szCs w:val="21"/>
                <w:color w:val="auto"/>
              </w:rPr>
            </w:pPr>
          </w:p>
        </w:tc>
        <w:tc>
          <w:tcPr>
            <w:tcW w:w="1220" w:type="dxa"/>
            <w:vAlign w:val="bottom"/>
            <w:shd w:val="clear" w:color="auto" w:fill="CCFFCC"/>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shd w:val="clear" w:color="auto" w:fill="CCFFCC"/>
          </w:tcPr>
          <w:p>
            <w:pPr>
              <w:spacing w:after="0"/>
              <w:rPr>
                <w:sz w:val="21"/>
                <w:szCs w:val="21"/>
                <w:color w:val="auto"/>
              </w:rPr>
            </w:pPr>
          </w:p>
        </w:tc>
      </w:tr>
      <w:tr>
        <w:trPr>
          <w:trHeight w:val="237"/>
        </w:trPr>
        <w:tc>
          <w:tcPr>
            <w:tcW w:w="5260" w:type="dxa"/>
            <w:vAlign w:val="bottom"/>
          </w:tcPr>
          <w:p>
            <w:pPr>
              <w:spacing w:after="0"/>
              <w:rPr>
                <w:sz w:val="20"/>
                <w:szCs w:val="20"/>
                <w:color w:val="auto"/>
              </w:rPr>
            </w:pPr>
            <w:r>
              <w:rPr>
                <w:rFonts w:ascii="Arial" w:cs="Arial" w:eastAsia="Arial" w:hAnsi="Arial"/>
                <w:sz w:val="18"/>
                <w:szCs w:val="18"/>
                <w:color w:val="auto"/>
              </w:rPr>
              <w:t>Shareholders' equity:</w:t>
            </w: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49"/>
        </w:trPr>
        <w:tc>
          <w:tcPr>
            <w:tcW w:w="5260" w:type="dxa"/>
            <w:vAlign w:val="bottom"/>
            <w:shd w:val="clear" w:color="auto" w:fill="CCFFCC"/>
          </w:tcPr>
          <w:p>
            <w:pPr>
              <w:ind w:left="220"/>
              <w:spacing w:after="0"/>
              <w:rPr>
                <w:sz w:val="20"/>
                <w:szCs w:val="20"/>
                <w:color w:val="auto"/>
              </w:rPr>
            </w:pPr>
            <w:r>
              <w:rPr>
                <w:rFonts w:ascii="Arial" w:cs="Arial" w:eastAsia="Arial" w:hAnsi="Arial"/>
                <w:sz w:val="18"/>
                <w:szCs w:val="18"/>
                <w:color w:val="auto"/>
              </w:rPr>
              <w:t>Preferred stock (50 million shares authorized; none issued)</w:t>
            </w:r>
          </w:p>
        </w:tc>
        <w:tc>
          <w:tcPr>
            <w:tcW w:w="440" w:type="dxa"/>
            <w:vAlign w:val="bottom"/>
            <w:shd w:val="clear" w:color="auto" w:fill="CCFFCC"/>
          </w:tcPr>
          <w:p>
            <w:pPr>
              <w:spacing w:after="0"/>
              <w:rPr>
                <w:sz w:val="21"/>
                <w:szCs w:val="21"/>
                <w:color w:val="auto"/>
              </w:rPr>
            </w:pPr>
          </w:p>
        </w:tc>
        <w:tc>
          <w:tcPr>
            <w:tcW w:w="280" w:type="dxa"/>
            <w:vAlign w:val="bottom"/>
            <w:shd w:val="clear" w:color="auto" w:fill="CCFFCC"/>
          </w:tcPr>
          <w:p>
            <w:pPr>
              <w:spacing w:after="0"/>
              <w:rPr>
                <w:sz w:val="21"/>
                <w:szCs w:val="21"/>
                <w:color w:val="auto"/>
              </w:rPr>
            </w:pPr>
          </w:p>
        </w:tc>
        <w:tc>
          <w:tcPr>
            <w:tcW w:w="1220" w:type="dxa"/>
            <w:vAlign w:val="bottom"/>
            <w:shd w:val="clear" w:color="auto" w:fill="CCFFCC"/>
          </w:tcPr>
          <w:p>
            <w:pPr>
              <w:jc w:val="right"/>
              <w:ind w:right="47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21"/>
                <w:szCs w:val="21"/>
                <w:color w:val="auto"/>
              </w:rPr>
            </w:pPr>
          </w:p>
        </w:tc>
        <w:tc>
          <w:tcPr>
            <w:tcW w:w="100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rPr>
              <w:t>--</w:t>
            </w:r>
          </w:p>
        </w:tc>
      </w:tr>
      <w:tr>
        <w:trPr>
          <w:trHeight w:val="230"/>
        </w:trPr>
        <w:tc>
          <w:tcPr>
            <w:tcW w:w="5260" w:type="dxa"/>
            <w:vAlign w:val="bottom"/>
          </w:tcPr>
          <w:p>
            <w:pPr>
              <w:ind w:left="220"/>
              <w:spacing w:after="0"/>
              <w:rPr>
                <w:sz w:val="20"/>
                <w:szCs w:val="20"/>
                <w:color w:val="auto"/>
              </w:rPr>
            </w:pPr>
            <w:r>
              <w:rPr>
                <w:rFonts w:ascii="Arial" w:cs="Arial" w:eastAsia="Arial" w:hAnsi="Arial"/>
                <w:sz w:val="18"/>
                <w:szCs w:val="18"/>
                <w:color w:val="auto"/>
              </w:rPr>
              <w:t>Common stock (750 million shares authorized;</w:t>
            </w: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42"/>
        </w:trPr>
        <w:tc>
          <w:tcPr>
            <w:tcW w:w="5260" w:type="dxa"/>
            <w:vAlign w:val="bottom"/>
          </w:tcPr>
          <w:p>
            <w:pPr>
              <w:ind w:left="380"/>
              <w:spacing w:after="0"/>
              <w:rPr>
                <w:sz w:val="20"/>
                <w:szCs w:val="20"/>
                <w:color w:val="auto"/>
              </w:rPr>
            </w:pPr>
            <w:r>
              <w:rPr>
                <w:rFonts w:ascii="Arial" w:cs="Arial" w:eastAsia="Arial" w:hAnsi="Arial"/>
                <w:sz w:val="18"/>
                <w:szCs w:val="18"/>
                <w:color w:val="auto"/>
              </w:rPr>
              <w:t>261 million and 262 million shares outstanding at</w:t>
            </w: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29"/>
        </w:trPr>
        <w:tc>
          <w:tcPr>
            <w:tcW w:w="5260" w:type="dxa"/>
            <w:vAlign w:val="bottom"/>
          </w:tcPr>
          <w:p>
            <w:pPr>
              <w:ind w:left="380"/>
              <w:spacing w:after="0"/>
              <w:rPr>
                <w:sz w:val="20"/>
                <w:szCs w:val="20"/>
                <w:color w:val="auto"/>
              </w:rPr>
            </w:pPr>
            <w:r>
              <w:rPr>
                <w:rFonts w:ascii="Arial" w:cs="Arial" w:eastAsia="Arial" w:hAnsi="Arial"/>
                <w:sz w:val="18"/>
                <w:szCs w:val="18"/>
                <w:color w:val="auto"/>
                <w:w w:val="93"/>
              </w:rPr>
              <w:t>December 31, 2007 and December 31, 2006, respectively; no par</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7"/>
        </w:trPr>
        <w:tc>
          <w:tcPr>
            <w:tcW w:w="5260" w:type="dxa"/>
            <w:vAlign w:val="bottom"/>
          </w:tcPr>
          <w:p>
            <w:pPr>
              <w:ind w:left="380"/>
              <w:spacing w:after="0"/>
              <w:rPr>
                <w:sz w:val="20"/>
                <w:szCs w:val="20"/>
                <w:color w:val="auto"/>
              </w:rPr>
            </w:pPr>
            <w:r>
              <w:rPr>
                <w:rFonts w:ascii="Arial" w:cs="Arial" w:eastAsia="Arial" w:hAnsi="Arial"/>
                <w:sz w:val="18"/>
                <w:szCs w:val="18"/>
                <w:color w:val="auto"/>
              </w:rPr>
              <w:t>value)</w:t>
            </w: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ind w:right="470"/>
              <w:spacing w:after="0"/>
              <w:rPr>
                <w:sz w:val="20"/>
                <w:szCs w:val="20"/>
                <w:color w:val="auto"/>
              </w:rPr>
            </w:pPr>
            <w:r>
              <w:rPr>
                <w:rFonts w:ascii="Arial" w:cs="Arial" w:eastAsia="Arial" w:hAnsi="Arial"/>
                <w:sz w:val="18"/>
                <w:szCs w:val="18"/>
                <w:color w:val="auto"/>
              </w:rPr>
              <w:t>3,198</w:t>
            </w:r>
          </w:p>
        </w:tc>
        <w:tc>
          <w:tcPr>
            <w:tcW w:w="160" w:type="dxa"/>
            <w:vAlign w:val="bottom"/>
          </w:tcPr>
          <w:p>
            <w:pPr>
              <w:spacing w:after="0"/>
              <w:rPr>
                <w:sz w:val="20"/>
                <w:szCs w:val="20"/>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3,245</w:t>
            </w:r>
          </w:p>
        </w:tc>
      </w:tr>
      <w:tr>
        <w:trPr>
          <w:trHeight w:val="250"/>
        </w:trPr>
        <w:tc>
          <w:tcPr>
            <w:tcW w:w="5260" w:type="dxa"/>
            <w:vAlign w:val="bottom"/>
            <w:shd w:val="clear" w:color="auto" w:fill="CCFFCC"/>
          </w:tcPr>
          <w:p>
            <w:pPr>
              <w:ind w:left="220"/>
              <w:spacing w:after="0"/>
              <w:rPr>
                <w:sz w:val="20"/>
                <w:szCs w:val="20"/>
                <w:color w:val="auto"/>
              </w:rPr>
            </w:pPr>
            <w:r>
              <w:rPr>
                <w:rFonts w:ascii="Arial" w:cs="Arial" w:eastAsia="Arial" w:hAnsi="Arial"/>
                <w:sz w:val="18"/>
                <w:szCs w:val="18"/>
                <w:color w:val="auto"/>
              </w:rPr>
              <w:t>Retained earnings</w:t>
            </w:r>
          </w:p>
        </w:tc>
        <w:tc>
          <w:tcPr>
            <w:tcW w:w="440" w:type="dxa"/>
            <w:vAlign w:val="bottom"/>
            <w:shd w:val="clear" w:color="auto" w:fill="CCFFCC"/>
          </w:tcPr>
          <w:p>
            <w:pPr>
              <w:spacing w:after="0"/>
              <w:rPr>
                <w:sz w:val="21"/>
                <w:szCs w:val="21"/>
                <w:color w:val="auto"/>
              </w:rPr>
            </w:pPr>
          </w:p>
        </w:tc>
        <w:tc>
          <w:tcPr>
            <w:tcW w:w="280" w:type="dxa"/>
            <w:vAlign w:val="bottom"/>
            <w:shd w:val="clear" w:color="auto" w:fill="CCFFCC"/>
          </w:tcPr>
          <w:p>
            <w:pPr>
              <w:spacing w:after="0"/>
              <w:rPr>
                <w:sz w:val="21"/>
                <w:szCs w:val="21"/>
                <w:color w:val="auto"/>
              </w:rPr>
            </w:pPr>
          </w:p>
        </w:tc>
        <w:tc>
          <w:tcPr>
            <w:tcW w:w="1220" w:type="dxa"/>
            <w:vAlign w:val="bottom"/>
            <w:shd w:val="clear" w:color="auto" w:fill="CCFFCC"/>
          </w:tcPr>
          <w:p>
            <w:pPr>
              <w:jc w:val="right"/>
              <w:ind w:right="470"/>
              <w:spacing w:after="0"/>
              <w:rPr>
                <w:sz w:val="20"/>
                <w:szCs w:val="20"/>
                <w:color w:val="auto"/>
              </w:rPr>
            </w:pPr>
            <w:r>
              <w:rPr>
                <w:rFonts w:ascii="Arial" w:cs="Arial" w:eastAsia="Arial" w:hAnsi="Arial"/>
                <w:sz w:val="18"/>
                <w:szCs w:val="18"/>
                <w:color w:val="auto"/>
              </w:rPr>
              <w:t>5,464</w:t>
            </w:r>
          </w:p>
        </w:tc>
        <w:tc>
          <w:tcPr>
            <w:tcW w:w="160" w:type="dxa"/>
            <w:vAlign w:val="bottom"/>
            <w:shd w:val="clear" w:color="auto" w:fill="CCFFCC"/>
          </w:tcPr>
          <w:p>
            <w:pPr>
              <w:spacing w:after="0"/>
              <w:rPr>
                <w:sz w:val="21"/>
                <w:szCs w:val="21"/>
                <w:color w:val="auto"/>
              </w:rPr>
            </w:pPr>
          </w:p>
        </w:tc>
        <w:tc>
          <w:tcPr>
            <w:tcW w:w="100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rPr>
              <w:t>4,681</w:t>
            </w:r>
          </w:p>
        </w:tc>
      </w:tr>
      <w:tr>
        <w:trPr>
          <w:trHeight w:val="237"/>
        </w:trPr>
        <w:tc>
          <w:tcPr>
            <w:tcW w:w="5260" w:type="dxa"/>
            <w:vAlign w:val="bottom"/>
          </w:tcPr>
          <w:p>
            <w:pPr>
              <w:ind w:left="220"/>
              <w:spacing w:after="0"/>
              <w:rPr>
                <w:sz w:val="20"/>
                <w:szCs w:val="20"/>
                <w:color w:val="auto"/>
              </w:rPr>
            </w:pPr>
            <w:r>
              <w:rPr>
                <w:rFonts w:ascii="Arial" w:cs="Arial" w:eastAsia="Arial" w:hAnsi="Arial"/>
                <w:sz w:val="18"/>
                <w:szCs w:val="18"/>
                <w:color w:val="auto"/>
              </w:rPr>
              <w:t>Deferred compensation</w:t>
            </w: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ind w:right="370"/>
              <w:spacing w:after="0"/>
              <w:rPr>
                <w:sz w:val="20"/>
                <w:szCs w:val="20"/>
                <w:color w:val="auto"/>
              </w:rPr>
            </w:pPr>
            <w:r>
              <w:rPr>
                <w:rFonts w:ascii="Arial" w:cs="Arial" w:eastAsia="Arial" w:hAnsi="Arial"/>
                <w:sz w:val="18"/>
                <w:szCs w:val="18"/>
                <w:color w:val="auto"/>
              </w:rPr>
              <w:t>(22 )</w:t>
            </w:r>
          </w:p>
        </w:tc>
        <w:tc>
          <w:tcPr>
            <w:tcW w:w="16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(25 )</w:t>
            </w:r>
          </w:p>
        </w:tc>
      </w:tr>
      <w:tr>
        <w:trPr>
          <w:trHeight w:val="249"/>
        </w:trPr>
        <w:tc>
          <w:tcPr>
            <w:tcW w:w="5260" w:type="dxa"/>
            <w:vAlign w:val="bottom"/>
            <w:tcBorders>
              <w:bottom w:val="single" w:sz="8" w:color="CCFFCC"/>
            </w:tcBorders>
            <w:shd w:val="clear" w:color="auto" w:fill="CCFFCC"/>
          </w:tcPr>
          <w:p>
            <w:pPr>
              <w:ind w:left="220"/>
              <w:spacing w:after="0"/>
              <w:rPr>
                <w:sz w:val="20"/>
                <w:szCs w:val="20"/>
                <w:color w:val="auto"/>
              </w:rPr>
            </w:pPr>
            <w:r>
              <w:rPr>
                <w:rFonts w:ascii="Arial" w:cs="Arial" w:eastAsia="Arial" w:hAnsi="Arial"/>
                <w:sz w:val="18"/>
                <w:szCs w:val="18"/>
                <w:color w:val="auto"/>
              </w:rPr>
              <w:t>Accumulated other comprehensive income (loss)</w:t>
            </w:r>
          </w:p>
        </w:tc>
        <w:tc>
          <w:tcPr>
            <w:tcW w:w="440" w:type="dxa"/>
            <w:vAlign w:val="bottom"/>
            <w:tcBorders>
              <w:bottom w:val="single" w:sz="8" w:color="CCFFCC"/>
            </w:tcBorders>
            <w:shd w:val="clear" w:color="auto" w:fill="CCFFCC"/>
          </w:tcPr>
          <w:p>
            <w:pPr>
              <w:spacing w:after="0"/>
              <w:rPr>
                <w:sz w:val="21"/>
                <w:szCs w:val="21"/>
                <w:color w:val="auto"/>
              </w:rPr>
            </w:pPr>
          </w:p>
        </w:tc>
        <w:tc>
          <w:tcPr>
            <w:tcW w:w="280" w:type="dxa"/>
            <w:vAlign w:val="bottom"/>
            <w:tcBorders>
              <w:bottom w:val="single" w:sz="8" w:color="auto"/>
            </w:tcBorders>
            <w:shd w:val="clear" w:color="auto" w:fill="CCFFCC"/>
          </w:tcPr>
          <w:p>
            <w:pPr>
              <w:spacing w:after="0"/>
              <w:rPr>
                <w:sz w:val="21"/>
                <w:szCs w:val="21"/>
                <w:color w:val="auto"/>
              </w:rPr>
            </w:pPr>
          </w:p>
        </w:tc>
        <w:tc>
          <w:tcPr>
            <w:tcW w:w="1220" w:type="dxa"/>
            <w:vAlign w:val="bottom"/>
            <w:tcBorders>
              <w:bottom w:val="single" w:sz="8" w:color="auto"/>
            </w:tcBorders>
            <w:shd w:val="clear" w:color="auto" w:fill="CCFFCC"/>
          </w:tcPr>
          <w:p>
            <w:pPr>
              <w:jc w:val="right"/>
              <w:ind w:right="370"/>
              <w:spacing w:after="0"/>
              <w:rPr>
                <w:sz w:val="20"/>
                <w:szCs w:val="20"/>
                <w:color w:val="auto"/>
              </w:rPr>
            </w:pPr>
            <w:r>
              <w:rPr>
                <w:rFonts w:ascii="Arial" w:cs="Arial" w:eastAsia="Arial" w:hAnsi="Arial"/>
                <w:sz w:val="18"/>
                <w:szCs w:val="18"/>
                <w:color w:val="auto"/>
              </w:rPr>
              <w:t>(301 )</w:t>
            </w:r>
          </w:p>
        </w:tc>
        <w:tc>
          <w:tcPr>
            <w:tcW w:w="160" w:type="dxa"/>
            <w:vAlign w:val="bottom"/>
            <w:tcBorders>
              <w:bottom w:val="single" w:sz="8" w:color="auto"/>
            </w:tcBorders>
            <w:shd w:val="clear" w:color="auto" w:fill="CCFFCC"/>
          </w:tcPr>
          <w:p>
            <w:pPr>
              <w:spacing w:after="0"/>
              <w:rPr>
                <w:sz w:val="21"/>
                <w:szCs w:val="21"/>
                <w:color w:val="auto"/>
              </w:rPr>
            </w:pPr>
          </w:p>
        </w:tc>
        <w:tc>
          <w:tcPr>
            <w:tcW w:w="1000" w:type="dxa"/>
            <w:vAlign w:val="bottom"/>
            <w:tcBorders>
              <w:bottom w:val="single" w:sz="8" w:color="auto"/>
            </w:tcBorders>
            <w:shd w:val="clear" w:color="auto" w:fill="CCFFCC"/>
          </w:tcPr>
          <w:p>
            <w:pPr>
              <w:jc w:val="right"/>
              <w:ind w:right="30"/>
              <w:spacing w:after="0"/>
              <w:rPr>
                <w:sz w:val="20"/>
                <w:szCs w:val="20"/>
                <w:color w:val="auto"/>
              </w:rPr>
            </w:pPr>
            <w:r>
              <w:rPr>
                <w:rFonts w:ascii="Arial" w:cs="Arial" w:eastAsia="Arial" w:hAnsi="Arial"/>
                <w:sz w:val="18"/>
                <w:szCs w:val="18"/>
                <w:color w:val="auto"/>
              </w:rPr>
              <w:t>(390 )</w:t>
            </w:r>
          </w:p>
        </w:tc>
      </w:tr>
      <w:tr>
        <w:trPr>
          <w:trHeight w:val="237"/>
        </w:trPr>
        <w:tc>
          <w:tcPr>
            <w:tcW w:w="5260" w:type="dxa"/>
            <w:vAlign w:val="bottom"/>
          </w:tcPr>
          <w:p>
            <w:pPr>
              <w:ind w:left="380"/>
              <w:spacing w:after="0"/>
              <w:rPr>
                <w:sz w:val="20"/>
                <w:szCs w:val="20"/>
                <w:color w:val="auto"/>
              </w:rPr>
            </w:pPr>
            <w:r>
              <w:rPr>
                <w:rFonts w:ascii="Arial" w:cs="Arial" w:eastAsia="Arial" w:hAnsi="Arial"/>
                <w:sz w:val="18"/>
                <w:szCs w:val="18"/>
                <w:color w:val="auto"/>
              </w:rPr>
              <w:t>Total shareholders' equity</w:t>
            </w:r>
          </w:p>
        </w:tc>
        <w:tc>
          <w:tcPr>
            <w:tcW w:w="4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8,339</w:t>
            </w: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7,511</w:t>
            </w:r>
          </w:p>
        </w:tc>
      </w:tr>
      <w:tr>
        <w:trPr>
          <w:trHeight w:val="257"/>
        </w:trPr>
        <w:tc>
          <w:tcPr>
            <w:tcW w:w="526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Total liabilities and shareholders' equity</w:t>
            </w:r>
          </w:p>
        </w:tc>
        <w:tc>
          <w:tcPr>
            <w:tcW w:w="440" w:type="dxa"/>
            <w:vAlign w:val="bottom"/>
            <w:tcBorders>
              <w:bottom w:val="single" w:sz="8" w:color="CCFFCC"/>
            </w:tcBorders>
            <w:shd w:val="clear" w:color="auto" w:fill="CCFFCC"/>
          </w:tcPr>
          <w:p>
            <w:pPr>
              <w:spacing w:after="0"/>
              <w:rPr>
                <w:sz w:val="22"/>
                <w:szCs w:val="22"/>
                <w:color w:val="auto"/>
              </w:rPr>
            </w:pPr>
          </w:p>
        </w:tc>
        <w:tc>
          <w:tcPr>
            <w:tcW w:w="280" w:type="dxa"/>
            <w:vAlign w:val="bottom"/>
            <w:tcBorders>
              <w:bottom w:val="single" w:sz="8" w:color="auto"/>
            </w:tcBorders>
            <w:shd w:val="clear" w:color="auto" w:fill="CCFFCC"/>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FFCC"/>
          </w:tcPr>
          <w:p>
            <w:pPr>
              <w:jc w:val="right"/>
              <w:ind w:right="470"/>
              <w:spacing w:after="0"/>
              <w:rPr>
                <w:sz w:val="20"/>
                <w:szCs w:val="20"/>
                <w:color w:val="auto"/>
              </w:rPr>
            </w:pPr>
            <w:r>
              <w:rPr>
                <w:rFonts w:ascii="Arial" w:cs="Arial" w:eastAsia="Arial" w:hAnsi="Arial"/>
                <w:sz w:val="18"/>
                <w:szCs w:val="18"/>
                <w:color w:val="auto"/>
              </w:rPr>
              <w:t>30,091</w:t>
            </w:r>
          </w:p>
        </w:tc>
        <w:tc>
          <w:tcPr>
            <w:tcW w:w="160" w:type="dxa"/>
            <w:vAlign w:val="bottom"/>
            <w:tcBorders>
              <w:bottom w:val="single" w:sz="8" w:color="auto"/>
            </w:tcBorders>
            <w:shd w:val="clear" w:color="auto" w:fill="CCFFCC"/>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FFCC"/>
          </w:tcPr>
          <w:p>
            <w:pPr>
              <w:jc w:val="right"/>
              <w:ind w:right="130"/>
              <w:spacing w:after="0"/>
              <w:rPr>
                <w:sz w:val="20"/>
                <w:szCs w:val="20"/>
                <w:color w:val="auto"/>
              </w:rPr>
            </w:pPr>
            <w:r>
              <w:rPr>
                <w:rFonts w:ascii="Arial" w:cs="Arial" w:eastAsia="Arial" w:hAnsi="Arial"/>
                <w:sz w:val="18"/>
                <w:szCs w:val="18"/>
                <w:color w:val="auto"/>
              </w:rPr>
              <w:t>28,949</w:t>
            </w:r>
          </w:p>
        </w:tc>
      </w:tr>
    </w:tbl>
    <w:p>
      <w:pPr>
        <w:spacing w:after="0" w:line="242"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0219"/>
          </w:cols>
          <w:pgMar w:left="240" w:top="895" w:right="1440" w:bottom="247" w:gutter="0" w:footer="0" w:header="0"/>
        </w:sect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0219"/>
          </w:cols>
          <w:pgMar w:left="240" w:top="895" w:right="1440" w:bottom="247" w:gutter="0" w:footer="0" w:header="0"/>
          <w:type w:val="continuous"/>
        </w:sectPr>
      </w:pPr>
    </w:p>
    <w:bookmarkStart w:id="118" w:name="page119"/>
    <w:bookmarkEnd w:id="118"/>
    <w:p>
      <w:pPr>
        <w:ind w:left="1460"/>
        <w:spacing w:after="0"/>
        <w:rPr>
          <w:sz w:val="20"/>
          <w:szCs w:val="20"/>
          <w:color w:val="auto"/>
        </w:rPr>
      </w:pPr>
      <w:r>
        <w:rPr>
          <w:rFonts w:ascii="Arial" w:cs="Arial" w:eastAsia="Arial" w:hAnsi="Arial"/>
          <w:sz w:val="16"/>
          <w:szCs w:val="16"/>
          <w:color w:val="auto"/>
        </w:rPr>
        <w:t>SEMPRA ENERGY</w:t>
      </w:r>
    </w:p>
    <w:p>
      <w:pPr>
        <w:spacing w:after="0" w:line="32"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STATEMENTS OF CONSOLIDATED CASH FLOWS</w:t>
      </w:r>
    </w:p>
    <w:p>
      <w:pPr>
        <w:spacing w:after="0" w:line="289" w:lineRule="exact"/>
        <w:rPr>
          <w:sz w:val="20"/>
          <w:szCs w:val="20"/>
          <w:color w:val="auto"/>
        </w:rPr>
      </w:pPr>
    </w:p>
    <w:tbl>
      <w:tblPr>
        <w:tblLayout w:type="fixed"/>
        <w:tblInd w:w="1440" w:type="dxa"/>
        <w:tblCellMar>
          <w:top w:w="0" w:type="dxa"/>
          <w:left w:w="0" w:type="dxa"/>
          <w:bottom w:w="0" w:type="dxa"/>
          <w:right w:w="0" w:type="dxa"/>
        </w:tblCellMar>
      </w:tblPr>
      <w:tr>
        <w:trPr>
          <w:trHeight w:val="209"/>
        </w:trPr>
        <w:tc>
          <w:tcPr>
            <w:tcW w:w="49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color w:val="auto"/>
                <w:w w:val="89"/>
              </w:rPr>
              <w:t>Years ended December 31,</w:t>
            </w:r>
          </w:p>
        </w:tc>
        <w:tc>
          <w:tcPr>
            <w:tcW w:w="800" w:type="dxa"/>
            <w:vAlign w:val="bottom"/>
            <w:tcBorders>
              <w:bottom w:val="single" w:sz="8" w:color="auto"/>
            </w:tcBorders>
          </w:tcPr>
          <w:p>
            <w:pPr>
              <w:spacing w:after="0"/>
              <w:rPr>
                <w:sz w:val="18"/>
                <w:szCs w:val="18"/>
                <w:color w:val="auto"/>
              </w:rPr>
            </w:pPr>
          </w:p>
        </w:tc>
      </w:tr>
      <w:tr>
        <w:trPr>
          <w:trHeight w:val="237"/>
        </w:trPr>
        <w:tc>
          <w:tcPr>
            <w:tcW w:w="49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(Dollars in millions)</w:t>
            </w:r>
          </w:p>
        </w:tc>
        <w:tc>
          <w:tcPr>
            <w:tcW w:w="2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2007</w:t>
            </w:r>
          </w:p>
        </w:tc>
        <w:tc>
          <w:tcPr>
            <w:tcW w:w="5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2006</w:t>
            </w:r>
          </w:p>
        </w:tc>
        <w:tc>
          <w:tcPr>
            <w:tcW w:w="4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2005</w:t>
            </w:r>
          </w:p>
        </w:tc>
      </w:tr>
      <w:tr>
        <w:trPr>
          <w:trHeight w:val="480"/>
        </w:trPr>
        <w:tc>
          <w:tcPr>
            <w:tcW w:w="4960" w:type="dxa"/>
            <w:vAlign w:val="bottom"/>
          </w:tcPr>
          <w:p>
            <w:pPr>
              <w:ind w:left="20"/>
              <w:spacing w:after="0"/>
              <w:rPr>
                <w:sz w:val="20"/>
                <w:szCs w:val="20"/>
                <w:color w:val="auto"/>
              </w:rPr>
            </w:pPr>
            <w:r>
              <w:rPr>
                <w:rFonts w:ascii="Arial" w:cs="Arial" w:eastAsia="Arial" w:hAnsi="Arial"/>
                <w:sz w:val="16"/>
                <w:szCs w:val="16"/>
                <w:color w:val="auto"/>
              </w:rPr>
              <w:t>CASH FLOWS FROM OPERATING ACTIVITIES</w:t>
            </w: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46"/>
        </w:trPr>
        <w:tc>
          <w:tcPr>
            <w:tcW w:w="4960" w:type="dxa"/>
            <w:vAlign w:val="bottom"/>
            <w:shd w:val="clear" w:color="auto" w:fill="CCFFCC"/>
          </w:tcPr>
          <w:p>
            <w:pPr>
              <w:ind w:left="280"/>
              <w:spacing w:after="0"/>
              <w:rPr>
                <w:sz w:val="20"/>
                <w:szCs w:val="20"/>
                <w:color w:val="auto"/>
              </w:rPr>
            </w:pPr>
            <w:r>
              <w:rPr>
                <w:rFonts w:ascii="Arial" w:cs="Arial" w:eastAsia="Arial" w:hAnsi="Arial"/>
                <w:sz w:val="16"/>
                <w:szCs w:val="16"/>
                <w:color w:val="auto"/>
              </w:rPr>
              <w:t>Net income</w:t>
            </w:r>
          </w:p>
        </w:tc>
        <w:tc>
          <w:tcPr>
            <w:tcW w:w="240" w:type="dxa"/>
            <w:vAlign w:val="bottom"/>
            <w:shd w:val="clear" w:color="auto" w:fill="CCFFCC"/>
          </w:tcPr>
          <w:p>
            <w:pPr>
              <w:jc w:val="right"/>
              <w:ind w:right="19"/>
              <w:spacing w:after="0"/>
              <w:rPr>
                <w:sz w:val="20"/>
                <w:szCs w:val="20"/>
                <w:color w:val="auto"/>
              </w:rPr>
            </w:pPr>
            <w:r>
              <w:rPr>
                <w:rFonts w:ascii="Arial" w:cs="Arial" w:eastAsia="Arial" w:hAnsi="Arial"/>
                <w:sz w:val="16"/>
                <w:szCs w:val="16"/>
                <w:color w:val="auto"/>
              </w:rPr>
              <w:t>$</w:t>
            </w:r>
          </w:p>
        </w:tc>
        <w:tc>
          <w:tcPr>
            <w:tcW w:w="640" w:type="dxa"/>
            <w:vAlign w:val="bottom"/>
            <w:shd w:val="clear" w:color="auto" w:fill="CCFFCC"/>
          </w:tcPr>
          <w:p>
            <w:pPr>
              <w:jc w:val="right"/>
              <w:ind w:right="39"/>
              <w:spacing w:after="0"/>
              <w:rPr>
                <w:sz w:val="20"/>
                <w:szCs w:val="20"/>
                <w:color w:val="auto"/>
              </w:rPr>
            </w:pPr>
            <w:r>
              <w:rPr>
                <w:rFonts w:ascii="Arial" w:cs="Arial" w:eastAsia="Arial" w:hAnsi="Arial"/>
                <w:sz w:val="16"/>
                <w:szCs w:val="16"/>
                <w:color w:val="auto"/>
              </w:rPr>
              <w:t>1,099</w:t>
            </w:r>
          </w:p>
        </w:tc>
        <w:tc>
          <w:tcPr>
            <w:tcW w:w="580" w:type="dxa"/>
            <w:vAlign w:val="bottom"/>
            <w:shd w:val="clear" w:color="auto" w:fill="CCFFCC"/>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FFCC"/>
          </w:tcPr>
          <w:p>
            <w:pPr>
              <w:jc w:val="right"/>
              <w:ind w:right="159"/>
              <w:spacing w:after="0"/>
              <w:rPr>
                <w:sz w:val="20"/>
                <w:szCs w:val="20"/>
                <w:color w:val="auto"/>
              </w:rPr>
            </w:pPr>
            <w:r>
              <w:rPr>
                <w:rFonts w:ascii="Arial" w:cs="Arial" w:eastAsia="Arial" w:hAnsi="Arial"/>
                <w:sz w:val="16"/>
                <w:szCs w:val="16"/>
                <w:color w:val="auto"/>
              </w:rPr>
              <w:t>1,406</w:t>
            </w:r>
          </w:p>
        </w:tc>
        <w:tc>
          <w:tcPr>
            <w:tcW w:w="440" w:type="dxa"/>
            <w:vAlign w:val="bottom"/>
            <w:shd w:val="clear" w:color="auto" w:fill="CCFFCC"/>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FFCC"/>
          </w:tcPr>
          <w:p>
            <w:pPr>
              <w:jc w:val="right"/>
              <w:ind w:right="39"/>
              <w:spacing w:after="0"/>
              <w:rPr>
                <w:sz w:val="20"/>
                <w:szCs w:val="20"/>
                <w:color w:val="auto"/>
              </w:rPr>
            </w:pPr>
            <w:r>
              <w:rPr>
                <w:rFonts w:ascii="Arial" w:cs="Arial" w:eastAsia="Arial" w:hAnsi="Arial"/>
                <w:sz w:val="16"/>
                <w:szCs w:val="16"/>
                <w:color w:val="auto"/>
              </w:rPr>
              <w:t>920</w:t>
            </w:r>
          </w:p>
        </w:tc>
      </w:tr>
      <w:tr>
        <w:trPr>
          <w:trHeight w:val="193"/>
        </w:trPr>
        <w:tc>
          <w:tcPr>
            <w:tcW w:w="4960" w:type="dxa"/>
            <w:vAlign w:val="bottom"/>
          </w:tcPr>
          <w:p>
            <w:pPr>
              <w:ind w:left="280"/>
              <w:spacing w:after="0"/>
              <w:rPr>
                <w:sz w:val="20"/>
                <w:szCs w:val="20"/>
                <w:color w:val="auto"/>
              </w:rPr>
            </w:pPr>
            <w:r>
              <w:rPr>
                <w:rFonts w:ascii="Arial" w:cs="Arial" w:eastAsia="Arial" w:hAnsi="Arial"/>
                <w:sz w:val="16"/>
                <w:szCs w:val="16"/>
                <w:color w:val="auto"/>
              </w:rPr>
              <w:t>Adjustments to reconcile net income to net cash provided by</w:t>
            </w: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09"/>
        </w:trPr>
        <w:tc>
          <w:tcPr>
            <w:tcW w:w="4960" w:type="dxa"/>
            <w:vAlign w:val="bottom"/>
          </w:tcPr>
          <w:p>
            <w:pPr>
              <w:ind w:left="380"/>
              <w:spacing w:after="0"/>
              <w:rPr>
                <w:sz w:val="20"/>
                <w:szCs w:val="20"/>
                <w:color w:val="auto"/>
              </w:rPr>
            </w:pPr>
            <w:r>
              <w:rPr>
                <w:rFonts w:ascii="Arial" w:cs="Arial" w:eastAsia="Arial" w:hAnsi="Arial"/>
                <w:sz w:val="16"/>
                <w:szCs w:val="16"/>
                <w:color w:val="auto"/>
              </w:rPr>
              <w:t>operating activities:</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46"/>
        </w:trPr>
        <w:tc>
          <w:tcPr>
            <w:tcW w:w="4960" w:type="dxa"/>
            <w:vAlign w:val="bottom"/>
            <w:shd w:val="clear" w:color="auto" w:fill="CCFFCC"/>
          </w:tcPr>
          <w:p>
            <w:pPr>
              <w:ind w:left="760"/>
              <w:spacing w:after="0"/>
              <w:rPr>
                <w:sz w:val="20"/>
                <w:szCs w:val="20"/>
                <w:color w:val="auto"/>
              </w:rPr>
            </w:pPr>
            <w:r>
              <w:rPr>
                <w:rFonts w:ascii="Arial" w:cs="Arial" w:eastAsia="Arial" w:hAnsi="Arial"/>
                <w:sz w:val="16"/>
                <w:szCs w:val="16"/>
                <w:color w:val="auto"/>
              </w:rPr>
              <w:t>Discontinued operations</w:t>
            </w:r>
          </w:p>
        </w:tc>
        <w:tc>
          <w:tcPr>
            <w:tcW w:w="240" w:type="dxa"/>
            <w:vAlign w:val="bottom"/>
            <w:shd w:val="clear" w:color="auto" w:fill="CCFFCC"/>
          </w:tcPr>
          <w:p>
            <w:pPr>
              <w:spacing w:after="0"/>
              <w:rPr>
                <w:sz w:val="21"/>
                <w:szCs w:val="21"/>
                <w:color w:val="auto"/>
              </w:rPr>
            </w:pPr>
          </w:p>
        </w:tc>
        <w:tc>
          <w:tcPr>
            <w:tcW w:w="640" w:type="dxa"/>
            <w:vAlign w:val="bottom"/>
            <w:shd w:val="clear" w:color="auto" w:fill="CCFFCC"/>
          </w:tcPr>
          <w:p>
            <w:pPr>
              <w:jc w:val="right"/>
              <w:ind w:right="39"/>
              <w:spacing w:after="0"/>
              <w:rPr>
                <w:sz w:val="20"/>
                <w:szCs w:val="20"/>
                <w:color w:val="auto"/>
              </w:rPr>
            </w:pPr>
            <w:r>
              <w:rPr>
                <w:rFonts w:ascii="Arial" w:cs="Arial" w:eastAsia="Arial" w:hAnsi="Arial"/>
                <w:sz w:val="16"/>
                <w:szCs w:val="16"/>
                <w:color w:val="auto"/>
              </w:rPr>
              <w:t>26</w:t>
            </w:r>
          </w:p>
        </w:tc>
        <w:tc>
          <w:tcPr>
            <w:tcW w:w="580" w:type="dxa"/>
            <w:vAlign w:val="bottom"/>
            <w:shd w:val="clear" w:color="auto" w:fill="CCFFCC"/>
          </w:tcPr>
          <w:p>
            <w:pPr>
              <w:spacing w:after="0"/>
              <w:rPr>
                <w:sz w:val="21"/>
                <w:szCs w:val="21"/>
                <w:color w:val="auto"/>
              </w:rPr>
            </w:pPr>
          </w:p>
        </w:tc>
        <w:tc>
          <w:tcPr>
            <w:tcW w:w="880" w:type="dxa"/>
            <w:vAlign w:val="bottom"/>
            <w:shd w:val="clear" w:color="auto" w:fill="CCFFCC"/>
          </w:tcPr>
          <w:p>
            <w:pPr>
              <w:jc w:val="right"/>
              <w:ind w:right="79"/>
              <w:spacing w:after="0"/>
              <w:rPr>
                <w:sz w:val="20"/>
                <w:szCs w:val="20"/>
                <w:color w:val="auto"/>
              </w:rPr>
            </w:pPr>
            <w:r>
              <w:rPr>
                <w:rFonts w:ascii="Arial" w:cs="Arial" w:eastAsia="Arial" w:hAnsi="Arial"/>
                <w:sz w:val="16"/>
                <w:szCs w:val="16"/>
                <w:color w:val="auto"/>
              </w:rPr>
              <w:t>(315 )</w:t>
            </w:r>
          </w:p>
        </w:tc>
        <w:tc>
          <w:tcPr>
            <w:tcW w:w="440" w:type="dxa"/>
            <w:vAlign w:val="bottom"/>
            <w:shd w:val="clear" w:color="auto" w:fill="CCFFCC"/>
          </w:tcPr>
          <w:p>
            <w:pPr>
              <w:spacing w:after="0"/>
              <w:rPr>
                <w:sz w:val="21"/>
                <w:szCs w:val="21"/>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(7 )</w:t>
            </w:r>
          </w:p>
        </w:tc>
      </w:tr>
      <w:tr>
        <w:trPr>
          <w:trHeight w:val="240"/>
        </w:trPr>
        <w:tc>
          <w:tcPr>
            <w:tcW w:w="4960" w:type="dxa"/>
            <w:vAlign w:val="bottom"/>
          </w:tcPr>
          <w:p>
            <w:pPr>
              <w:ind w:left="760"/>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686</w:t>
            </w:r>
          </w:p>
        </w:tc>
        <w:tc>
          <w:tcPr>
            <w:tcW w:w="580" w:type="dxa"/>
            <w:vAlign w:val="bottom"/>
          </w:tcPr>
          <w:p>
            <w:pPr>
              <w:spacing w:after="0"/>
              <w:rPr>
                <w:sz w:val="20"/>
                <w:szCs w:val="20"/>
                <w:color w:val="auto"/>
              </w:rPr>
            </w:pPr>
          </w:p>
        </w:tc>
        <w:tc>
          <w:tcPr>
            <w:tcW w:w="880" w:type="dxa"/>
            <w:vAlign w:val="bottom"/>
          </w:tcPr>
          <w:p>
            <w:pPr>
              <w:jc w:val="right"/>
              <w:ind w:right="159"/>
              <w:spacing w:after="0"/>
              <w:rPr>
                <w:sz w:val="20"/>
                <w:szCs w:val="20"/>
                <w:color w:val="auto"/>
              </w:rPr>
            </w:pPr>
            <w:r>
              <w:rPr>
                <w:rFonts w:ascii="Arial" w:cs="Arial" w:eastAsia="Arial" w:hAnsi="Arial"/>
                <w:sz w:val="16"/>
                <w:szCs w:val="16"/>
                <w:color w:val="auto"/>
              </w:rPr>
              <w:t>657</w:t>
            </w:r>
          </w:p>
        </w:tc>
        <w:tc>
          <w:tcPr>
            <w:tcW w:w="44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626</w:t>
            </w:r>
          </w:p>
        </w:tc>
      </w:tr>
      <w:tr>
        <w:trPr>
          <w:trHeight w:val="246"/>
        </w:trPr>
        <w:tc>
          <w:tcPr>
            <w:tcW w:w="4960" w:type="dxa"/>
            <w:vAlign w:val="bottom"/>
            <w:shd w:val="clear" w:color="auto" w:fill="CCFFCC"/>
          </w:tcPr>
          <w:p>
            <w:pPr>
              <w:ind w:left="760"/>
              <w:spacing w:after="0"/>
              <w:rPr>
                <w:sz w:val="20"/>
                <w:szCs w:val="20"/>
                <w:color w:val="auto"/>
              </w:rPr>
            </w:pPr>
            <w:r>
              <w:rPr>
                <w:rFonts w:ascii="Arial" w:cs="Arial" w:eastAsia="Arial" w:hAnsi="Arial"/>
                <w:sz w:val="16"/>
                <w:szCs w:val="16"/>
                <w:color w:val="auto"/>
              </w:rPr>
              <w:t>Gains on sale of assets, net</w:t>
            </w:r>
          </w:p>
        </w:tc>
        <w:tc>
          <w:tcPr>
            <w:tcW w:w="240" w:type="dxa"/>
            <w:vAlign w:val="bottom"/>
            <w:shd w:val="clear" w:color="auto" w:fill="CCFFCC"/>
          </w:tcPr>
          <w:p>
            <w:pPr>
              <w:spacing w:after="0"/>
              <w:rPr>
                <w:sz w:val="21"/>
                <w:szCs w:val="21"/>
                <w:color w:val="auto"/>
              </w:rPr>
            </w:pPr>
          </w:p>
        </w:tc>
        <w:tc>
          <w:tcPr>
            <w:tcW w:w="6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(6 )</w:t>
            </w:r>
          </w:p>
        </w:tc>
        <w:tc>
          <w:tcPr>
            <w:tcW w:w="580" w:type="dxa"/>
            <w:vAlign w:val="bottom"/>
            <w:shd w:val="clear" w:color="auto" w:fill="CCFFCC"/>
          </w:tcPr>
          <w:p>
            <w:pPr>
              <w:spacing w:after="0"/>
              <w:rPr>
                <w:sz w:val="21"/>
                <w:szCs w:val="21"/>
                <w:color w:val="auto"/>
              </w:rPr>
            </w:pPr>
          </w:p>
        </w:tc>
        <w:tc>
          <w:tcPr>
            <w:tcW w:w="880" w:type="dxa"/>
            <w:vAlign w:val="bottom"/>
            <w:shd w:val="clear" w:color="auto" w:fill="CCFFCC"/>
          </w:tcPr>
          <w:p>
            <w:pPr>
              <w:jc w:val="right"/>
              <w:ind w:right="79"/>
              <w:spacing w:after="0"/>
              <w:rPr>
                <w:sz w:val="20"/>
                <w:szCs w:val="20"/>
                <w:color w:val="auto"/>
              </w:rPr>
            </w:pPr>
            <w:r>
              <w:rPr>
                <w:rFonts w:ascii="Arial" w:cs="Arial" w:eastAsia="Arial" w:hAnsi="Arial"/>
                <w:sz w:val="16"/>
                <w:szCs w:val="16"/>
                <w:color w:val="auto"/>
              </w:rPr>
              <w:t>(1 )</w:t>
            </w:r>
          </w:p>
        </w:tc>
        <w:tc>
          <w:tcPr>
            <w:tcW w:w="440" w:type="dxa"/>
            <w:vAlign w:val="bottom"/>
            <w:shd w:val="clear" w:color="auto" w:fill="CCFFCC"/>
          </w:tcPr>
          <w:p>
            <w:pPr>
              <w:spacing w:after="0"/>
              <w:rPr>
                <w:sz w:val="21"/>
                <w:szCs w:val="21"/>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(112 )</w:t>
            </w:r>
          </w:p>
        </w:tc>
      </w:tr>
      <w:tr>
        <w:trPr>
          <w:trHeight w:val="240"/>
        </w:trPr>
        <w:tc>
          <w:tcPr>
            <w:tcW w:w="4960" w:type="dxa"/>
            <w:vAlign w:val="bottom"/>
          </w:tcPr>
          <w:p>
            <w:pPr>
              <w:ind w:left="760"/>
              <w:spacing w:after="0"/>
              <w:rPr>
                <w:sz w:val="20"/>
                <w:szCs w:val="20"/>
                <w:color w:val="auto"/>
              </w:rPr>
            </w:pPr>
            <w:r>
              <w:rPr>
                <w:rFonts w:ascii="Arial" w:cs="Arial" w:eastAsia="Arial" w:hAnsi="Arial"/>
                <w:sz w:val="16"/>
                <w:szCs w:val="16"/>
                <w:color w:val="auto"/>
              </w:rPr>
              <w:t>Impairment losses</w:t>
            </w:r>
          </w:p>
        </w:tc>
        <w:tc>
          <w:tcPr>
            <w:tcW w:w="24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5</w:t>
            </w:r>
          </w:p>
        </w:tc>
        <w:tc>
          <w:tcPr>
            <w:tcW w:w="580" w:type="dxa"/>
            <w:vAlign w:val="bottom"/>
          </w:tcPr>
          <w:p>
            <w:pPr>
              <w:spacing w:after="0"/>
              <w:rPr>
                <w:sz w:val="20"/>
                <w:szCs w:val="20"/>
                <w:color w:val="auto"/>
              </w:rPr>
            </w:pPr>
          </w:p>
        </w:tc>
        <w:tc>
          <w:tcPr>
            <w:tcW w:w="880" w:type="dxa"/>
            <w:vAlign w:val="bottom"/>
          </w:tcPr>
          <w:p>
            <w:pPr>
              <w:jc w:val="right"/>
              <w:ind w:right="159"/>
              <w:spacing w:after="0"/>
              <w:rPr>
                <w:sz w:val="20"/>
                <w:szCs w:val="20"/>
                <w:color w:val="auto"/>
              </w:rPr>
            </w:pPr>
            <w:r>
              <w:rPr>
                <w:rFonts w:ascii="Arial" w:cs="Arial" w:eastAsia="Arial" w:hAnsi="Arial"/>
                <w:sz w:val="16"/>
                <w:szCs w:val="16"/>
                <w:color w:val="auto"/>
              </w:rPr>
              <w:t>9</w:t>
            </w:r>
          </w:p>
        </w:tc>
        <w:tc>
          <w:tcPr>
            <w:tcW w:w="44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85</w:t>
            </w:r>
          </w:p>
        </w:tc>
      </w:tr>
      <w:tr>
        <w:trPr>
          <w:trHeight w:val="246"/>
        </w:trPr>
        <w:tc>
          <w:tcPr>
            <w:tcW w:w="4960" w:type="dxa"/>
            <w:vAlign w:val="bottom"/>
            <w:shd w:val="clear" w:color="auto" w:fill="CCFFCC"/>
          </w:tcPr>
          <w:p>
            <w:pPr>
              <w:ind w:left="760"/>
              <w:spacing w:after="0"/>
              <w:rPr>
                <w:sz w:val="20"/>
                <w:szCs w:val="20"/>
                <w:color w:val="auto"/>
              </w:rPr>
            </w:pPr>
            <w:r>
              <w:rPr>
                <w:rFonts w:ascii="Arial" w:cs="Arial" w:eastAsia="Arial" w:hAnsi="Arial"/>
                <w:sz w:val="16"/>
                <w:szCs w:val="16"/>
                <w:color w:val="auto"/>
              </w:rPr>
              <w:t>Deferred income taxes and investment tax credits</w:t>
            </w:r>
          </w:p>
        </w:tc>
        <w:tc>
          <w:tcPr>
            <w:tcW w:w="240" w:type="dxa"/>
            <w:vAlign w:val="bottom"/>
            <w:shd w:val="clear" w:color="auto" w:fill="CCFFCC"/>
          </w:tcPr>
          <w:p>
            <w:pPr>
              <w:spacing w:after="0"/>
              <w:rPr>
                <w:sz w:val="21"/>
                <w:szCs w:val="21"/>
                <w:color w:val="auto"/>
              </w:rPr>
            </w:pPr>
          </w:p>
        </w:tc>
        <w:tc>
          <w:tcPr>
            <w:tcW w:w="640" w:type="dxa"/>
            <w:vAlign w:val="bottom"/>
            <w:shd w:val="clear" w:color="auto" w:fill="CCFFCC"/>
          </w:tcPr>
          <w:p>
            <w:pPr>
              <w:jc w:val="right"/>
              <w:ind w:right="39"/>
              <w:spacing w:after="0"/>
              <w:rPr>
                <w:sz w:val="20"/>
                <w:szCs w:val="20"/>
                <w:color w:val="auto"/>
              </w:rPr>
            </w:pPr>
            <w:r>
              <w:rPr>
                <w:rFonts w:ascii="Arial" w:cs="Arial" w:eastAsia="Arial" w:hAnsi="Arial"/>
                <w:sz w:val="16"/>
                <w:szCs w:val="16"/>
                <w:color w:val="auto"/>
              </w:rPr>
              <w:t>149</w:t>
            </w:r>
          </w:p>
        </w:tc>
        <w:tc>
          <w:tcPr>
            <w:tcW w:w="580" w:type="dxa"/>
            <w:vAlign w:val="bottom"/>
            <w:shd w:val="clear" w:color="auto" w:fill="CCFFCC"/>
          </w:tcPr>
          <w:p>
            <w:pPr>
              <w:spacing w:after="0"/>
              <w:rPr>
                <w:sz w:val="21"/>
                <w:szCs w:val="21"/>
                <w:color w:val="auto"/>
              </w:rPr>
            </w:pPr>
          </w:p>
        </w:tc>
        <w:tc>
          <w:tcPr>
            <w:tcW w:w="880" w:type="dxa"/>
            <w:vAlign w:val="bottom"/>
            <w:shd w:val="clear" w:color="auto" w:fill="CCFFCC"/>
          </w:tcPr>
          <w:p>
            <w:pPr>
              <w:jc w:val="right"/>
              <w:ind w:right="159"/>
              <w:spacing w:after="0"/>
              <w:rPr>
                <w:sz w:val="20"/>
                <w:szCs w:val="20"/>
                <w:color w:val="auto"/>
              </w:rPr>
            </w:pPr>
            <w:r>
              <w:rPr>
                <w:rFonts w:ascii="Arial" w:cs="Arial" w:eastAsia="Arial" w:hAnsi="Arial"/>
                <w:sz w:val="16"/>
                <w:szCs w:val="16"/>
                <w:color w:val="auto"/>
              </w:rPr>
              <w:t>77</w:t>
            </w:r>
          </w:p>
        </w:tc>
        <w:tc>
          <w:tcPr>
            <w:tcW w:w="440" w:type="dxa"/>
            <w:vAlign w:val="bottom"/>
            <w:shd w:val="clear" w:color="auto" w:fill="CCFFCC"/>
          </w:tcPr>
          <w:p>
            <w:pPr>
              <w:spacing w:after="0"/>
              <w:rPr>
                <w:sz w:val="21"/>
                <w:szCs w:val="21"/>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(298 )</w:t>
            </w:r>
          </w:p>
        </w:tc>
      </w:tr>
      <w:tr>
        <w:trPr>
          <w:trHeight w:val="240"/>
        </w:trPr>
        <w:tc>
          <w:tcPr>
            <w:tcW w:w="4960" w:type="dxa"/>
            <w:vAlign w:val="bottom"/>
          </w:tcPr>
          <w:p>
            <w:pPr>
              <w:ind w:left="760"/>
              <w:spacing w:after="0"/>
              <w:rPr>
                <w:sz w:val="20"/>
                <w:szCs w:val="20"/>
                <w:color w:val="auto"/>
              </w:rPr>
            </w:pPr>
            <w:r>
              <w:rPr>
                <w:rFonts w:ascii="Arial" w:cs="Arial" w:eastAsia="Arial" w:hAnsi="Arial"/>
                <w:sz w:val="16"/>
                <w:szCs w:val="16"/>
                <w:color w:val="auto"/>
              </w:rPr>
              <w:t>Noncash rate-reduction bond expense</w:t>
            </w:r>
          </w:p>
        </w:tc>
        <w:tc>
          <w:tcPr>
            <w:tcW w:w="24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55</w:t>
            </w:r>
          </w:p>
        </w:tc>
        <w:tc>
          <w:tcPr>
            <w:tcW w:w="580" w:type="dxa"/>
            <w:vAlign w:val="bottom"/>
          </w:tcPr>
          <w:p>
            <w:pPr>
              <w:spacing w:after="0"/>
              <w:rPr>
                <w:sz w:val="20"/>
                <w:szCs w:val="20"/>
                <w:color w:val="auto"/>
              </w:rPr>
            </w:pPr>
          </w:p>
        </w:tc>
        <w:tc>
          <w:tcPr>
            <w:tcW w:w="880" w:type="dxa"/>
            <w:vAlign w:val="bottom"/>
          </w:tcPr>
          <w:p>
            <w:pPr>
              <w:jc w:val="right"/>
              <w:ind w:right="159"/>
              <w:spacing w:after="0"/>
              <w:rPr>
                <w:sz w:val="20"/>
                <w:szCs w:val="20"/>
                <w:color w:val="auto"/>
              </w:rPr>
            </w:pPr>
            <w:r>
              <w:rPr>
                <w:rFonts w:ascii="Arial" w:cs="Arial" w:eastAsia="Arial" w:hAnsi="Arial"/>
                <w:sz w:val="16"/>
                <w:szCs w:val="16"/>
                <w:color w:val="auto"/>
              </w:rPr>
              <w:t>60</w:t>
            </w:r>
          </w:p>
        </w:tc>
        <w:tc>
          <w:tcPr>
            <w:tcW w:w="44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68</w:t>
            </w:r>
          </w:p>
        </w:tc>
      </w:tr>
      <w:tr>
        <w:trPr>
          <w:trHeight w:val="246"/>
        </w:trPr>
        <w:tc>
          <w:tcPr>
            <w:tcW w:w="4960" w:type="dxa"/>
            <w:vAlign w:val="bottom"/>
            <w:shd w:val="clear" w:color="auto" w:fill="CCFFCC"/>
          </w:tcPr>
          <w:p>
            <w:pPr>
              <w:ind w:left="760"/>
              <w:spacing w:after="0"/>
              <w:rPr>
                <w:sz w:val="20"/>
                <w:szCs w:val="20"/>
                <w:color w:val="auto"/>
              </w:rPr>
            </w:pPr>
            <w:r>
              <w:rPr>
                <w:rFonts w:ascii="Arial" w:cs="Arial" w:eastAsia="Arial" w:hAnsi="Arial"/>
                <w:sz w:val="16"/>
                <w:szCs w:val="16"/>
                <w:color w:val="auto"/>
              </w:rPr>
              <w:t>Equity in income of unconsolidated subsidiaries</w:t>
            </w:r>
          </w:p>
        </w:tc>
        <w:tc>
          <w:tcPr>
            <w:tcW w:w="240" w:type="dxa"/>
            <w:vAlign w:val="bottom"/>
            <w:shd w:val="clear" w:color="auto" w:fill="CCFFCC"/>
          </w:tcPr>
          <w:p>
            <w:pPr>
              <w:spacing w:after="0"/>
              <w:rPr>
                <w:sz w:val="21"/>
                <w:szCs w:val="21"/>
                <w:color w:val="auto"/>
              </w:rPr>
            </w:pPr>
          </w:p>
        </w:tc>
        <w:tc>
          <w:tcPr>
            <w:tcW w:w="6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(90 )</w:t>
            </w:r>
          </w:p>
        </w:tc>
        <w:tc>
          <w:tcPr>
            <w:tcW w:w="580" w:type="dxa"/>
            <w:vAlign w:val="bottom"/>
            <w:shd w:val="clear" w:color="auto" w:fill="CCFFCC"/>
          </w:tcPr>
          <w:p>
            <w:pPr>
              <w:spacing w:after="0"/>
              <w:rPr>
                <w:sz w:val="21"/>
                <w:szCs w:val="21"/>
                <w:color w:val="auto"/>
              </w:rPr>
            </w:pPr>
          </w:p>
        </w:tc>
        <w:tc>
          <w:tcPr>
            <w:tcW w:w="880" w:type="dxa"/>
            <w:vAlign w:val="bottom"/>
            <w:shd w:val="clear" w:color="auto" w:fill="CCFFCC"/>
          </w:tcPr>
          <w:p>
            <w:pPr>
              <w:jc w:val="right"/>
              <w:ind w:right="79"/>
              <w:spacing w:after="0"/>
              <w:rPr>
                <w:sz w:val="20"/>
                <w:szCs w:val="20"/>
                <w:color w:val="auto"/>
              </w:rPr>
            </w:pPr>
            <w:r>
              <w:rPr>
                <w:rFonts w:ascii="Arial" w:cs="Arial" w:eastAsia="Arial" w:hAnsi="Arial"/>
                <w:sz w:val="16"/>
                <w:szCs w:val="16"/>
                <w:color w:val="auto"/>
              </w:rPr>
              <w:t>(156 )</w:t>
            </w:r>
          </w:p>
        </w:tc>
        <w:tc>
          <w:tcPr>
            <w:tcW w:w="440" w:type="dxa"/>
            <w:vAlign w:val="bottom"/>
            <w:shd w:val="clear" w:color="auto" w:fill="CCFFCC"/>
          </w:tcPr>
          <w:p>
            <w:pPr>
              <w:spacing w:after="0"/>
              <w:rPr>
                <w:sz w:val="21"/>
                <w:szCs w:val="21"/>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(66 )</w:t>
            </w:r>
          </w:p>
        </w:tc>
      </w:tr>
      <w:tr>
        <w:trPr>
          <w:trHeight w:val="240"/>
        </w:trPr>
        <w:tc>
          <w:tcPr>
            <w:tcW w:w="4960" w:type="dxa"/>
            <w:vAlign w:val="bottom"/>
          </w:tcPr>
          <w:p>
            <w:pPr>
              <w:ind w:left="760"/>
              <w:spacing w:after="0"/>
              <w:rPr>
                <w:sz w:val="20"/>
                <w:szCs w:val="20"/>
                <w:color w:val="auto"/>
              </w:rPr>
            </w:pPr>
            <w:r>
              <w:rPr>
                <w:rFonts w:ascii="Arial" w:cs="Arial" w:eastAsia="Arial" w:hAnsi="Arial"/>
                <w:sz w:val="16"/>
                <w:szCs w:val="16"/>
                <w:color w:val="auto"/>
              </w:rPr>
              <w:t>Other</w:t>
            </w:r>
          </w:p>
        </w:tc>
        <w:tc>
          <w:tcPr>
            <w:tcW w:w="24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41</w:t>
            </w:r>
          </w:p>
        </w:tc>
        <w:tc>
          <w:tcPr>
            <w:tcW w:w="580" w:type="dxa"/>
            <w:vAlign w:val="bottom"/>
          </w:tcPr>
          <w:p>
            <w:pPr>
              <w:spacing w:after="0"/>
              <w:rPr>
                <w:sz w:val="20"/>
                <w:szCs w:val="20"/>
                <w:color w:val="auto"/>
              </w:rPr>
            </w:pPr>
          </w:p>
        </w:tc>
        <w:tc>
          <w:tcPr>
            <w:tcW w:w="880" w:type="dxa"/>
            <w:vAlign w:val="bottom"/>
          </w:tcPr>
          <w:p>
            <w:pPr>
              <w:jc w:val="right"/>
              <w:ind w:right="159"/>
              <w:spacing w:after="0"/>
              <w:rPr>
                <w:sz w:val="20"/>
                <w:szCs w:val="20"/>
                <w:color w:val="auto"/>
              </w:rPr>
            </w:pPr>
            <w:r>
              <w:rPr>
                <w:rFonts w:ascii="Arial" w:cs="Arial" w:eastAsia="Arial" w:hAnsi="Arial"/>
                <w:sz w:val="16"/>
                <w:szCs w:val="16"/>
                <w:color w:val="auto"/>
              </w:rPr>
              <w:t>38</w:t>
            </w:r>
          </w:p>
        </w:tc>
        <w:tc>
          <w:tcPr>
            <w:tcW w:w="4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(6 )</w:t>
            </w:r>
          </w:p>
        </w:tc>
      </w:tr>
      <w:tr>
        <w:trPr>
          <w:trHeight w:val="246"/>
        </w:trPr>
        <w:tc>
          <w:tcPr>
            <w:tcW w:w="4960" w:type="dxa"/>
            <w:vAlign w:val="bottom"/>
            <w:shd w:val="clear" w:color="auto" w:fill="CCFFCC"/>
          </w:tcPr>
          <w:p>
            <w:pPr>
              <w:ind w:left="280"/>
              <w:spacing w:after="0"/>
              <w:rPr>
                <w:sz w:val="20"/>
                <w:szCs w:val="20"/>
                <w:color w:val="auto"/>
              </w:rPr>
            </w:pPr>
            <w:r>
              <w:rPr>
                <w:rFonts w:ascii="Arial" w:cs="Arial" w:eastAsia="Arial" w:hAnsi="Arial"/>
                <w:sz w:val="16"/>
                <w:szCs w:val="16"/>
                <w:color w:val="auto"/>
              </w:rPr>
              <w:t>Quasi-reorganization resolution</w:t>
            </w:r>
          </w:p>
        </w:tc>
        <w:tc>
          <w:tcPr>
            <w:tcW w:w="240" w:type="dxa"/>
            <w:vAlign w:val="bottom"/>
            <w:shd w:val="clear" w:color="auto" w:fill="CCFFCC"/>
          </w:tcPr>
          <w:p>
            <w:pPr>
              <w:spacing w:after="0"/>
              <w:rPr>
                <w:sz w:val="21"/>
                <w:szCs w:val="21"/>
                <w:color w:val="auto"/>
              </w:rPr>
            </w:pPr>
          </w:p>
        </w:tc>
        <w:tc>
          <w:tcPr>
            <w:tcW w:w="640" w:type="dxa"/>
            <w:vAlign w:val="bottom"/>
            <w:shd w:val="clear" w:color="auto" w:fill="CCFFCC"/>
          </w:tcPr>
          <w:p>
            <w:pPr>
              <w:jc w:val="right"/>
              <w:ind w:right="39"/>
              <w:spacing w:after="0"/>
              <w:rPr>
                <w:sz w:val="20"/>
                <w:szCs w:val="20"/>
                <w:color w:val="auto"/>
              </w:rPr>
            </w:pPr>
            <w:r>
              <w:rPr>
                <w:rFonts w:ascii="Arial" w:cs="Arial" w:eastAsia="Arial" w:hAnsi="Arial"/>
                <w:sz w:val="16"/>
                <w:szCs w:val="16"/>
                <w:color w:val="auto"/>
              </w:rPr>
              <w:t>--</w:t>
            </w:r>
          </w:p>
        </w:tc>
        <w:tc>
          <w:tcPr>
            <w:tcW w:w="580" w:type="dxa"/>
            <w:vAlign w:val="bottom"/>
            <w:shd w:val="clear" w:color="auto" w:fill="CCFFCC"/>
          </w:tcPr>
          <w:p>
            <w:pPr>
              <w:spacing w:after="0"/>
              <w:rPr>
                <w:sz w:val="21"/>
                <w:szCs w:val="21"/>
                <w:color w:val="auto"/>
              </w:rPr>
            </w:pPr>
          </w:p>
        </w:tc>
        <w:tc>
          <w:tcPr>
            <w:tcW w:w="880" w:type="dxa"/>
            <w:vAlign w:val="bottom"/>
            <w:shd w:val="clear" w:color="auto" w:fill="CCFFCC"/>
          </w:tcPr>
          <w:p>
            <w:pPr>
              <w:jc w:val="right"/>
              <w:ind w:right="159"/>
              <w:spacing w:after="0"/>
              <w:rPr>
                <w:sz w:val="20"/>
                <w:szCs w:val="20"/>
                <w:color w:val="auto"/>
              </w:rPr>
            </w:pPr>
            <w:r>
              <w:rPr>
                <w:rFonts w:ascii="Arial" w:cs="Arial" w:eastAsia="Arial" w:hAnsi="Arial"/>
                <w:sz w:val="16"/>
                <w:szCs w:val="16"/>
                <w:color w:val="auto"/>
              </w:rPr>
              <w:t>12</w:t>
            </w:r>
          </w:p>
        </w:tc>
        <w:tc>
          <w:tcPr>
            <w:tcW w:w="440" w:type="dxa"/>
            <w:vAlign w:val="bottom"/>
            <w:shd w:val="clear" w:color="auto" w:fill="CCFFCC"/>
          </w:tcPr>
          <w:p>
            <w:pPr>
              <w:spacing w:after="0"/>
              <w:rPr>
                <w:sz w:val="21"/>
                <w:szCs w:val="21"/>
                <w:color w:val="auto"/>
              </w:rPr>
            </w:pPr>
          </w:p>
        </w:tc>
        <w:tc>
          <w:tcPr>
            <w:tcW w:w="800" w:type="dxa"/>
            <w:vAlign w:val="bottom"/>
            <w:shd w:val="clear" w:color="auto" w:fill="CCFFCC"/>
          </w:tcPr>
          <w:p>
            <w:pPr>
              <w:jc w:val="right"/>
              <w:ind w:right="39"/>
              <w:spacing w:after="0"/>
              <w:rPr>
                <w:sz w:val="20"/>
                <w:szCs w:val="20"/>
                <w:color w:val="auto"/>
              </w:rPr>
            </w:pPr>
            <w:r>
              <w:rPr>
                <w:rFonts w:ascii="Arial" w:cs="Arial" w:eastAsia="Arial" w:hAnsi="Arial"/>
                <w:sz w:val="16"/>
                <w:szCs w:val="16"/>
                <w:color w:val="auto"/>
              </w:rPr>
              <w:t>--</w:t>
            </w:r>
          </w:p>
        </w:tc>
      </w:tr>
      <w:tr>
        <w:trPr>
          <w:trHeight w:val="240"/>
        </w:trPr>
        <w:tc>
          <w:tcPr>
            <w:tcW w:w="4960" w:type="dxa"/>
            <w:vAlign w:val="bottom"/>
          </w:tcPr>
          <w:p>
            <w:pPr>
              <w:ind w:left="280"/>
              <w:spacing w:after="0"/>
              <w:rPr>
                <w:sz w:val="20"/>
                <w:szCs w:val="20"/>
                <w:color w:val="auto"/>
              </w:rPr>
            </w:pPr>
            <w:r>
              <w:rPr>
                <w:rFonts w:ascii="Arial" w:cs="Arial" w:eastAsia="Arial" w:hAnsi="Arial"/>
                <w:sz w:val="16"/>
                <w:szCs w:val="16"/>
                <w:color w:val="auto"/>
              </w:rPr>
              <w:t>Net changes in other working capital components</w:t>
            </w:r>
          </w:p>
        </w:tc>
        <w:tc>
          <w:tcPr>
            <w:tcW w:w="24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25</w:t>
            </w:r>
          </w:p>
        </w:tc>
        <w:tc>
          <w:tcPr>
            <w:tcW w:w="580" w:type="dxa"/>
            <w:vAlign w:val="bottom"/>
          </w:tcPr>
          <w:p>
            <w:pPr>
              <w:spacing w:after="0"/>
              <w:rPr>
                <w:sz w:val="20"/>
                <w:szCs w:val="20"/>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(183 )</w:t>
            </w:r>
          </w:p>
        </w:tc>
        <w:tc>
          <w:tcPr>
            <w:tcW w:w="4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(1,196 )</w:t>
            </w:r>
          </w:p>
        </w:tc>
      </w:tr>
      <w:tr>
        <w:trPr>
          <w:trHeight w:val="246"/>
        </w:trPr>
        <w:tc>
          <w:tcPr>
            <w:tcW w:w="4960" w:type="dxa"/>
            <w:vAlign w:val="bottom"/>
            <w:shd w:val="clear" w:color="auto" w:fill="CCFFCC"/>
          </w:tcPr>
          <w:p>
            <w:pPr>
              <w:ind w:left="280"/>
              <w:spacing w:after="0"/>
              <w:rPr>
                <w:sz w:val="20"/>
                <w:szCs w:val="20"/>
                <w:color w:val="auto"/>
              </w:rPr>
            </w:pPr>
            <w:r>
              <w:rPr>
                <w:rFonts w:ascii="Arial" w:cs="Arial" w:eastAsia="Arial" w:hAnsi="Arial"/>
                <w:sz w:val="16"/>
                <w:szCs w:val="16"/>
                <w:color w:val="auto"/>
              </w:rPr>
              <w:t>Changes in other assets</w:t>
            </w:r>
          </w:p>
        </w:tc>
        <w:tc>
          <w:tcPr>
            <w:tcW w:w="240" w:type="dxa"/>
            <w:vAlign w:val="bottom"/>
            <w:shd w:val="clear" w:color="auto" w:fill="CCFFCC"/>
          </w:tcPr>
          <w:p>
            <w:pPr>
              <w:spacing w:after="0"/>
              <w:rPr>
                <w:sz w:val="21"/>
                <w:szCs w:val="21"/>
                <w:color w:val="auto"/>
              </w:rPr>
            </w:pPr>
          </w:p>
        </w:tc>
        <w:tc>
          <w:tcPr>
            <w:tcW w:w="640" w:type="dxa"/>
            <w:vAlign w:val="bottom"/>
            <w:shd w:val="clear" w:color="auto" w:fill="CCFFCC"/>
          </w:tcPr>
          <w:p>
            <w:pPr>
              <w:jc w:val="right"/>
              <w:ind w:right="39"/>
              <w:spacing w:after="0"/>
              <w:rPr>
                <w:sz w:val="20"/>
                <w:szCs w:val="20"/>
                <w:color w:val="auto"/>
              </w:rPr>
            </w:pPr>
            <w:r>
              <w:rPr>
                <w:rFonts w:ascii="Arial" w:cs="Arial" w:eastAsia="Arial" w:hAnsi="Arial"/>
                <w:sz w:val="16"/>
                <w:szCs w:val="16"/>
                <w:color w:val="auto"/>
              </w:rPr>
              <w:t>22</w:t>
            </w:r>
          </w:p>
        </w:tc>
        <w:tc>
          <w:tcPr>
            <w:tcW w:w="580" w:type="dxa"/>
            <w:vAlign w:val="bottom"/>
            <w:shd w:val="clear" w:color="auto" w:fill="CCFFCC"/>
          </w:tcPr>
          <w:p>
            <w:pPr>
              <w:spacing w:after="0"/>
              <w:rPr>
                <w:sz w:val="21"/>
                <w:szCs w:val="21"/>
                <w:color w:val="auto"/>
              </w:rPr>
            </w:pPr>
          </w:p>
        </w:tc>
        <w:tc>
          <w:tcPr>
            <w:tcW w:w="880" w:type="dxa"/>
            <w:vAlign w:val="bottom"/>
            <w:shd w:val="clear" w:color="auto" w:fill="CCFFCC"/>
          </w:tcPr>
          <w:p>
            <w:pPr>
              <w:jc w:val="right"/>
              <w:ind w:right="159"/>
              <w:spacing w:after="0"/>
              <w:rPr>
                <w:sz w:val="20"/>
                <w:szCs w:val="20"/>
                <w:color w:val="auto"/>
              </w:rPr>
            </w:pPr>
            <w:r>
              <w:rPr>
                <w:rFonts w:ascii="Arial" w:cs="Arial" w:eastAsia="Arial" w:hAnsi="Arial"/>
                <w:sz w:val="16"/>
                <w:szCs w:val="16"/>
                <w:color w:val="auto"/>
              </w:rPr>
              <w:t>20</w:t>
            </w:r>
          </w:p>
        </w:tc>
        <w:tc>
          <w:tcPr>
            <w:tcW w:w="440" w:type="dxa"/>
            <w:vAlign w:val="bottom"/>
            <w:shd w:val="clear" w:color="auto" w:fill="CCFFCC"/>
          </w:tcPr>
          <w:p>
            <w:pPr>
              <w:spacing w:after="0"/>
              <w:rPr>
                <w:sz w:val="21"/>
                <w:szCs w:val="21"/>
                <w:color w:val="auto"/>
              </w:rPr>
            </w:pPr>
          </w:p>
        </w:tc>
        <w:tc>
          <w:tcPr>
            <w:tcW w:w="800" w:type="dxa"/>
            <w:vAlign w:val="bottom"/>
            <w:shd w:val="clear" w:color="auto" w:fill="CCFFCC"/>
          </w:tcPr>
          <w:p>
            <w:pPr>
              <w:jc w:val="right"/>
              <w:ind w:right="39"/>
              <w:spacing w:after="0"/>
              <w:rPr>
                <w:sz w:val="20"/>
                <w:szCs w:val="20"/>
                <w:color w:val="auto"/>
              </w:rPr>
            </w:pPr>
            <w:r>
              <w:rPr>
                <w:rFonts w:ascii="Arial" w:cs="Arial" w:eastAsia="Arial" w:hAnsi="Arial"/>
                <w:sz w:val="16"/>
                <w:szCs w:val="16"/>
                <w:color w:val="auto"/>
              </w:rPr>
              <w:t>21</w:t>
            </w:r>
          </w:p>
        </w:tc>
      </w:tr>
      <w:tr>
        <w:trPr>
          <w:trHeight w:val="243"/>
        </w:trPr>
        <w:tc>
          <w:tcPr>
            <w:tcW w:w="4960" w:type="dxa"/>
            <w:vAlign w:val="bottom"/>
          </w:tcPr>
          <w:p>
            <w:pPr>
              <w:ind w:left="280"/>
              <w:spacing w:after="0"/>
              <w:rPr>
                <w:sz w:val="20"/>
                <w:szCs w:val="20"/>
                <w:color w:val="auto"/>
              </w:rPr>
            </w:pPr>
            <w:r>
              <w:rPr>
                <w:rFonts w:ascii="Arial" w:cs="Arial" w:eastAsia="Arial" w:hAnsi="Arial"/>
                <w:sz w:val="16"/>
                <w:szCs w:val="16"/>
                <w:color w:val="auto"/>
              </w:rPr>
              <w:t>Changes in other liabilities</w:t>
            </w:r>
          </w:p>
        </w:tc>
        <w:tc>
          <w:tcPr>
            <w:tcW w:w="2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79</w:t>
            </w:r>
          </w:p>
        </w:tc>
        <w:tc>
          <w:tcPr>
            <w:tcW w:w="5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42</w:t>
            </w:r>
          </w:p>
        </w:tc>
        <w:tc>
          <w:tcPr>
            <w:tcW w:w="4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458</w:t>
            </w:r>
          </w:p>
        </w:tc>
      </w:tr>
      <w:tr>
        <w:trPr>
          <w:trHeight w:val="237"/>
        </w:trPr>
        <w:tc>
          <w:tcPr>
            <w:tcW w:w="4960" w:type="dxa"/>
            <w:vAlign w:val="bottom"/>
            <w:shd w:val="clear" w:color="auto" w:fill="CCFFCC"/>
          </w:tcPr>
          <w:p>
            <w:pPr>
              <w:ind w:left="480"/>
              <w:spacing w:after="0"/>
              <w:rPr>
                <w:sz w:val="20"/>
                <w:szCs w:val="20"/>
                <w:color w:val="auto"/>
              </w:rPr>
            </w:pPr>
            <w:r>
              <w:rPr>
                <w:rFonts w:ascii="Arial" w:cs="Arial" w:eastAsia="Arial" w:hAnsi="Arial"/>
                <w:sz w:val="16"/>
                <w:szCs w:val="16"/>
                <w:color w:val="auto"/>
              </w:rPr>
              <w:t>Net cash provided by continuing operations</w:t>
            </w:r>
          </w:p>
        </w:tc>
        <w:tc>
          <w:tcPr>
            <w:tcW w:w="240" w:type="dxa"/>
            <w:vAlign w:val="bottom"/>
            <w:shd w:val="clear" w:color="auto" w:fill="CCFFCC"/>
          </w:tcPr>
          <w:p>
            <w:pPr>
              <w:spacing w:after="0"/>
              <w:rPr>
                <w:sz w:val="20"/>
                <w:szCs w:val="20"/>
                <w:color w:val="auto"/>
              </w:rPr>
            </w:pPr>
          </w:p>
        </w:tc>
        <w:tc>
          <w:tcPr>
            <w:tcW w:w="640" w:type="dxa"/>
            <w:vAlign w:val="bottom"/>
            <w:shd w:val="clear" w:color="auto" w:fill="CCFFCC"/>
          </w:tcPr>
          <w:p>
            <w:pPr>
              <w:jc w:val="right"/>
              <w:ind w:right="39"/>
              <w:spacing w:after="0"/>
              <w:rPr>
                <w:sz w:val="20"/>
                <w:szCs w:val="20"/>
                <w:color w:val="auto"/>
              </w:rPr>
            </w:pPr>
            <w:r>
              <w:rPr>
                <w:rFonts w:ascii="Arial" w:cs="Arial" w:eastAsia="Arial" w:hAnsi="Arial"/>
                <w:sz w:val="16"/>
                <w:szCs w:val="16"/>
                <w:color w:val="auto"/>
              </w:rPr>
              <w:t>2,091</w:t>
            </w:r>
          </w:p>
        </w:tc>
        <w:tc>
          <w:tcPr>
            <w:tcW w:w="580" w:type="dxa"/>
            <w:vAlign w:val="bottom"/>
            <w:shd w:val="clear" w:color="auto" w:fill="CCFFCC"/>
          </w:tcPr>
          <w:p>
            <w:pPr>
              <w:spacing w:after="0"/>
              <w:rPr>
                <w:sz w:val="20"/>
                <w:szCs w:val="20"/>
                <w:color w:val="auto"/>
              </w:rPr>
            </w:pPr>
          </w:p>
        </w:tc>
        <w:tc>
          <w:tcPr>
            <w:tcW w:w="880" w:type="dxa"/>
            <w:vAlign w:val="bottom"/>
            <w:shd w:val="clear" w:color="auto" w:fill="CCFFCC"/>
          </w:tcPr>
          <w:p>
            <w:pPr>
              <w:jc w:val="right"/>
              <w:ind w:right="159"/>
              <w:spacing w:after="0"/>
              <w:rPr>
                <w:sz w:val="20"/>
                <w:szCs w:val="20"/>
                <w:color w:val="auto"/>
              </w:rPr>
            </w:pPr>
            <w:r>
              <w:rPr>
                <w:rFonts w:ascii="Arial" w:cs="Arial" w:eastAsia="Arial" w:hAnsi="Arial"/>
                <w:sz w:val="16"/>
                <w:szCs w:val="16"/>
                <w:color w:val="auto"/>
              </w:rPr>
              <w:t>1,666</w:t>
            </w:r>
          </w:p>
        </w:tc>
        <w:tc>
          <w:tcPr>
            <w:tcW w:w="440" w:type="dxa"/>
            <w:vAlign w:val="bottom"/>
            <w:shd w:val="clear" w:color="auto" w:fill="CCFFCC"/>
          </w:tcPr>
          <w:p>
            <w:pPr>
              <w:spacing w:after="0"/>
              <w:rPr>
                <w:sz w:val="20"/>
                <w:szCs w:val="20"/>
                <w:color w:val="auto"/>
              </w:rPr>
            </w:pPr>
          </w:p>
        </w:tc>
        <w:tc>
          <w:tcPr>
            <w:tcW w:w="800" w:type="dxa"/>
            <w:vAlign w:val="bottom"/>
            <w:shd w:val="clear" w:color="auto" w:fill="CCFFCC"/>
          </w:tcPr>
          <w:p>
            <w:pPr>
              <w:jc w:val="right"/>
              <w:ind w:right="39"/>
              <w:spacing w:after="0"/>
              <w:rPr>
                <w:sz w:val="20"/>
                <w:szCs w:val="20"/>
                <w:color w:val="auto"/>
              </w:rPr>
            </w:pPr>
            <w:r>
              <w:rPr>
                <w:rFonts w:ascii="Arial" w:cs="Arial" w:eastAsia="Arial" w:hAnsi="Arial"/>
                <w:sz w:val="16"/>
                <w:szCs w:val="16"/>
                <w:color w:val="auto"/>
              </w:rPr>
              <w:t>493</w:t>
            </w:r>
          </w:p>
        </w:tc>
      </w:tr>
      <w:tr>
        <w:trPr>
          <w:trHeight w:val="243"/>
        </w:trPr>
        <w:tc>
          <w:tcPr>
            <w:tcW w:w="4960" w:type="dxa"/>
            <w:vAlign w:val="bottom"/>
          </w:tcPr>
          <w:p>
            <w:pPr>
              <w:ind w:left="480"/>
              <w:spacing w:after="0"/>
              <w:rPr>
                <w:sz w:val="20"/>
                <w:szCs w:val="20"/>
                <w:color w:val="auto"/>
              </w:rPr>
            </w:pPr>
            <w:r>
              <w:rPr>
                <w:rFonts w:ascii="Arial" w:cs="Arial" w:eastAsia="Arial" w:hAnsi="Arial"/>
                <w:sz w:val="16"/>
                <w:szCs w:val="16"/>
                <w:color w:val="auto"/>
              </w:rPr>
              <w:t>Net cash provided by (used in) discontinued operations</w:t>
            </w:r>
          </w:p>
        </w:tc>
        <w:tc>
          <w:tcPr>
            <w:tcW w:w="2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(3 )</w:t>
            </w:r>
          </w:p>
        </w:tc>
        <w:tc>
          <w:tcPr>
            <w:tcW w:w="5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(37 )</w:t>
            </w:r>
          </w:p>
        </w:tc>
        <w:tc>
          <w:tcPr>
            <w:tcW w:w="4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31</w:t>
            </w:r>
          </w:p>
        </w:tc>
      </w:tr>
      <w:tr>
        <w:trPr>
          <w:trHeight w:val="237"/>
        </w:trPr>
        <w:tc>
          <w:tcPr>
            <w:tcW w:w="4960" w:type="dxa"/>
            <w:vAlign w:val="bottom"/>
            <w:tcBorders>
              <w:bottom w:val="single" w:sz="8" w:color="CCFFCC"/>
            </w:tcBorders>
            <w:shd w:val="clear" w:color="auto" w:fill="CCFFCC"/>
          </w:tcPr>
          <w:p>
            <w:pPr>
              <w:ind w:left="480"/>
              <w:spacing w:after="0"/>
              <w:rPr>
                <w:sz w:val="20"/>
                <w:szCs w:val="20"/>
                <w:color w:val="auto"/>
              </w:rPr>
            </w:pPr>
            <w:r>
              <w:rPr>
                <w:rFonts w:ascii="Arial" w:cs="Arial" w:eastAsia="Arial" w:hAnsi="Arial"/>
                <w:sz w:val="16"/>
                <w:szCs w:val="16"/>
                <w:color w:val="auto"/>
              </w:rPr>
              <w:t>Net cash provided by operating activities</w:t>
            </w:r>
          </w:p>
        </w:tc>
        <w:tc>
          <w:tcPr>
            <w:tcW w:w="240" w:type="dxa"/>
            <w:vAlign w:val="bottom"/>
            <w:tcBorders>
              <w:bottom w:val="single" w:sz="8" w:color="auto"/>
            </w:tcBorders>
            <w:shd w:val="clear" w:color="auto" w:fill="CCFFCC"/>
          </w:tcPr>
          <w:p>
            <w:pPr>
              <w:spacing w:after="0"/>
              <w:rPr>
                <w:sz w:val="20"/>
                <w:szCs w:val="20"/>
                <w:color w:val="auto"/>
              </w:rPr>
            </w:pPr>
          </w:p>
        </w:tc>
        <w:tc>
          <w:tcPr>
            <w:tcW w:w="640" w:type="dxa"/>
            <w:vAlign w:val="bottom"/>
            <w:tcBorders>
              <w:bottom w:val="single" w:sz="8" w:color="auto"/>
            </w:tcBorders>
            <w:shd w:val="clear" w:color="auto" w:fill="CCFFCC"/>
          </w:tcPr>
          <w:p>
            <w:pPr>
              <w:jc w:val="right"/>
              <w:ind w:right="39"/>
              <w:spacing w:after="0"/>
              <w:rPr>
                <w:sz w:val="20"/>
                <w:szCs w:val="20"/>
                <w:color w:val="auto"/>
              </w:rPr>
            </w:pPr>
            <w:r>
              <w:rPr>
                <w:rFonts w:ascii="Arial" w:cs="Arial" w:eastAsia="Arial" w:hAnsi="Arial"/>
                <w:sz w:val="16"/>
                <w:szCs w:val="16"/>
                <w:color w:val="auto"/>
              </w:rPr>
              <w:t>2,088</w:t>
            </w:r>
          </w:p>
        </w:tc>
        <w:tc>
          <w:tcPr>
            <w:tcW w:w="580" w:type="dxa"/>
            <w:vAlign w:val="bottom"/>
            <w:tcBorders>
              <w:bottom w:val="single" w:sz="8" w:color="auto"/>
            </w:tcBorders>
            <w:shd w:val="clear" w:color="auto" w:fill="CCFFCC"/>
          </w:tcPr>
          <w:p>
            <w:pPr>
              <w:spacing w:after="0"/>
              <w:rPr>
                <w:sz w:val="20"/>
                <w:szCs w:val="20"/>
                <w:color w:val="auto"/>
              </w:rPr>
            </w:pPr>
          </w:p>
        </w:tc>
        <w:tc>
          <w:tcPr>
            <w:tcW w:w="880" w:type="dxa"/>
            <w:vAlign w:val="bottom"/>
            <w:tcBorders>
              <w:bottom w:val="single" w:sz="8" w:color="auto"/>
            </w:tcBorders>
            <w:shd w:val="clear" w:color="auto" w:fill="CCFFCC"/>
          </w:tcPr>
          <w:p>
            <w:pPr>
              <w:jc w:val="right"/>
              <w:ind w:right="159"/>
              <w:spacing w:after="0"/>
              <w:rPr>
                <w:sz w:val="20"/>
                <w:szCs w:val="20"/>
                <w:color w:val="auto"/>
              </w:rPr>
            </w:pPr>
            <w:r>
              <w:rPr>
                <w:rFonts w:ascii="Arial" w:cs="Arial" w:eastAsia="Arial" w:hAnsi="Arial"/>
                <w:sz w:val="16"/>
                <w:szCs w:val="16"/>
                <w:color w:val="auto"/>
              </w:rPr>
              <w:t>1,629</w:t>
            </w:r>
          </w:p>
        </w:tc>
        <w:tc>
          <w:tcPr>
            <w:tcW w:w="440" w:type="dxa"/>
            <w:vAlign w:val="bottom"/>
            <w:tcBorders>
              <w:bottom w:val="single" w:sz="8" w:color="auto"/>
            </w:tcBorders>
            <w:shd w:val="clear" w:color="auto" w:fill="CCFFCC"/>
          </w:tcPr>
          <w:p>
            <w:pPr>
              <w:spacing w:after="0"/>
              <w:rPr>
                <w:sz w:val="20"/>
                <w:szCs w:val="20"/>
                <w:color w:val="auto"/>
              </w:rPr>
            </w:pPr>
          </w:p>
        </w:tc>
        <w:tc>
          <w:tcPr>
            <w:tcW w:w="800" w:type="dxa"/>
            <w:vAlign w:val="bottom"/>
            <w:tcBorders>
              <w:bottom w:val="single" w:sz="8" w:color="auto"/>
            </w:tcBorders>
            <w:shd w:val="clear" w:color="auto" w:fill="CCFFCC"/>
          </w:tcPr>
          <w:p>
            <w:pPr>
              <w:jc w:val="right"/>
              <w:ind w:right="39"/>
              <w:spacing w:after="0"/>
              <w:rPr>
                <w:sz w:val="20"/>
                <w:szCs w:val="20"/>
                <w:color w:val="auto"/>
              </w:rPr>
            </w:pPr>
            <w:r>
              <w:rPr>
                <w:rFonts w:ascii="Arial" w:cs="Arial" w:eastAsia="Arial" w:hAnsi="Arial"/>
                <w:sz w:val="16"/>
                <w:szCs w:val="16"/>
                <w:color w:val="auto"/>
              </w:rPr>
              <w:t>524</w:t>
            </w:r>
          </w:p>
        </w:tc>
      </w:tr>
      <w:tr>
        <w:trPr>
          <w:trHeight w:val="237"/>
        </w:trPr>
        <w:tc>
          <w:tcPr>
            <w:tcW w:w="4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43"/>
        </w:trPr>
        <w:tc>
          <w:tcPr>
            <w:tcW w:w="496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FLOWS FROM INVESTING ACTIVITIES</w:t>
            </w:r>
          </w:p>
        </w:tc>
        <w:tc>
          <w:tcPr>
            <w:tcW w:w="240" w:type="dxa"/>
            <w:vAlign w:val="bottom"/>
            <w:shd w:val="clear" w:color="auto" w:fill="CCFFCC"/>
          </w:tcPr>
          <w:p>
            <w:pPr>
              <w:spacing w:after="0"/>
              <w:rPr>
                <w:sz w:val="21"/>
                <w:szCs w:val="21"/>
                <w:color w:val="auto"/>
              </w:rPr>
            </w:pPr>
          </w:p>
        </w:tc>
        <w:tc>
          <w:tcPr>
            <w:tcW w:w="640" w:type="dxa"/>
            <w:vAlign w:val="bottom"/>
            <w:shd w:val="clear" w:color="auto" w:fill="CCFFCC"/>
          </w:tcPr>
          <w:p>
            <w:pPr>
              <w:spacing w:after="0"/>
              <w:rPr>
                <w:sz w:val="21"/>
                <w:szCs w:val="21"/>
                <w:color w:val="auto"/>
              </w:rPr>
            </w:pPr>
          </w:p>
        </w:tc>
        <w:tc>
          <w:tcPr>
            <w:tcW w:w="580" w:type="dxa"/>
            <w:vAlign w:val="bottom"/>
            <w:shd w:val="clear" w:color="auto" w:fill="CCFFCC"/>
          </w:tcPr>
          <w:p>
            <w:pPr>
              <w:spacing w:after="0"/>
              <w:rPr>
                <w:sz w:val="21"/>
                <w:szCs w:val="21"/>
                <w:color w:val="auto"/>
              </w:rPr>
            </w:pPr>
          </w:p>
        </w:tc>
        <w:tc>
          <w:tcPr>
            <w:tcW w:w="880" w:type="dxa"/>
            <w:vAlign w:val="bottom"/>
            <w:shd w:val="clear" w:color="auto" w:fill="CCFFCC"/>
          </w:tcPr>
          <w:p>
            <w:pPr>
              <w:spacing w:after="0"/>
              <w:rPr>
                <w:sz w:val="21"/>
                <w:szCs w:val="21"/>
                <w:color w:val="auto"/>
              </w:rPr>
            </w:pPr>
          </w:p>
        </w:tc>
        <w:tc>
          <w:tcPr>
            <w:tcW w:w="440" w:type="dxa"/>
            <w:vAlign w:val="bottom"/>
            <w:shd w:val="clear" w:color="auto" w:fill="CCFFCC"/>
          </w:tcPr>
          <w:p>
            <w:pPr>
              <w:spacing w:after="0"/>
              <w:rPr>
                <w:sz w:val="21"/>
                <w:szCs w:val="21"/>
                <w:color w:val="auto"/>
              </w:rPr>
            </w:pPr>
          </w:p>
        </w:tc>
        <w:tc>
          <w:tcPr>
            <w:tcW w:w="800" w:type="dxa"/>
            <w:vAlign w:val="bottom"/>
            <w:shd w:val="clear" w:color="auto" w:fill="CCFFCC"/>
          </w:tcPr>
          <w:p>
            <w:pPr>
              <w:spacing w:after="0"/>
              <w:rPr>
                <w:sz w:val="21"/>
                <w:szCs w:val="21"/>
                <w:color w:val="auto"/>
              </w:rPr>
            </w:pPr>
          </w:p>
        </w:tc>
      </w:tr>
      <w:tr>
        <w:trPr>
          <w:trHeight w:val="240"/>
        </w:trPr>
        <w:tc>
          <w:tcPr>
            <w:tcW w:w="4960" w:type="dxa"/>
            <w:vAlign w:val="bottom"/>
          </w:tcPr>
          <w:p>
            <w:pPr>
              <w:ind w:left="280"/>
              <w:spacing w:after="0"/>
              <w:rPr>
                <w:sz w:val="20"/>
                <w:szCs w:val="20"/>
                <w:color w:val="auto"/>
              </w:rPr>
            </w:pPr>
            <w:r>
              <w:rPr>
                <w:rFonts w:ascii="Arial" w:cs="Arial" w:eastAsia="Arial" w:hAnsi="Arial"/>
                <w:sz w:val="16"/>
                <w:szCs w:val="16"/>
                <w:color w:val="auto"/>
              </w:rPr>
              <w:t>Expenditures for property, plant and equipment</w:t>
            </w:r>
          </w:p>
        </w:tc>
        <w:tc>
          <w:tcPr>
            <w:tcW w:w="2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(2,011 )</w:t>
            </w:r>
          </w:p>
        </w:tc>
        <w:tc>
          <w:tcPr>
            <w:tcW w:w="580" w:type="dxa"/>
            <w:vAlign w:val="bottom"/>
          </w:tcPr>
          <w:p>
            <w:pPr>
              <w:spacing w:after="0"/>
              <w:rPr>
                <w:sz w:val="20"/>
                <w:szCs w:val="20"/>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(1,907 )</w:t>
            </w:r>
          </w:p>
        </w:tc>
        <w:tc>
          <w:tcPr>
            <w:tcW w:w="4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(1,377 )</w:t>
            </w:r>
          </w:p>
        </w:tc>
      </w:tr>
      <w:tr>
        <w:trPr>
          <w:trHeight w:val="246"/>
        </w:trPr>
        <w:tc>
          <w:tcPr>
            <w:tcW w:w="4960" w:type="dxa"/>
            <w:vAlign w:val="bottom"/>
            <w:shd w:val="clear" w:color="auto" w:fill="CCFFCC"/>
          </w:tcPr>
          <w:p>
            <w:pPr>
              <w:ind w:left="280"/>
              <w:spacing w:after="0"/>
              <w:rPr>
                <w:sz w:val="20"/>
                <w:szCs w:val="20"/>
                <w:color w:val="auto"/>
              </w:rPr>
            </w:pPr>
            <w:r>
              <w:rPr>
                <w:rFonts w:ascii="Arial" w:cs="Arial" w:eastAsia="Arial" w:hAnsi="Arial"/>
                <w:sz w:val="16"/>
                <w:szCs w:val="16"/>
                <w:color w:val="auto"/>
              </w:rPr>
              <w:t>Proceeds from sale of assets from continuing operations</w:t>
            </w:r>
          </w:p>
        </w:tc>
        <w:tc>
          <w:tcPr>
            <w:tcW w:w="240" w:type="dxa"/>
            <w:vAlign w:val="bottom"/>
            <w:shd w:val="clear" w:color="auto" w:fill="CCFFCC"/>
          </w:tcPr>
          <w:p>
            <w:pPr>
              <w:spacing w:after="0"/>
              <w:rPr>
                <w:sz w:val="21"/>
                <w:szCs w:val="21"/>
                <w:color w:val="auto"/>
              </w:rPr>
            </w:pPr>
          </w:p>
        </w:tc>
        <w:tc>
          <w:tcPr>
            <w:tcW w:w="640" w:type="dxa"/>
            <w:vAlign w:val="bottom"/>
            <w:shd w:val="clear" w:color="auto" w:fill="CCFFCC"/>
          </w:tcPr>
          <w:p>
            <w:pPr>
              <w:jc w:val="right"/>
              <w:ind w:right="39"/>
              <w:spacing w:after="0"/>
              <w:rPr>
                <w:sz w:val="20"/>
                <w:szCs w:val="20"/>
                <w:color w:val="auto"/>
              </w:rPr>
            </w:pPr>
            <w:r>
              <w:rPr>
                <w:rFonts w:ascii="Arial" w:cs="Arial" w:eastAsia="Arial" w:hAnsi="Arial"/>
                <w:sz w:val="16"/>
                <w:szCs w:val="16"/>
                <w:color w:val="auto"/>
              </w:rPr>
              <w:t>103</w:t>
            </w:r>
          </w:p>
        </w:tc>
        <w:tc>
          <w:tcPr>
            <w:tcW w:w="580" w:type="dxa"/>
            <w:vAlign w:val="bottom"/>
            <w:shd w:val="clear" w:color="auto" w:fill="CCFFCC"/>
          </w:tcPr>
          <w:p>
            <w:pPr>
              <w:spacing w:after="0"/>
              <w:rPr>
                <w:sz w:val="21"/>
                <w:szCs w:val="21"/>
                <w:color w:val="auto"/>
              </w:rPr>
            </w:pPr>
          </w:p>
        </w:tc>
        <w:tc>
          <w:tcPr>
            <w:tcW w:w="880" w:type="dxa"/>
            <w:vAlign w:val="bottom"/>
            <w:shd w:val="clear" w:color="auto" w:fill="CCFFCC"/>
          </w:tcPr>
          <w:p>
            <w:pPr>
              <w:jc w:val="right"/>
              <w:ind w:right="159"/>
              <w:spacing w:after="0"/>
              <w:rPr>
                <w:sz w:val="20"/>
                <w:szCs w:val="20"/>
                <w:color w:val="auto"/>
              </w:rPr>
            </w:pPr>
            <w:r>
              <w:rPr>
                <w:rFonts w:ascii="Arial" w:cs="Arial" w:eastAsia="Arial" w:hAnsi="Arial"/>
                <w:sz w:val="16"/>
                <w:szCs w:val="16"/>
                <w:color w:val="auto"/>
              </w:rPr>
              <w:t>40</w:t>
            </w:r>
          </w:p>
        </w:tc>
        <w:tc>
          <w:tcPr>
            <w:tcW w:w="440" w:type="dxa"/>
            <w:vAlign w:val="bottom"/>
            <w:shd w:val="clear" w:color="auto" w:fill="CCFFCC"/>
          </w:tcPr>
          <w:p>
            <w:pPr>
              <w:spacing w:after="0"/>
              <w:rPr>
                <w:sz w:val="21"/>
                <w:szCs w:val="21"/>
                <w:color w:val="auto"/>
              </w:rPr>
            </w:pPr>
          </w:p>
        </w:tc>
        <w:tc>
          <w:tcPr>
            <w:tcW w:w="800" w:type="dxa"/>
            <w:vAlign w:val="bottom"/>
            <w:shd w:val="clear" w:color="auto" w:fill="CCFFCC"/>
          </w:tcPr>
          <w:p>
            <w:pPr>
              <w:jc w:val="right"/>
              <w:ind w:right="39"/>
              <w:spacing w:after="0"/>
              <w:rPr>
                <w:sz w:val="20"/>
                <w:szCs w:val="20"/>
                <w:color w:val="auto"/>
              </w:rPr>
            </w:pPr>
            <w:r>
              <w:rPr>
                <w:rFonts w:ascii="Arial" w:cs="Arial" w:eastAsia="Arial" w:hAnsi="Arial"/>
                <w:sz w:val="16"/>
                <w:szCs w:val="16"/>
                <w:color w:val="auto"/>
              </w:rPr>
              <w:t>277</w:t>
            </w:r>
          </w:p>
        </w:tc>
      </w:tr>
      <w:tr>
        <w:trPr>
          <w:trHeight w:val="193"/>
        </w:trPr>
        <w:tc>
          <w:tcPr>
            <w:tcW w:w="4960" w:type="dxa"/>
            <w:vAlign w:val="bottom"/>
          </w:tcPr>
          <w:p>
            <w:pPr>
              <w:ind w:left="280"/>
              <w:spacing w:after="0"/>
              <w:rPr>
                <w:sz w:val="20"/>
                <w:szCs w:val="20"/>
                <w:color w:val="auto"/>
              </w:rPr>
            </w:pPr>
            <w:r>
              <w:rPr>
                <w:rFonts w:ascii="Arial" w:cs="Arial" w:eastAsia="Arial" w:hAnsi="Arial"/>
                <w:sz w:val="16"/>
                <w:szCs w:val="16"/>
                <w:color w:val="auto"/>
              </w:rPr>
              <w:t>Expenditures for investments and acquisition of subsidiary, net of</w:t>
            </w: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09"/>
        </w:trPr>
        <w:tc>
          <w:tcPr>
            <w:tcW w:w="4960" w:type="dxa"/>
            <w:vAlign w:val="bottom"/>
          </w:tcPr>
          <w:p>
            <w:pPr>
              <w:ind w:left="380"/>
              <w:spacing w:after="0"/>
              <w:rPr>
                <w:sz w:val="20"/>
                <w:szCs w:val="20"/>
                <w:color w:val="auto"/>
              </w:rPr>
            </w:pPr>
            <w:r>
              <w:rPr>
                <w:rFonts w:ascii="Arial" w:cs="Arial" w:eastAsia="Arial" w:hAnsi="Arial"/>
                <w:sz w:val="16"/>
                <w:szCs w:val="16"/>
                <w:color w:val="auto"/>
              </w:rPr>
              <w:t>cash acquired</w:t>
            </w: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(121 )</w:t>
            </w:r>
          </w:p>
        </w:tc>
        <w:tc>
          <w:tcPr>
            <w:tcW w:w="580" w:type="dxa"/>
            <w:vAlign w:val="bottom"/>
          </w:tcPr>
          <w:p>
            <w:pPr>
              <w:spacing w:after="0"/>
              <w:rPr>
                <w:sz w:val="18"/>
                <w:szCs w:val="18"/>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(257 )</w:t>
            </w: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(86 )</w:t>
            </w:r>
          </w:p>
        </w:tc>
      </w:tr>
      <w:tr>
        <w:trPr>
          <w:trHeight w:val="246"/>
        </w:trPr>
        <w:tc>
          <w:tcPr>
            <w:tcW w:w="4960" w:type="dxa"/>
            <w:vAlign w:val="bottom"/>
            <w:shd w:val="clear" w:color="auto" w:fill="CCFFCC"/>
          </w:tcPr>
          <w:p>
            <w:pPr>
              <w:ind w:left="280"/>
              <w:spacing w:after="0"/>
              <w:rPr>
                <w:sz w:val="20"/>
                <w:szCs w:val="20"/>
                <w:color w:val="auto"/>
              </w:rPr>
            </w:pPr>
            <w:r>
              <w:rPr>
                <w:rFonts w:ascii="Arial" w:cs="Arial" w:eastAsia="Arial" w:hAnsi="Arial"/>
                <w:sz w:val="16"/>
                <w:szCs w:val="16"/>
                <w:color w:val="auto"/>
              </w:rPr>
              <w:t>Distributions from investments</w:t>
            </w:r>
          </w:p>
        </w:tc>
        <w:tc>
          <w:tcPr>
            <w:tcW w:w="240" w:type="dxa"/>
            <w:vAlign w:val="bottom"/>
            <w:shd w:val="clear" w:color="auto" w:fill="CCFFCC"/>
          </w:tcPr>
          <w:p>
            <w:pPr>
              <w:spacing w:after="0"/>
              <w:rPr>
                <w:sz w:val="21"/>
                <w:szCs w:val="21"/>
                <w:color w:val="auto"/>
              </w:rPr>
            </w:pPr>
          </w:p>
        </w:tc>
        <w:tc>
          <w:tcPr>
            <w:tcW w:w="640" w:type="dxa"/>
            <w:vAlign w:val="bottom"/>
            <w:shd w:val="clear" w:color="auto" w:fill="CCFFCC"/>
          </w:tcPr>
          <w:p>
            <w:pPr>
              <w:jc w:val="right"/>
              <w:ind w:right="39"/>
              <w:spacing w:after="0"/>
              <w:rPr>
                <w:sz w:val="20"/>
                <w:szCs w:val="20"/>
                <w:color w:val="auto"/>
              </w:rPr>
            </w:pPr>
            <w:r>
              <w:rPr>
                <w:rFonts w:ascii="Arial" w:cs="Arial" w:eastAsia="Arial" w:hAnsi="Arial"/>
                <w:sz w:val="16"/>
                <w:szCs w:val="16"/>
                <w:color w:val="auto"/>
              </w:rPr>
              <w:t>18</w:t>
            </w:r>
          </w:p>
        </w:tc>
        <w:tc>
          <w:tcPr>
            <w:tcW w:w="580" w:type="dxa"/>
            <w:vAlign w:val="bottom"/>
            <w:shd w:val="clear" w:color="auto" w:fill="CCFFCC"/>
          </w:tcPr>
          <w:p>
            <w:pPr>
              <w:spacing w:after="0"/>
              <w:rPr>
                <w:sz w:val="21"/>
                <w:szCs w:val="21"/>
                <w:color w:val="auto"/>
              </w:rPr>
            </w:pPr>
          </w:p>
        </w:tc>
        <w:tc>
          <w:tcPr>
            <w:tcW w:w="880" w:type="dxa"/>
            <w:vAlign w:val="bottom"/>
            <w:shd w:val="clear" w:color="auto" w:fill="CCFFCC"/>
          </w:tcPr>
          <w:p>
            <w:pPr>
              <w:jc w:val="right"/>
              <w:ind w:right="159"/>
              <w:spacing w:after="0"/>
              <w:rPr>
                <w:sz w:val="20"/>
                <w:szCs w:val="20"/>
                <w:color w:val="auto"/>
              </w:rPr>
            </w:pPr>
            <w:r>
              <w:rPr>
                <w:rFonts w:ascii="Arial" w:cs="Arial" w:eastAsia="Arial" w:hAnsi="Arial"/>
                <w:sz w:val="16"/>
                <w:szCs w:val="16"/>
                <w:color w:val="auto"/>
              </w:rPr>
              <w:t>104</w:t>
            </w:r>
          </w:p>
        </w:tc>
        <w:tc>
          <w:tcPr>
            <w:tcW w:w="440" w:type="dxa"/>
            <w:vAlign w:val="bottom"/>
            <w:shd w:val="clear" w:color="auto" w:fill="CCFFCC"/>
          </w:tcPr>
          <w:p>
            <w:pPr>
              <w:spacing w:after="0"/>
              <w:rPr>
                <w:sz w:val="21"/>
                <w:szCs w:val="21"/>
                <w:color w:val="auto"/>
              </w:rPr>
            </w:pPr>
          </w:p>
        </w:tc>
        <w:tc>
          <w:tcPr>
            <w:tcW w:w="800" w:type="dxa"/>
            <w:vAlign w:val="bottom"/>
            <w:shd w:val="clear" w:color="auto" w:fill="CCFFCC"/>
          </w:tcPr>
          <w:p>
            <w:pPr>
              <w:jc w:val="right"/>
              <w:ind w:right="39"/>
              <w:spacing w:after="0"/>
              <w:rPr>
                <w:sz w:val="20"/>
                <w:szCs w:val="20"/>
                <w:color w:val="auto"/>
              </w:rPr>
            </w:pPr>
            <w:r>
              <w:rPr>
                <w:rFonts w:ascii="Arial" w:cs="Arial" w:eastAsia="Arial" w:hAnsi="Arial"/>
                <w:sz w:val="16"/>
                <w:szCs w:val="16"/>
                <w:color w:val="auto"/>
              </w:rPr>
              <w:t>--</w:t>
            </w:r>
          </w:p>
        </w:tc>
      </w:tr>
      <w:tr>
        <w:trPr>
          <w:trHeight w:val="240"/>
        </w:trPr>
        <w:tc>
          <w:tcPr>
            <w:tcW w:w="4960" w:type="dxa"/>
            <w:vAlign w:val="bottom"/>
          </w:tcPr>
          <w:p>
            <w:pPr>
              <w:ind w:left="280"/>
              <w:spacing w:after="0"/>
              <w:rPr>
                <w:sz w:val="20"/>
                <w:szCs w:val="20"/>
                <w:color w:val="auto"/>
              </w:rPr>
            </w:pPr>
            <w:r>
              <w:rPr>
                <w:rFonts w:ascii="Arial" w:cs="Arial" w:eastAsia="Arial" w:hAnsi="Arial"/>
                <w:sz w:val="16"/>
                <w:szCs w:val="16"/>
                <w:color w:val="auto"/>
              </w:rPr>
              <w:t>Purchases of nuclear decommissioning and other trust assets</w:t>
            </w:r>
          </w:p>
        </w:tc>
        <w:tc>
          <w:tcPr>
            <w:tcW w:w="2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(646 )</w:t>
            </w:r>
          </w:p>
        </w:tc>
        <w:tc>
          <w:tcPr>
            <w:tcW w:w="580" w:type="dxa"/>
            <w:vAlign w:val="bottom"/>
          </w:tcPr>
          <w:p>
            <w:pPr>
              <w:spacing w:after="0"/>
              <w:rPr>
                <w:sz w:val="20"/>
                <w:szCs w:val="20"/>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(546 )</w:t>
            </w:r>
          </w:p>
        </w:tc>
        <w:tc>
          <w:tcPr>
            <w:tcW w:w="4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(299 )</w:t>
            </w:r>
          </w:p>
        </w:tc>
      </w:tr>
      <w:tr>
        <w:trPr>
          <w:trHeight w:val="246"/>
        </w:trPr>
        <w:tc>
          <w:tcPr>
            <w:tcW w:w="4960" w:type="dxa"/>
            <w:vAlign w:val="bottom"/>
            <w:shd w:val="clear" w:color="auto" w:fill="CCFFCC"/>
          </w:tcPr>
          <w:p>
            <w:pPr>
              <w:ind w:left="280"/>
              <w:spacing w:after="0"/>
              <w:rPr>
                <w:sz w:val="20"/>
                <w:szCs w:val="20"/>
                <w:color w:val="auto"/>
              </w:rPr>
            </w:pPr>
            <w:r>
              <w:rPr>
                <w:rFonts w:ascii="Arial" w:cs="Arial" w:eastAsia="Arial" w:hAnsi="Arial"/>
                <w:sz w:val="16"/>
                <w:szCs w:val="16"/>
                <w:color w:val="auto"/>
              </w:rPr>
              <w:t>Proceeds from sales by nuclear decommissioning</w:t>
            </w:r>
          </w:p>
        </w:tc>
        <w:tc>
          <w:tcPr>
            <w:tcW w:w="240" w:type="dxa"/>
            <w:vAlign w:val="bottom"/>
            <w:shd w:val="clear" w:color="auto" w:fill="CCFFCC"/>
          </w:tcPr>
          <w:p>
            <w:pPr>
              <w:spacing w:after="0"/>
              <w:rPr>
                <w:sz w:val="21"/>
                <w:szCs w:val="21"/>
                <w:color w:val="auto"/>
              </w:rPr>
            </w:pPr>
          </w:p>
        </w:tc>
        <w:tc>
          <w:tcPr>
            <w:tcW w:w="640" w:type="dxa"/>
            <w:vAlign w:val="bottom"/>
            <w:shd w:val="clear" w:color="auto" w:fill="CCFFCC"/>
          </w:tcPr>
          <w:p>
            <w:pPr>
              <w:spacing w:after="0"/>
              <w:rPr>
                <w:sz w:val="21"/>
                <w:szCs w:val="21"/>
                <w:color w:val="auto"/>
              </w:rPr>
            </w:pPr>
          </w:p>
        </w:tc>
        <w:tc>
          <w:tcPr>
            <w:tcW w:w="580" w:type="dxa"/>
            <w:vAlign w:val="bottom"/>
            <w:shd w:val="clear" w:color="auto" w:fill="CCFFCC"/>
          </w:tcPr>
          <w:p>
            <w:pPr>
              <w:spacing w:after="0"/>
              <w:rPr>
                <w:sz w:val="21"/>
                <w:szCs w:val="21"/>
                <w:color w:val="auto"/>
              </w:rPr>
            </w:pPr>
          </w:p>
        </w:tc>
        <w:tc>
          <w:tcPr>
            <w:tcW w:w="880" w:type="dxa"/>
            <w:vAlign w:val="bottom"/>
            <w:shd w:val="clear" w:color="auto" w:fill="CCFFCC"/>
          </w:tcPr>
          <w:p>
            <w:pPr>
              <w:spacing w:after="0"/>
              <w:rPr>
                <w:sz w:val="21"/>
                <w:szCs w:val="21"/>
                <w:color w:val="auto"/>
              </w:rPr>
            </w:pPr>
          </w:p>
        </w:tc>
        <w:tc>
          <w:tcPr>
            <w:tcW w:w="440" w:type="dxa"/>
            <w:vAlign w:val="bottom"/>
            <w:shd w:val="clear" w:color="auto" w:fill="CCFFCC"/>
          </w:tcPr>
          <w:p>
            <w:pPr>
              <w:spacing w:after="0"/>
              <w:rPr>
                <w:sz w:val="21"/>
                <w:szCs w:val="21"/>
                <w:color w:val="auto"/>
              </w:rPr>
            </w:pPr>
          </w:p>
        </w:tc>
        <w:tc>
          <w:tcPr>
            <w:tcW w:w="800" w:type="dxa"/>
            <w:vAlign w:val="bottom"/>
            <w:shd w:val="clear" w:color="auto" w:fill="CCFFCC"/>
          </w:tcPr>
          <w:p>
            <w:pPr>
              <w:spacing w:after="0"/>
              <w:rPr>
                <w:sz w:val="21"/>
                <w:szCs w:val="21"/>
                <w:color w:val="auto"/>
              </w:rPr>
            </w:pPr>
          </w:p>
        </w:tc>
      </w:tr>
      <w:tr>
        <w:trPr>
          <w:trHeight w:val="240"/>
        </w:trPr>
        <w:tc>
          <w:tcPr>
            <w:tcW w:w="4960" w:type="dxa"/>
            <w:vAlign w:val="bottom"/>
          </w:tcPr>
          <w:p>
            <w:pPr>
              <w:ind w:left="440"/>
              <w:spacing w:after="0"/>
              <w:rPr>
                <w:sz w:val="20"/>
                <w:szCs w:val="20"/>
                <w:color w:val="auto"/>
              </w:rPr>
            </w:pPr>
            <w:r>
              <w:rPr>
                <w:rFonts w:ascii="Arial" w:cs="Arial" w:eastAsia="Arial" w:hAnsi="Arial"/>
                <w:sz w:val="16"/>
                <w:szCs w:val="16"/>
                <w:color w:val="auto"/>
              </w:rPr>
              <w:t>and other trusts</w:t>
            </w:r>
          </w:p>
        </w:tc>
        <w:tc>
          <w:tcPr>
            <w:tcW w:w="24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613</w:t>
            </w:r>
          </w:p>
        </w:tc>
        <w:tc>
          <w:tcPr>
            <w:tcW w:w="580" w:type="dxa"/>
            <w:vAlign w:val="bottom"/>
          </w:tcPr>
          <w:p>
            <w:pPr>
              <w:spacing w:after="0"/>
              <w:rPr>
                <w:sz w:val="20"/>
                <w:szCs w:val="20"/>
                <w:color w:val="auto"/>
              </w:rPr>
            </w:pPr>
          </w:p>
        </w:tc>
        <w:tc>
          <w:tcPr>
            <w:tcW w:w="880" w:type="dxa"/>
            <w:vAlign w:val="bottom"/>
          </w:tcPr>
          <w:p>
            <w:pPr>
              <w:jc w:val="right"/>
              <w:ind w:right="159"/>
              <w:spacing w:after="0"/>
              <w:rPr>
                <w:sz w:val="20"/>
                <w:szCs w:val="20"/>
                <w:color w:val="auto"/>
              </w:rPr>
            </w:pPr>
            <w:r>
              <w:rPr>
                <w:rFonts w:ascii="Arial" w:cs="Arial" w:eastAsia="Arial" w:hAnsi="Arial"/>
                <w:sz w:val="16"/>
                <w:szCs w:val="16"/>
                <w:color w:val="auto"/>
              </w:rPr>
              <w:t>503</w:t>
            </w:r>
          </w:p>
        </w:tc>
        <w:tc>
          <w:tcPr>
            <w:tcW w:w="44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262</w:t>
            </w:r>
          </w:p>
        </w:tc>
      </w:tr>
      <w:tr>
        <w:trPr>
          <w:trHeight w:val="246"/>
        </w:trPr>
        <w:tc>
          <w:tcPr>
            <w:tcW w:w="4960" w:type="dxa"/>
            <w:vAlign w:val="bottom"/>
            <w:shd w:val="clear" w:color="auto" w:fill="CCFFCC"/>
          </w:tcPr>
          <w:p>
            <w:pPr>
              <w:ind w:left="280"/>
              <w:spacing w:after="0"/>
              <w:rPr>
                <w:sz w:val="20"/>
                <w:szCs w:val="20"/>
                <w:color w:val="auto"/>
              </w:rPr>
            </w:pPr>
            <w:r>
              <w:rPr>
                <w:rFonts w:ascii="Arial" w:cs="Arial" w:eastAsia="Arial" w:hAnsi="Arial"/>
                <w:sz w:val="16"/>
                <w:szCs w:val="16"/>
                <w:color w:val="auto"/>
              </w:rPr>
              <w:t>Dividends received from unconsolidated affiliates</w:t>
            </w:r>
          </w:p>
        </w:tc>
        <w:tc>
          <w:tcPr>
            <w:tcW w:w="240" w:type="dxa"/>
            <w:vAlign w:val="bottom"/>
            <w:shd w:val="clear" w:color="auto" w:fill="CCFFCC"/>
          </w:tcPr>
          <w:p>
            <w:pPr>
              <w:spacing w:after="0"/>
              <w:rPr>
                <w:sz w:val="21"/>
                <w:szCs w:val="21"/>
                <w:color w:val="auto"/>
              </w:rPr>
            </w:pPr>
          </w:p>
        </w:tc>
        <w:tc>
          <w:tcPr>
            <w:tcW w:w="640" w:type="dxa"/>
            <w:vAlign w:val="bottom"/>
            <w:shd w:val="clear" w:color="auto" w:fill="CCFFCC"/>
          </w:tcPr>
          <w:p>
            <w:pPr>
              <w:jc w:val="right"/>
              <w:ind w:right="39"/>
              <w:spacing w:after="0"/>
              <w:rPr>
                <w:sz w:val="20"/>
                <w:szCs w:val="20"/>
                <w:color w:val="auto"/>
              </w:rPr>
            </w:pPr>
            <w:r>
              <w:rPr>
                <w:rFonts w:ascii="Arial" w:cs="Arial" w:eastAsia="Arial" w:hAnsi="Arial"/>
                <w:sz w:val="16"/>
                <w:szCs w:val="16"/>
                <w:color w:val="auto"/>
              </w:rPr>
              <w:t>--</w:t>
            </w:r>
          </w:p>
        </w:tc>
        <w:tc>
          <w:tcPr>
            <w:tcW w:w="580" w:type="dxa"/>
            <w:vAlign w:val="bottom"/>
            <w:shd w:val="clear" w:color="auto" w:fill="CCFFCC"/>
          </w:tcPr>
          <w:p>
            <w:pPr>
              <w:spacing w:after="0"/>
              <w:rPr>
                <w:sz w:val="21"/>
                <w:szCs w:val="21"/>
                <w:color w:val="auto"/>
              </w:rPr>
            </w:pPr>
          </w:p>
        </w:tc>
        <w:tc>
          <w:tcPr>
            <w:tcW w:w="880" w:type="dxa"/>
            <w:vAlign w:val="bottom"/>
            <w:shd w:val="clear" w:color="auto" w:fill="CCFFCC"/>
          </w:tcPr>
          <w:p>
            <w:pPr>
              <w:jc w:val="right"/>
              <w:ind w:right="159"/>
              <w:spacing w:after="0"/>
              <w:rPr>
                <w:sz w:val="20"/>
                <w:szCs w:val="20"/>
                <w:color w:val="auto"/>
              </w:rPr>
            </w:pPr>
            <w:r>
              <w:rPr>
                <w:rFonts w:ascii="Arial" w:cs="Arial" w:eastAsia="Arial" w:hAnsi="Arial"/>
                <w:sz w:val="16"/>
                <w:szCs w:val="16"/>
                <w:color w:val="auto"/>
              </w:rPr>
              <w:t>431</w:t>
            </w:r>
          </w:p>
        </w:tc>
        <w:tc>
          <w:tcPr>
            <w:tcW w:w="440" w:type="dxa"/>
            <w:vAlign w:val="bottom"/>
            <w:shd w:val="clear" w:color="auto" w:fill="CCFFCC"/>
          </w:tcPr>
          <w:p>
            <w:pPr>
              <w:spacing w:after="0"/>
              <w:rPr>
                <w:sz w:val="21"/>
                <w:szCs w:val="21"/>
                <w:color w:val="auto"/>
              </w:rPr>
            </w:pPr>
          </w:p>
        </w:tc>
        <w:tc>
          <w:tcPr>
            <w:tcW w:w="800" w:type="dxa"/>
            <w:vAlign w:val="bottom"/>
            <w:shd w:val="clear" w:color="auto" w:fill="CCFFCC"/>
          </w:tcPr>
          <w:p>
            <w:pPr>
              <w:jc w:val="right"/>
              <w:ind w:right="39"/>
              <w:spacing w:after="0"/>
              <w:rPr>
                <w:sz w:val="20"/>
                <w:szCs w:val="20"/>
                <w:color w:val="auto"/>
              </w:rPr>
            </w:pPr>
            <w:r>
              <w:rPr>
                <w:rFonts w:ascii="Arial" w:cs="Arial" w:eastAsia="Arial" w:hAnsi="Arial"/>
                <w:sz w:val="16"/>
                <w:szCs w:val="16"/>
                <w:color w:val="auto"/>
              </w:rPr>
              <w:t>73</w:t>
            </w:r>
          </w:p>
        </w:tc>
      </w:tr>
      <w:tr>
        <w:trPr>
          <w:trHeight w:val="243"/>
        </w:trPr>
        <w:tc>
          <w:tcPr>
            <w:tcW w:w="4960" w:type="dxa"/>
            <w:vAlign w:val="bottom"/>
          </w:tcPr>
          <w:p>
            <w:pPr>
              <w:ind w:left="28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(29 )</w:t>
            </w:r>
          </w:p>
        </w:tc>
        <w:tc>
          <w:tcPr>
            <w:tcW w:w="5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(27 )</w:t>
            </w:r>
          </w:p>
        </w:tc>
        <w:tc>
          <w:tcPr>
            <w:tcW w:w="4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(12 )</w:t>
            </w:r>
          </w:p>
        </w:tc>
      </w:tr>
      <w:tr>
        <w:trPr>
          <w:trHeight w:val="237"/>
        </w:trPr>
        <w:tc>
          <w:tcPr>
            <w:tcW w:w="4960" w:type="dxa"/>
            <w:vAlign w:val="bottom"/>
            <w:shd w:val="clear" w:color="auto" w:fill="CCFFCC"/>
          </w:tcPr>
          <w:p>
            <w:pPr>
              <w:ind w:left="480"/>
              <w:spacing w:after="0"/>
              <w:rPr>
                <w:sz w:val="20"/>
                <w:szCs w:val="20"/>
                <w:color w:val="auto"/>
              </w:rPr>
            </w:pPr>
            <w:r>
              <w:rPr>
                <w:rFonts w:ascii="Arial" w:cs="Arial" w:eastAsia="Arial" w:hAnsi="Arial"/>
                <w:sz w:val="16"/>
                <w:szCs w:val="16"/>
                <w:color w:val="auto"/>
              </w:rPr>
              <w:t>Net cash used in continuing operations</w:t>
            </w:r>
          </w:p>
        </w:tc>
        <w:tc>
          <w:tcPr>
            <w:tcW w:w="240" w:type="dxa"/>
            <w:vAlign w:val="bottom"/>
            <w:shd w:val="clear" w:color="auto" w:fill="CCFFCC"/>
          </w:tcPr>
          <w:p>
            <w:pPr>
              <w:spacing w:after="0"/>
              <w:rPr>
                <w:sz w:val="20"/>
                <w:szCs w:val="20"/>
                <w:color w:val="auto"/>
              </w:rPr>
            </w:pPr>
          </w:p>
        </w:tc>
        <w:tc>
          <w:tcPr>
            <w:tcW w:w="6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(2,073 )</w:t>
            </w:r>
          </w:p>
        </w:tc>
        <w:tc>
          <w:tcPr>
            <w:tcW w:w="580" w:type="dxa"/>
            <w:vAlign w:val="bottom"/>
            <w:shd w:val="clear" w:color="auto" w:fill="CCFFCC"/>
          </w:tcPr>
          <w:p>
            <w:pPr>
              <w:spacing w:after="0"/>
              <w:rPr>
                <w:sz w:val="20"/>
                <w:szCs w:val="20"/>
                <w:color w:val="auto"/>
              </w:rPr>
            </w:pPr>
          </w:p>
        </w:tc>
        <w:tc>
          <w:tcPr>
            <w:tcW w:w="880" w:type="dxa"/>
            <w:vAlign w:val="bottom"/>
            <w:shd w:val="clear" w:color="auto" w:fill="CCFFCC"/>
          </w:tcPr>
          <w:p>
            <w:pPr>
              <w:jc w:val="right"/>
              <w:ind w:right="79"/>
              <w:spacing w:after="0"/>
              <w:rPr>
                <w:sz w:val="20"/>
                <w:szCs w:val="20"/>
                <w:color w:val="auto"/>
              </w:rPr>
            </w:pPr>
            <w:r>
              <w:rPr>
                <w:rFonts w:ascii="Arial" w:cs="Arial" w:eastAsia="Arial" w:hAnsi="Arial"/>
                <w:sz w:val="16"/>
                <w:szCs w:val="16"/>
                <w:color w:val="auto"/>
              </w:rPr>
              <w:t>(1,659 )</w:t>
            </w:r>
          </w:p>
        </w:tc>
        <w:tc>
          <w:tcPr>
            <w:tcW w:w="440" w:type="dxa"/>
            <w:vAlign w:val="bottom"/>
            <w:shd w:val="clear" w:color="auto" w:fill="CCFFCC"/>
          </w:tcPr>
          <w:p>
            <w:pPr>
              <w:spacing w:after="0"/>
              <w:rPr>
                <w:sz w:val="20"/>
                <w:szCs w:val="20"/>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(1,162 )</w:t>
            </w:r>
          </w:p>
        </w:tc>
      </w:tr>
      <w:tr>
        <w:trPr>
          <w:trHeight w:val="243"/>
        </w:trPr>
        <w:tc>
          <w:tcPr>
            <w:tcW w:w="4960" w:type="dxa"/>
            <w:vAlign w:val="bottom"/>
          </w:tcPr>
          <w:p>
            <w:pPr>
              <w:ind w:left="480"/>
              <w:spacing w:after="0"/>
              <w:rPr>
                <w:sz w:val="20"/>
                <w:szCs w:val="20"/>
                <w:color w:val="auto"/>
              </w:rPr>
            </w:pPr>
            <w:r>
              <w:rPr>
                <w:rFonts w:ascii="Arial" w:cs="Arial" w:eastAsia="Arial" w:hAnsi="Arial"/>
                <w:sz w:val="16"/>
                <w:szCs w:val="16"/>
                <w:color w:val="auto"/>
              </w:rPr>
              <w:t>Net cash provided by (used in) discontinued operations</w:t>
            </w:r>
          </w:p>
        </w:tc>
        <w:tc>
          <w:tcPr>
            <w:tcW w:w="2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793</w:t>
            </w:r>
          </w:p>
        </w:tc>
        <w:tc>
          <w:tcPr>
            <w:tcW w:w="4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(25 )</w:t>
            </w:r>
          </w:p>
        </w:tc>
      </w:tr>
      <w:tr>
        <w:trPr>
          <w:trHeight w:val="237"/>
        </w:trPr>
        <w:tc>
          <w:tcPr>
            <w:tcW w:w="4960" w:type="dxa"/>
            <w:vAlign w:val="bottom"/>
            <w:tcBorders>
              <w:bottom w:val="single" w:sz="8" w:color="CCFFCC"/>
            </w:tcBorders>
            <w:shd w:val="clear" w:color="auto" w:fill="CCFFCC"/>
          </w:tcPr>
          <w:p>
            <w:pPr>
              <w:ind w:left="480"/>
              <w:spacing w:after="0"/>
              <w:rPr>
                <w:sz w:val="20"/>
                <w:szCs w:val="20"/>
                <w:color w:val="auto"/>
              </w:rPr>
            </w:pPr>
            <w:r>
              <w:rPr>
                <w:rFonts w:ascii="Arial" w:cs="Arial" w:eastAsia="Arial" w:hAnsi="Arial"/>
                <w:sz w:val="16"/>
                <w:szCs w:val="16"/>
                <w:color w:val="auto"/>
              </w:rPr>
              <w:t>Net cash used in investing activities</w:t>
            </w:r>
          </w:p>
        </w:tc>
        <w:tc>
          <w:tcPr>
            <w:tcW w:w="240" w:type="dxa"/>
            <w:vAlign w:val="bottom"/>
            <w:tcBorders>
              <w:bottom w:val="single" w:sz="8" w:color="auto"/>
            </w:tcBorders>
            <w:shd w:val="clear" w:color="auto" w:fill="CCFFCC"/>
          </w:tcPr>
          <w:p>
            <w:pPr>
              <w:spacing w:after="0"/>
              <w:rPr>
                <w:sz w:val="20"/>
                <w:szCs w:val="20"/>
                <w:color w:val="auto"/>
              </w:rPr>
            </w:pPr>
          </w:p>
        </w:tc>
        <w:tc>
          <w:tcPr>
            <w:tcW w:w="6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(2,073 )</w:t>
            </w:r>
          </w:p>
        </w:tc>
        <w:tc>
          <w:tcPr>
            <w:tcW w:w="580" w:type="dxa"/>
            <w:vAlign w:val="bottom"/>
            <w:tcBorders>
              <w:bottom w:val="single" w:sz="8" w:color="auto"/>
            </w:tcBorders>
            <w:shd w:val="clear" w:color="auto" w:fill="CCFFCC"/>
          </w:tcPr>
          <w:p>
            <w:pPr>
              <w:spacing w:after="0"/>
              <w:rPr>
                <w:sz w:val="20"/>
                <w:szCs w:val="20"/>
                <w:color w:val="auto"/>
              </w:rPr>
            </w:pPr>
          </w:p>
        </w:tc>
        <w:tc>
          <w:tcPr>
            <w:tcW w:w="880" w:type="dxa"/>
            <w:vAlign w:val="bottom"/>
            <w:tcBorders>
              <w:bottom w:val="single" w:sz="8" w:color="auto"/>
            </w:tcBorders>
            <w:shd w:val="clear" w:color="auto" w:fill="CCFFCC"/>
          </w:tcPr>
          <w:p>
            <w:pPr>
              <w:jc w:val="right"/>
              <w:ind w:right="79"/>
              <w:spacing w:after="0"/>
              <w:rPr>
                <w:sz w:val="20"/>
                <w:szCs w:val="20"/>
                <w:color w:val="auto"/>
              </w:rPr>
            </w:pPr>
            <w:r>
              <w:rPr>
                <w:rFonts w:ascii="Arial" w:cs="Arial" w:eastAsia="Arial" w:hAnsi="Arial"/>
                <w:sz w:val="16"/>
                <w:szCs w:val="16"/>
                <w:color w:val="auto"/>
              </w:rPr>
              <w:t>(866 )</w:t>
            </w:r>
          </w:p>
        </w:tc>
        <w:tc>
          <w:tcPr>
            <w:tcW w:w="440" w:type="dxa"/>
            <w:vAlign w:val="bottom"/>
            <w:tcBorders>
              <w:bottom w:val="single" w:sz="8" w:color="auto"/>
            </w:tcBorders>
            <w:shd w:val="clear" w:color="auto" w:fill="CCFFCC"/>
          </w:tcPr>
          <w:p>
            <w:pPr>
              <w:spacing w:after="0"/>
              <w:rPr>
                <w:sz w:val="20"/>
                <w:szCs w:val="20"/>
                <w:color w:val="auto"/>
              </w:rPr>
            </w:pPr>
          </w:p>
        </w:tc>
        <w:tc>
          <w:tcPr>
            <w:tcW w:w="8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(1,187 )</w:t>
            </w:r>
          </w:p>
        </w:tc>
      </w:tr>
      <w:tr>
        <w:trPr>
          <w:trHeight w:val="237"/>
        </w:trPr>
        <w:tc>
          <w:tcPr>
            <w:tcW w:w="4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43"/>
        </w:trPr>
        <w:tc>
          <w:tcPr>
            <w:tcW w:w="4960" w:type="dxa"/>
            <w:vAlign w:val="bottom"/>
            <w:shd w:val="clear" w:color="auto" w:fill="CCFFCC"/>
          </w:tcPr>
          <w:p>
            <w:pPr>
              <w:ind w:left="20"/>
              <w:spacing w:after="0"/>
              <w:rPr>
                <w:sz w:val="20"/>
                <w:szCs w:val="20"/>
                <w:color w:val="auto"/>
              </w:rPr>
            </w:pPr>
            <w:r>
              <w:rPr>
                <w:rFonts w:ascii="Arial" w:cs="Arial" w:eastAsia="Arial" w:hAnsi="Arial"/>
                <w:sz w:val="16"/>
                <w:szCs w:val="16"/>
                <w:color w:val="auto"/>
              </w:rPr>
              <w:t>CASH FLOWS FROM FINANCING ACTIVITIES</w:t>
            </w:r>
          </w:p>
        </w:tc>
        <w:tc>
          <w:tcPr>
            <w:tcW w:w="240" w:type="dxa"/>
            <w:vAlign w:val="bottom"/>
            <w:shd w:val="clear" w:color="auto" w:fill="CCFFCC"/>
          </w:tcPr>
          <w:p>
            <w:pPr>
              <w:spacing w:after="0"/>
              <w:rPr>
                <w:sz w:val="21"/>
                <w:szCs w:val="21"/>
                <w:color w:val="auto"/>
              </w:rPr>
            </w:pPr>
          </w:p>
        </w:tc>
        <w:tc>
          <w:tcPr>
            <w:tcW w:w="640" w:type="dxa"/>
            <w:vAlign w:val="bottom"/>
            <w:shd w:val="clear" w:color="auto" w:fill="CCFFCC"/>
          </w:tcPr>
          <w:p>
            <w:pPr>
              <w:spacing w:after="0"/>
              <w:rPr>
                <w:sz w:val="21"/>
                <w:szCs w:val="21"/>
                <w:color w:val="auto"/>
              </w:rPr>
            </w:pPr>
          </w:p>
        </w:tc>
        <w:tc>
          <w:tcPr>
            <w:tcW w:w="580" w:type="dxa"/>
            <w:vAlign w:val="bottom"/>
            <w:shd w:val="clear" w:color="auto" w:fill="CCFFCC"/>
          </w:tcPr>
          <w:p>
            <w:pPr>
              <w:spacing w:after="0"/>
              <w:rPr>
                <w:sz w:val="21"/>
                <w:szCs w:val="21"/>
                <w:color w:val="auto"/>
              </w:rPr>
            </w:pPr>
          </w:p>
        </w:tc>
        <w:tc>
          <w:tcPr>
            <w:tcW w:w="880" w:type="dxa"/>
            <w:vAlign w:val="bottom"/>
            <w:shd w:val="clear" w:color="auto" w:fill="CCFFCC"/>
          </w:tcPr>
          <w:p>
            <w:pPr>
              <w:spacing w:after="0"/>
              <w:rPr>
                <w:sz w:val="21"/>
                <w:szCs w:val="21"/>
                <w:color w:val="auto"/>
              </w:rPr>
            </w:pPr>
          </w:p>
        </w:tc>
        <w:tc>
          <w:tcPr>
            <w:tcW w:w="440" w:type="dxa"/>
            <w:vAlign w:val="bottom"/>
            <w:shd w:val="clear" w:color="auto" w:fill="CCFFCC"/>
          </w:tcPr>
          <w:p>
            <w:pPr>
              <w:spacing w:after="0"/>
              <w:rPr>
                <w:sz w:val="21"/>
                <w:szCs w:val="21"/>
                <w:color w:val="auto"/>
              </w:rPr>
            </w:pPr>
          </w:p>
        </w:tc>
        <w:tc>
          <w:tcPr>
            <w:tcW w:w="800" w:type="dxa"/>
            <w:vAlign w:val="bottom"/>
            <w:shd w:val="clear" w:color="auto" w:fill="CCFFCC"/>
          </w:tcPr>
          <w:p>
            <w:pPr>
              <w:spacing w:after="0"/>
              <w:rPr>
                <w:sz w:val="21"/>
                <w:szCs w:val="21"/>
                <w:color w:val="auto"/>
              </w:rPr>
            </w:pPr>
          </w:p>
        </w:tc>
      </w:tr>
      <w:tr>
        <w:trPr>
          <w:trHeight w:val="240"/>
        </w:trPr>
        <w:tc>
          <w:tcPr>
            <w:tcW w:w="4960" w:type="dxa"/>
            <w:vAlign w:val="bottom"/>
          </w:tcPr>
          <w:p>
            <w:pPr>
              <w:ind w:left="280"/>
              <w:spacing w:after="0"/>
              <w:rPr>
                <w:sz w:val="20"/>
                <w:szCs w:val="20"/>
                <w:color w:val="auto"/>
              </w:rPr>
            </w:pPr>
            <w:r>
              <w:rPr>
                <w:rFonts w:ascii="Arial" w:cs="Arial" w:eastAsia="Arial" w:hAnsi="Arial"/>
                <w:sz w:val="16"/>
                <w:szCs w:val="16"/>
                <w:color w:val="auto"/>
              </w:rPr>
              <w:t>Common dividends paid</w:t>
            </w:r>
          </w:p>
        </w:tc>
        <w:tc>
          <w:tcPr>
            <w:tcW w:w="2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(316 )</w:t>
            </w:r>
          </w:p>
        </w:tc>
        <w:tc>
          <w:tcPr>
            <w:tcW w:w="580" w:type="dxa"/>
            <w:vAlign w:val="bottom"/>
          </w:tcPr>
          <w:p>
            <w:pPr>
              <w:spacing w:after="0"/>
              <w:rPr>
                <w:sz w:val="20"/>
                <w:szCs w:val="20"/>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(283 )</w:t>
            </w:r>
          </w:p>
        </w:tc>
        <w:tc>
          <w:tcPr>
            <w:tcW w:w="4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(268 )</w:t>
            </w:r>
          </w:p>
        </w:tc>
      </w:tr>
      <w:tr>
        <w:trPr>
          <w:trHeight w:val="246"/>
        </w:trPr>
        <w:tc>
          <w:tcPr>
            <w:tcW w:w="4960" w:type="dxa"/>
            <w:vAlign w:val="bottom"/>
            <w:shd w:val="clear" w:color="auto" w:fill="CCFFCC"/>
          </w:tcPr>
          <w:p>
            <w:pPr>
              <w:ind w:left="280"/>
              <w:spacing w:after="0"/>
              <w:rPr>
                <w:sz w:val="20"/>
                <w:szCs w:val="20"/>
                <w:color w:val="auto"/>
              </w:rPr>
            </w:pPr>
            <w:r>
              <w:rPr>
                <w:rFonts w:ascii="Arial" w:cs="Arial" w:eastAsia="Arial" w:hAnsi="Arial"/>
                <w:sz w:val="16"/>
                <w:szCs w:val="16"/>
                <w:color w:val="auto"/>
              </w:rPr>
              <w:t>Issuances of common stock</w:t>
            </w:r>
          </w:p>
        </w:tc>
        <w:tc>
          <w:tcPr>
            <w:tcW w:w="240" w:type="dxa"/>
            <w:vAlign w:val="bottom"/>
            <w:shd w:val="clear" w:color="auto" w:fill="CCFFCC"/>
          </w:tcPr>
          <w:p>
            <w:pPr>
              <w:spacing w:after="0"/>
              <w:rPr>
                <w:sz w:val="21"/>
                <w:szCs w:val="21"/>
                <w:color w:val="auto"/>
              </w:rPr>
            </w:pPr>
          </w:p>
        </w:tc>
        <w:tc>
          <w:tcPr>
            <w:tcW w:w="640" w:type="dxa"/>
            <w:vAlign w:val="bottom"/>
            <w:shd w:val="clear" w:color="auto" w:fill="CCFFCC"/>
          </w:tcPr>
          <w:p>
            <w:pPr>
              <w:jc w:val="right"/>
              <w:ind w:right="39"/>
              <w:spacing w:after="0"/>
              <w:rPr>
                <w:sz w:val="20"/>
                <w:szCs w:val="20"/>
                <w:color w:val="auto"/>
              </w:rPr>
            </w:pPr>
            <w:r>
              <w:rPr>
                <w:rFonts w:ascii="Arial" w:cs="Arial" w:eastAsia="Arial" w:hAnsi="Arial"/>
                <w:sz w:val="16"/>
                <w:szCs w:val="16"/>
                <w:color w:val="auto"/>
              </w:rPr>
              <w:t>40</w:t>
            </w:r>
          </w:p>
        </w:tc>
        <w:tc>
          <w:tcPr>
            <w:tcW w:w="580" w:type="dxa"/>
            <w:vAlign w:val="bottom"/>
            <w:shd w:val="clear" w:color="auto" w:fill="CCFFCC"/>
          </w:tcPr>
          <w:p>
            <w:pPr>
              <w:spacing w:after="0"/>
              <w:rPr>
                <w:sz w:val="21"/>
                <w:szCs w:val="21"/>
                <w:color w:val="auto"/>
              </w:rPr>
            </w:pPr>
          </w:p>
        </w:tc>
        <w:tc>
          <w:tcPr>
            <w:tcW w:w="880" w:type="dxa"/>
            <w:vAlign w:val="bottom"/>
            <w:shd w:val="clear" w:color="auto" w:fill="CCFFCC"/>
          </w:tcPr>
          <w:p>
            <w:pPr>
              <w:jc w:val="right"/>
              <w:ind w:right="159"/>
              <w:spacing w:after="0"/>
              <w:rPr>
                <w:sz w:val="20"/>
                <w:szCs w:val="20"/>
                <w:color w:val="auto"/>
              </w:rPr>
            </w:pPr>
            <w:r>
              <w:rPr>
                <w:rFonts w:ascii="Arial" w:cs="Arial" w:eastAsia="Arial" w:hAnsi="Arial"/>
                <w:sz w:val="16"/>
                <w:szCs w:val="16"/>
                <w:color w:val="auto"/>
              </w:rPr>
              <w:t>97</w:t>
            </w:r>
          </w:p>
        </w:tc>
        <w:tc>
          <w:tcPr>
            <w:tcW w:w="440" w:type="dxa"/>
            <w:vAlign w:val="bottom"/>
            <w:shd w:val="clear" w:color="auto" w:fill="CCFFCC"/>
          </w:tcPr>
          <w:p>
            <w:pPr>
              <w:spacing w:after="0"/>
              <w:rPr>
                <w:sz w:val="21"/>
                <w:szCs w:val="21"/>
                <w:color w:val="auto"/>
              </w:rPr>
            </w:pPr>
          </w:p>
        </w:tc>
        <w:tc>
          <w:tcPr>
            <w:tcW w:w="800" w:type="dxa"/>
            <w:vAlign w:val="bottom"/>
            <w:shd w:val="clear" w:color="auto" w:fill="CCFFCC"/>
          </w:tcPr>
          <w:p>
            <w:pPr>
              <w:jc w:val="right"/>
              <w:ind w:right="39"/>
              <w:spacing w:after="0"/>
              <w:rPr>
                <w:sz w:val="20"/>
                <w:szCs w:val="20"/>
                <w:color w:val="auto"/>
              </w:rPr>
            </w:pPr>
            <w:r>
              <w:rPr>
                <w:rFonts w:ascii="Arial" w:cs="Arial" w:eastAsia="Arial" w:hAnsi="Arial"/>
                <w:sz w:val="16"/>
                <w:szCs w:val="16"/>
                <w:color w:val="auto"/>
              </w:rPr>
              <w:t>694</w:t>
            </w:r>
          </w:p>
        </w:tc>
      </w:tr>
      <w:tr>
        <w:trPr>
          <w:trHeight w:val="240"/>
        </w:trPr>
        <w:tc>
          <w:tcPr>
            <w:tcW w:w="4960" w:type="dxa"/>
            <w:vAlign w:val="bottom"/>
          </w:tcPr>
          <w:p>
            <w:pPr>
              <w:ind w:left="280"/>
              <w:spacing w:after="0"/>
              <w:rPr>
                <w:sz w:val="20"/>
                <w:szCs w:val="20"/>
                <w:color w:val="auto"/>
              </w:rPr>
            </w:pPr>
            <w:r>
              <w:rPr>
                <w:rFonts w:ascii="Arial" w:cs="Arial" w:eastAsia="Arial" w:hAnsi="Arial"/>
                <w:sz w:val="16"/>
                <w:szCs w:val="16"/>
                <w:color w:val="auto"/>
              </w:rPr>
              <w:t>Repurchases of common stock</w:t>
            </w:r>
          </w:p>
        </w:tc>
        <w:tc>
          <w:tcPr>
            <w:tcW w:w="2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(185 )</w:t>
            </w:r>
          </w:p>
        </w:tc>
        <w:tc>
          <w:tcPr>
            <w:tcW w:w="580" w:type="dxa"/>
            <w:vAlign w:val="bottom"/>
          </w:tcPr>
          <w:p>
            <w:pPr>
              <w:spacing w:after="0"/>
              <w:rPr>
                <w:sz w:val="20"/>
                <w:szCs w:val="20"/>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(37 )</w:t>
            </w:r>
          </w:p>
        </w:tc>
        <w:tc>
          <w:tcPr>
            <w:tcW w:w="4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(95 )</w:t>
            </w:r>
          </w:p>
        </w:tc>
      </w:tr>
      <w:tr>
        <w:trPr>
          <w:trHeight w:val="246"/>
        </w:trPr>
        <w:tc>
          <w:tcPr>
            <w:tcW w:w="4960" w:type="dxa"/>
            <w:vAlign w:val="bottom"/>
            <w:shd w:val="clear" w:color="auto" w:fill="CCFFCC"/>
          </w:tcPr>
          <w:p>
            <w:pPr>
              <w:ind w:left="280"/>
              <w:spacing w:after="0"/>
              <w:rPr>
                <w:sz w:val="20"/>
                <w:szCs w:val="20"/>
                <w:color w:val="auto"/>
              </w:rPr>
            </w:pPr>
            <w:r>
              <w:rPr>
                <w:rFonts w:ascii="Arial" w:cs="Arial" w:eastAsia="Arial" w:hAnsi="Arial"/>
                <w:sz w:val="16"/>
                <w:szCs w:val="16"/>
                <w:color w:val="auto"/>
              </w:rPr>
              <w:t>Issuances of long-term debt</w:t>
            </w:r>
          </w:p>
        </w:tc>
        <w:tc>
          <w:tcPr>
            <w:tcW w:w="240" w:type="dxa"/>
            <w:vAlign w:val="bottom"/>
            <w:shd w:val="clear" w:color="auto" w:fill="CCFFCC"/>
          </w:tcPr>
          <w:p>
            <w:pPr>
              <w:spacing w:after="0"/>
              <w:rPr>
                <w:sz w:val="21"/>
                <w:szCs w:val="21"/>
                <w:color w:val="auto"/>
              </w:rPr>
            </w:pPr>
          </w:p>
        </w:tc>
        <w:tc>
          <w:tcPr>
            <w:tcW w:w="640" w:type="dxa"/>
            <w:vAlign w:val="bottom"/>
            <w:shd w:val="clear" w:color="auto" w:fill="CCFFCC"/>
          </w:tcPr>
          <w:p>
            <w:pPr>
              <w:jc w:val="right"/>
              <w:ind w:right="39"/>
              <w:spacing w:after="0"/>
              <w:rPr>
                <w:sz w:val="20"/>
                <w:szCs w:val="20"/>
                <w:color w:val="auto"/>
              </w:rPr>
            </w:pPr>
            <w:r>
              <w:rPr>
                <w:rFonts w:ascii="Arial" w:cs="Arial" w:eastAsia="Arial" w:hAnsi="Arial"/>
                <w:sz w:val="16"/>
                <w:szCs w:val="16"/>
                <w:color w:val="auto"/>
              </w:rPr>
              <w:t>404</w:t>
            </w:r>
          </w:p>
        </w:tc>
        <w:tc>
          <w:tcPr>
            <w:tcW w:w="580" w:type="dxa"/>
            <w:vAlign w:val="bottom"/>
            <w:shd w:val="clear" w:color="auto" w:fill="CCFFCC"/>
          </w:tcPr>
          <w:p>
            <w:pPr>
              <w:spacing w:after="0"/>
              <w:rPr>
                <w:sz w:val="21"/>
                <w:szCs w:val="21"/>
                <w:color w:val="auto"/>
              </w:rPr>
            </w:pPr>
          </w:p>
        </w:tc>
        <w:tc>
          <w:tcPr>
            <w:tcW w:w="880" w:type="dxa"/>
            <w:vAlign w:val="bottom"/>
            <w:shd w:val="clear" w:color="auto" w:fill="CCFFCC"/>
          </w:tcPr>
          <w:p>
            <w:pPr>
              <w:jc w:val="right"/>
              <w:ind w:right="159"/>
              <w:spacing w:after="0"/>
              <w:rPr>
                <w:sz w:val="20"/>
                <w:szCs w:val="20"/>
                <w:color w:val="auto"/>
              </w:rPr>
            </w:pPr>
            <w:r>
              <w:rPr>
                <w:rFonts w:ascii="Arial" w:cs="Arial" w:eastAsia="Arial" w:hAnsi="Arial"/>
                <w:sz w:val="16"/>
                <w:szCs w:val="16"/>
                <w:color w:val="auto"/>
              </w:rPr>
              <w:t>552</w:t>
            </w:r>
          </w:p>
        </w:tc>
        <w:tc>
          <w:tcPr>
            <w:tcW w:w="440" w:type="dxa"/>
            <w:vAlign w:val="bottom"/>
            <w:shd w:val="clear" w:color="auto" w:fill="CCFFCC"/>
          </w:tcPr>
          <w:p>
            <w:pPr>
              <w:spacing w:after="0"/>
              <w:rPr>
                <w:sz w:val="21"/>
                <w:szCs w:val="21"/>
                <w:color w:val="auto"/>
              </w:rPr>
            </w:pPr>
          </w:p>
        </w:tc>
        <w:tc>
          <w:tcPr>
            <w:tcW w:w="800" w:type="dxa"/>
            <w:vAlign w:val="bottom"/>
            <w:shd w:val="clear" w:color="auto" w:fill="CCFFCC"/>
          </w:tcPr>
          <w:p>
            <w:pPr>
              <w:jc w:val="right"/>
              <w:ind w:right="39"/>
              <w:spacing w:after="0"/>
              <w:rPr>
                <w:sz w:val="20"/>
                <w:szCs w:val="20"/>
                <w:color w:val="auto"/>
              </w:rPr>
            </w:pPr>
            <w:r>
              <w:rPr>
                <w:rFonts w:ascii="Arial" w:cs="Arial" w:eastAsia="Arial" w:hAnsi="Arial"/>
                <w:sz w:val="16"/>
                <w:szCs w:val="16"/>
                <w:color w:val="auto"/>
              </w:rPr>
              <w:t>762</w:t>
            </w:r>
          </w:p>
        </w:tc>
      </w:tr>
      <w:tr>
        <w:trPr>
          <w:trHeight w:val="240"/>
        </w:trPr>
        <w:tc>
          <w:tcPr>
            <w:tcW w:w="4960" w:type="dxa"/>
            <w:vAlign w:val="bottom"/>
          </w:tcPr>
          <w:p>
            <w:pPr>
              <w:ind w:left="280"/>
              <w:spacing w:after="0"/>
              <w:rPr>
                <w:sz w:val="20"/>
                <w:szCs w:val="20"/>
                <w:color w:val="auto"/>
              </w:rPr>
            </w:pPr>
            <w:r>
              <w:rPr>
                <w:rFonts w:ascii="Arial" w:cs="Arial" w:eastAsia="Arial" w:hAnsi="Arial"/>
                <w:sz w:val="16"/>
                <w:szCs w:val="16"/>
                <w:color w:val="auto"/>
              </w:rPr>
              <w:t>Payments on long-term debt</w:t>
            </w:r>
          </w:p>
        </w:tc>
        <w:tc>
          <w:tcPr>
            <w:tcW w:w="2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(1,072 )</w:t>
            </w:r>
          </w:p>
        </w:tc>
        <w:tc>
          <w:tcPr>
            <w:tcW w:w="580" w:type="dxa"/>
            <w:vAlign w:val="bottom"/>
          </w:tcPr>
          <w:p>
            <w:pPr>
              <w:spacing w:after="0"/>
              <w:rPr>
                <w:sz w:val="20"/>
                <w:szCs w:val="20"/>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(263 )</w:t>
            </w:r>
          </w:p>
        </w:tc>
        <w:tc>
          <w:tcPr>
            <w:tcW w:w="4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(529 )</w:t>
            </w:r>
          </w:p>
        </w:tc>
      </w:tr>
      <w:tr>
        <w:trPr>
          <w:trHeight w:val="246"/>
        </w:trPr>
        <w:tc>
          <w:tcPr>
            <w:tcW w:w="4960" w:type="dxa"/>
            <w:vAlign w:val="bottom"/>
            <w:shd w:val="clear" w:color="auto" w:fill="CCFFCC"/>
          </w:tcPr>
          <w:p>
            <w:pPr>
              <w:ind w:left="280"/>
              <w:spacing w:after="0"/>
              <w:rPr>
                <w:sz w:val="20"/>
                <w:szCs w:val="20"/>
                <w:color w:val="auto"/>
              </w:rPr>
            </w:pPr>
            <w:r>
              <w:rPr>
                <w:rFonts w:ascii="Arial" w:cs="Arial" w:eastAsia="Arial" w:hAnsi="Arial"/>
                <w:sz w:val="16"/>
                <w:szCs w:val="16"/>
                <w:color w:val="auto"/>
              </w:rPr>
              <w:t>Redemption of mandatorily redeemable preferred securities</w:t>
            </w:r>
          </w:p>
        </w:tc>
        <w:tc>
          <w:tcPr>
            <w:tcW w:w="240" w:type="dxa"/>
            <w:vAlign w:val="bottom"/>
            <w:shd w:val="clear" w:color="auto" w:fill="CCFFCC"/>
          </w:tcPr>
          <w:p>
            <w:pPr>
              <w:spacing w:after="0"/>
              <w:rPr>
                <w:sz w:val="21"/>
                <w:szCs w:val="21"/>
                <w:color w:val="auto"/>
              </w:rPr>
            </w:pPr>
          </w:p>
        </w:tc>
        <w:tc>
          <w:tcPr>
            <w:tcW w:w="640" w:type="dxa"/>
            <w:vAlign w:val="bottom"/>
            <w:shd w:val="clear" w:color="auto" w:fill="CCFFCC"/>
          </w:tcPr>
          <w:p>
            <w:pPr>
              <w:jc w:val="right"/>
              <w:ind w:right="39"/>
              <w:spacing w:after="0"/>
              <w:rPr>
                <w:sz w:val="20"/>
                <w:szCs w:val="20"/>
                <w:color w:val="auto"/>
              </w:rPr>
            </w:pPr>
            <w:r>
              <w:rPr>
                <w:rFonts w:ascii="Arial" w:cs="Arial" w:eastAsia="Arial" w:hAnsi="Arial"/>
                <w:sz w:val="16"/>
                <w:szCs w:val="16"/>
                <w:color w:val="auto"/>
              </w:rPr>
              <w:t>--</w:t>
            </w:r>
          </w:p>
        </w:tc>
        <w:tc>
          <w:tcPr>
            <w:tcW w:w="580" w:type="dxa"/>
            <w:vAlign w:val="bottom"/>
            <w:shd w:val="clear" w:color="auto" w:fill="CCFFCC"/>
          </w:tcPr>
          <w:p>
            <w:pPr>
              <w:spacing w:after="0"/>
              <w:rPr>
                <w:sz w:val="21"/>
                <w:szCs w:val="21"/>
                <w:color w:val="auto"/>
              </w:rPr>
            </w:pPr>
          </w:p>
        </w:tc>
        <w:tc>
          <w:tcPr>
            <w:tcW w:w="880" w:type="dxa"/>
            <w:vAlign w:val="bottom"/>
            <w:shd w:val="clear" w:color="auto" w:fill="CCFFCC"/>
          </w:tcPr>
          <w:p>
            <w:pPr>
              <w:jc w:val="right"/>
              <w:ind w:right="159"/>
              <w:spacing w:after="0"/>
              <w:rPr>
                <w:sz w:val="20"/>
                <w:szCs w:val="20"/>
                <w:color w:val="auto"/>
              </w:rPr>
            </w:pPr>
            <w:r>
              <w:rPr>
                <w:rFonts w:ascii="Arial" w:cs="Arial" w:eastAsia="Arial" w:hAnsi="Arial"/>
                <w:sz w:val="16"/>
                <w:szCs w:val="16"/>
                <w:color w:val="auto"/>
              </w:rPr>
              <w:t>--</w:t>
            </w:r>
          </w:p>
        </w:tc>
        <w:tc>
          <w:tcPr>
            <w:tcW w:w="440" w:type="dxa"/>
            <w:vAlign w:val="bottom"/>
            <w:shd w:val="clear" w:color="auto" w:fill="CCFFCC"/>
          </w:tcPr>
          <w:p>
            <w:pPr>
              <w:spacing w:after="0"/>
              <w:rPr>
                <w:sz w:val="21"/>
                <w:szCs w:val="21"/>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(200 )</w:t>
            </w:r>
          </w:p>
        </w:tc>
      </w:tr>
      <w:tr>
        <w:trPr>
          <w:trHeight w:val="240"/>
        </w:trPr>
        <w:tc>
          <w:tcPr>
            <w:tcW w:w="4960" w:type="dxa"/>
            <w:vAlign w:val="bottom"/>
          </w:tcPr>
          <w:p>
            <w:pPr>
              <w:ind w:left="280"/>
              <w:spacing w:after="0"/>
              <w:rPr>
                <w:sz w:val="20"/>
                <w:szCs w:val="20"/>
                <w:color w:val="auto"/>
              </w:rPr>
            </w:pPr>
            <w:r>
              <w:rPr>
                <w:rFonts w:ascii="Arial" w:cs="Arial" w:eastAsia="Arial" w:hAnsi="Arial"/>
                <w:sz w:val="16"/>
                <w:szCs w:val="16"/>
                <w:color w:val="auto"/>
              </w:rPr>
              <w:t>Increase (decrease) in short-term debt, net</w:t>
            </w:r>
          </w:p>
        </w:tc>
        <w:tc>
          <w:tcPr>
            <w:tcW w:w="24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812</w:t>
            </w:r>
          </w:p>
        </w:tc>
        <w:tc>
          <w:tcPr>
            <w:tcW w:w="580" w:type="dxa"/>
            <w:vAlign w:val="bottom"/>
          </w:tcPr>
          <w:p>
            <w:pPr>
              <w:spacing w:after="0"/>
              <w:rPr>
                <w:sz w:val="20"/>
                <w:szCs w:val="20"/>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(791 )</w:t>
            </w:r>
          </w:p>
        </w:tc>
        <w:tc>
          <w:tcPr>
            <w:tcW w:w="44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659</w:t>
            </w:r>
          </w:p>
        </w:tc>
      </w:tr>
      <w:tr>
        <w:trPr>
          <w:trHeight w:val="246"/>
        </w:trPr>
        <w:tc>
          <w:tcPr>
            <w:tcW w:w="4960" w:type="dxa"/>
            <w:vAlign w:val="bottom"/>
            <w:shd w:val="clear" w:color="auto" w:fill="CCFFCC"/>
          </w:tcPr>
          <w:p>
            <w:pPr>
              <w:ind w:left="280"/>
              <w:spacing w:after="0"/>
              <w:rPr>
                <w:sz w:val="20"/>
                <w:szCs w:val="20"/>
                <w:color w:val="auto"/>
              </w:rPr>
            </w:pPr>
            <w:r>
              <w:rPr>
                <w:rFonts w:ascii="Arial" w:cs="Arial" w:eastAsia="Arial" w:hAnsi="Arial"/>
                <w:sz w:val="16"/>
                <w:szCs w:val="16"/>
                <w:color w:val="auto"/>
              </w:rPr>
              <w:t>Financing transaction related to Sempra Financial</w:t>
            </w:r>
          </w:p>
        </w:tc>
        <w:tc>
          <w:tcPr>
            <w:tcW w:w="240" w:type="dxa"/>
            <w:vAlign w:val="bottom"/>
            <w:shd w:val="clear" w:color="auto" w:fill="CCFFCC"/>
          </w:tcPr>
          <w:p>
            <w:pPr>
              <w:spacing w:after="0"/>
              <w:rPr>
                <w:sz w:val="21"/>
                <w:szCs w:val="21"/>
                <w:color w:val="auto"/>
              </w:rPr>
            </w:pPr>
          </w:p>
        </w:tc>
        <w:tc>
          <w:tcPr>
            <w:tcW w:w="640" w:type="dxa"/>
            <w:vAlign w:val="bottom"/>
            <w:shd w:val="clear" w:color="auto" w:fill="CCFFCC"/>
          </w:tcPr>
          <w:p>
            <w:pPr>
              <w:jc w:val="right"/>
              <w:ind w:right="39"/>
              <w:spacing w:after="0"/>
              <w:rPr>
                <w:sz w:val="20"/>
                <w:szCs w:val="20"/>
                <w:color w:val="auto"/>
              </w:rPr>
            </w:pPr>
            <w:r>
              <w:rPr>
                <w:rFonts w:ascii="Arial" w:cs="Arial" w:eastAsia="Arial" w:hAnsi="Arial"/>
                <w:sz w:val="16"/>
                <w:szCs w:val="16"/>
                <w:color w:val="auto"/>
              </w:rPr>
              <w:t>--</w:t>
            </w:r>
          </w:p>
        </w:tc>
        <w:tc>
          <w:tcPr>
            <w:tcW w:w="580" w:type="dxa"/>
            <w:vAlign w:val="bottom"/>
            <w:shd w:val="clear" w:color="auto" w:fill="CCFFCC"/>
          </w:tcPr>
          <w:p>
            <w:pPr>
              <w:spacing w:after="0"/>
              <w:rPr>
                <w:sz w:val="21"/>
                <w:szCs w:val="21"/>
                <w:color w:val="auto"/>
              </w:rPr>
            </w:pPr>
          </w:p>
        </w:tc>
        <w:tc>
          <w:tcPr>
            <w:tcW w:w="880" w:type="dxa"/>
            <w:vAlign w:val="bottom"/>
            <w:shd w:val="clear" w:color="auto" w:fill="CCFFCC"/>
          </w:tcPr>
          <w:p>
            <w:pPr>
              <w:jc w:val="right"/>
              <w:ind w:right="159"/>
              <w:spacing w:after="0"/>
              <w:rPr>
                <w:sz w:val="20"/>
                <w:szCs w:val="20"/>
                <w:color w:val="auto"/>
              </w:rPr>
            </w:pPr>
            <w:r>
              <w:rPr>
                <w:rFonts w:ascii="Arial" w:cs="Arial" w:eastAsia="Arial" w:hAnsi="Arial"/>
                <w:sz w:val="16"/>
                <w:szCs w:val="16"/>
                <w:color w:val="auto"/>
              </w:rPr>
              <w:t>83</w:t>
            </w:r>
          </w:p>
        </w:tc>
        <w:tc>
          <w:tcPr>
            <w:tcW w:w="440" w:type="dxa"/>
            <w:vAlign w:val="bottom"/>
            <w:shd w:val="clear" w:color="auto" w:fill="CCFFCC"/>
          </w:tcPr>
          <w:p>
            <w:pPr>
              <w:spacing w:after="0"/>
              <w:rPr>
                <w:sz w:val="21"/>
                <w:szCs w:val="21"/>
                <w:color w:val="auto"/>
              </w:rPr>
            </w:pPr>
          </w:p>
        </w:tc>
        <w:tc>
          <w:tcPr>
            <w:tcW w:w="800" w:type="dxa"/>
            <w:vAlign w:val="bottom"/>
            <w:shd w:val="clear" w:color="auto" w:fill="CCFFCC"/>
          </w:tcPr>
          <w:p>
            <w:pPr>
              <w:jc w:val="right"/>
              <w:ind w:right="39"/>
              <w:spacing w:after="0"/>
              <w:rPr>
                <w:sz w:val="20"/>
                <w:szCs w:val="20"/>
                <w:color w:val="auto"/>
              </w:rPr>
            </w:pPr>
            <w:r>
              <w:rPr>
                <w:rFonts w:ascii="Arial" w:cs="Arial" w:eastAsia="Arial" w:hAnsi="Arial"/>
                <w:sz w:val="16"/>
                <w:szCs w:val="16"/>
                <w:color w:val="auto"/>
              </w:rPr>
              <w:t>--</w:t>
            </w:r>
          </w:p>
        </w:tc>
      </w:tr>
      <w:tr>
        <w:trPr>
          <w:trHeight w:val="243"/>
        </w:trPr>
        <w:tc>
          <w:tcPr>
            <w:tcW w:w="4960" w:type="dxa"/>
            <w:vAlign w:val="bottom"/>
          </w:tcPr>
          <w:p>
            <w:pPr>
              <w:ind w:left="28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21</w:t>
            </w:r>
          </w:p>
        </w:tc>
        <w:tc>
          <w:tcPr>
            <w:tcW w:w="5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28</w:t>
            </w:r>
          </w:p>
        </w:tc>
        <w:tc>
          <w:tcPr>
            <w:tcW w:w="4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(6 )</w:t>
            </w:r>
          </w:p>
        </w:tc>
      </w:tr>
      <w:tr>
        <w:trPr>
          <w:trHeight w:val="237"/>
        </w:trPr>
        <w:tc>
          <w:tcPr>
            <w:tcW w:w="4960" w:type="dxa"/>
            <w:vAlign w:val="bottom"/>
            <w:shd w:val="clear" w:color="auto" w:fill="CCFFCC"/>
          </w:tcPr>
          <w:p>
            <w:pPr>
              <w:ind w:left="480"/>
              <w:spacing w:after="0"/>
              <w:rPr>
                <w:sz w:val="20"/>
                <w:szCs w:val="20"/>
                <w:color w:val="auto"/>
              </w:rPr>
            </w:pPr>
            <w:r>
              <w:rPr>
                <w:rFonts w:ascii="Arial" w:cs="Arial" w:eastAsia="Arial" w:hAnsi="Arial"/>
                <w:sz w:val="16"/>
                <w:szCs w:val="16"/>
                <w:color w:val="auto"/>
              </w:rPr>
              <w:t>Net cash provided by (used in) continuing operations</w:t>
            </w:r>
          </w:p>
        </w:tc>
        <w:tc>
          <w:tcPr>
            <w:tcW w:w="240" w:type="dxa"/>
            <w:vAlign w:val="bottom"/>
            <w:shd w:val="clear" w:color="auto" w:fill="CCFFCC"/>
          </w:tcPr>
          <w:p>
            <w:pPr>
              <w:spacing w:after="0"/>
              <w:rPr>
                <w:sz w:val="20"/>
                <w:szCs w:val="20"/>
                <w:color w:val="auto"/>
              </w:rPr>
            </w:pPr>
          </w:p>
        </w:tc>
        <w:tc>
          <w:tcPr>
            <w:tcW w:w="6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(296 )</w:t>
            </w:r>
          </w:p>
        </w:tc>
        <w:tc>
          <w:tcPr>
            <w:tcW w:w="580" w:type="dxa"/>
            <w:vAlign w:val="bottom"/>
            <w:shd w:val="clear" w:color="auto" w:fill="CCFFCC"/>
          </w:tcPr>
          <w:p>
            <w:pPr>
              <w:spacing w:after="0"/>
              <w:rPr>
                <w:sz w:val="20"/>
                <w:szCs w:val="20"/>
                <w:color w:val="auto"/>
              </w:rPr>
            </w:pPr>
          </w:p>
        </w:tc>
        <w:tc>
          <w:tcPr>
            <w:tcW w:w="880" w:type="dxa"/>
            <w:vAlign w:val="bottom"/>
            <w:shd w:val="clear" w:color="auto" w:fill="CCFFCC"/>
          </w:tcPr>
          <w:p>
            <w:pPr>
              <w:jc w:val="right"/>
              <w:ind w:right="79"/>
              <w:spacing w:after="0"/>
              <w:rPr>
                <w:sz w:val="20"/>
                <w:szCs w:val="20"/>
                <w:color w:val="auto"/>
              </w:rPr>
            </w:pPr>
            <w:r>
              <w:rPr>
                <w:rFonts w:ascii="Arial" w:cs="Arial" w:eastAsia="Arial" w:hAnsi="Arial"/>
                <w:sz w:val="16"/>
                <w:szCs w:val="16"/>
                <w:color w:val="auto"/>
              </w:rPr>
              <w:t>(614 )</w:t>
            </w:r>
          </w:p>
        </w:tc>
        <w:tc>
          <w:tcPr>
            <w:tcW w:w="440" w:type="dxa"/>
            <w:vAlign w:val="bottom"/>
            <w:shd w:val="clear" w:color="auto" w:fill="CCFFCC"/>
          </w:tcPr>
          <w:p>
            <w:pPr>
              <w:spacing w:after="0"/>
              <w:rPr>
                <w:sz w:val="20"/>
                <w:szCs w:val="20"/>
                <w:color w:val="auto"/>
              </w:rPr>
            </w:pPr>
          </w:p>
        </w:tc>
        <w:tc>
          <w:tcPr>
            <w:tcW w:w="800" w:type="dxa"/>
            <w:vAlign w:val="bottom"/>
            <w:shd w:val="clear" w:color="auto" w:fill="CCFFCC"/>
          </w:tcPr>
          <w:p>
            <w:pPr>
              <w:jc w:val="right"/>
              <w:ind w:right="39"/>
              <w:spacing w:after="0"/>
              <w:rPr>
                <w:sz w:val="20"/>
                <w:szCs w:val="20"/>
                <w:color w:val="auto"/>
              </w:rPr>
            </w:pPr>
            <w:r>
              <w:rPr>
                <w:rFonts w:ascii="Arial" w:cs="Arial" w:eastAsia="Arial" w:hAnsi="Arial"/>
                <w:sz w:val="16"/>
                <w:szCs w:val="16"/>
                <w:color w:val="auto"/>
              </w:rPr>
              <w:t>1,017</w:t>
            </w:r>
          </w:p>
        </w:tc>
      </w:tr>
      <w:tr>
        <w:trPr>
          <w:trHeight w:val="243"/>
        </w:trPr>
        <w:tc>
          <w:tcPr>
            <w:tcW w:w="4960" w:type="dxa"/>
            <w:vAlign w:val="bottom"/>
          </w:tcPr>
          <w:p>
            <w:pPr>
              <w:ind w:left="480"/>
              <w:spacing w:after="0"/>
              <w:rPr>
                <w:sz w:val="20"/>
                <w:szCs w:val="20"/>
                <w:color w:val="auto"/>
              </w:rPr>
            </w:pPr>
            <w:r>
              <w:rPr>
                <w:rFonts w:ascii="Arial" w:cs="Arial" w:eastAsia="Arial" w:hAnsi="Arial"/>
                <w:sz w:val="16"/>
                <w:szCs w:val="16"/>
                <w:color w:val="auto"/>
              </w:rPr>
              <w:t>Net cash provided by discontinued operations</w:t>
            </w:r>
          </w:p>
        </w:tc>
        <w:tc>
          <w:tcPr>
            <w:tcW w:w="2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2</w:t>
            </w:r>
          </w:p>
        </w:tc>
        <w:tc>
          <w:tcPr>
            <w:tcW w:w="4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r>
      <w:tr>
        <w:trPr>
          <w:trHeight w:val="237"/>
        </w:trPr>
        <w:tc>
          <w:tcPr>
            <w:tcW w:w="4960" w:type="dxa"/>
            <w:vAlign w:val="bottom"/>
            <w:tcBorders>
              <w:bottom w:val="single" w:sz="8" w:color="CCFFCC"/>
            </w:tcBorders>
            <w:shd w:val="clear" w:color="auto" w:fill="CCFFCC"/>
          </w:tcPr>
          <w:p>
            <w:pPr>
              <w:ind w:left="480"/>
              <w:spacing w:after="0"/>
              <w:rPr>
                <w:sz w:val="20"/>
                <w:szCs w:val="20"/>
                <w:color w:val="auto"/>
              </w:rPr>
            </w:pPr>
            <w:r>
              <w:rPr>
                <w:rFonts w:ascii="Arial" w:cs="Arial" w:eastAsia="Arial" w:hAnsi="Arial"/>
                <w:sz w:val="16"/>
                <w:szCs w:val="16"/>
                <w:color w:val="auto"/>
              </w:rPr>
              <w:t>Net cash provided by (used in) financing activities</w:t>
            </w:r>
          </w:p>
        </w:tc>
        <w:tc>
          <w:tcPr>
            <w:tcW w:w="240" w:type="dxa"/>
            <w:vAlign w:val="bottom"/>
            <w:tcBorders>
              <w:bottom w:val="single" w:sz="8" w:color="auto"/>
            </w:tcBorders>
            <w:shd w:val="clear" w:color="auto" w:fill="CCFFCC"/>
          </w:tcPr>
          <w:p>
            <w:pPr>
              <w:spacing w:after="0"/>
              <w:rPr>
                <w:sz w:val="20"/>
                <w:szCs w:val="20"/>
                <w:color w:val="auto"/>
              </w:rPr>
            </w:pPr>
          </w:p>
        </w:tc>
        <w:tc>
          <w:tcPr>
            <w:tcW w:w="6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(296 )</w:t>
            </w:r>
          </w:p>
        </w:tc>
        <w:tc>
          <w:tcPr>
            <w:tcW w:w="580" w:type="dxa"/>
            <w:vAlign w:val="bottom"/>
            <w:tcBorders>
              <w:bottom w:val="single" w:sz="8" w:color="auto"/>
            </w:tcBorders>
            <w:shd w:val="clear" w:color="auto" w:fill="CCFFCC"/>
          </w:tcPr>
          <w:p>
            <w:pPr>
              <w:spacing w:after="0"/>
              <w:rPr>
                <w:sz w:val="20"/>
                <w:szCs w:val="20"/>
                <w:color w:val="auto"/>
              </w:rPr>
            </w:pPr>
          </w:p>
        </w:tc>
        <w:tc>
          <w:tcPr>
            <w:tcW w:w="880" w:type="dxa"/>
            <w:vAlign w:val="bottom"/>
            <w:tcBorders>
              <w:bottom w:val="single" w:sz="8" w:color="auto"/>
            </w:tcBorders>
            <w:shd w:val="clear" w:color="auto" w:fill="CCFFCC"/>
          </w:tcPr>
          <w:p>
            <w:pPr>
              <w:jc w:val="right"/>
              <w:ind w:right="79"/>
              <w:spacing w:after="0"/>
              <w:rPr>
                <w:sz w:val="20"/>
                <w:szCs w:val="20"/>
                <w:color w:val="auto"/>
              </w:rPr>
            </w:pPr>
            <w:r>
              <w:rPr>
                <w:rFonts w:ascii="Arial" w:cs="Arial" w:eastAsia="Arial" w:hAnsi="Arial"/>
                <w:sz w:val="16"/>
                <w:szCs w:val="16"/>
                <w:color w:val="auto"/>
              </w:rPr>
              <w:t>(612 )</w:t>
            </w:r>
          </w:p>
        </w:tc>
        <w:tc>
          <w:tcPr>
            <w:tcW w:w="440" w:type="dxa"/>
            <w:vAlign w:val="bottom"/>
            <w:tcBorders>
              <w:bottom w:val="single" w:sz="8" w:color="auto"/>
            </w:tcBorders>
            <w:shd w:val="clear" w:color="auto" w:fill="CCFFCC"/>
          </w:tcPr>
          <w:p>
            <w:pPr>
              <w:spacing w:after="0"/>
              <w:rPr>
                <w:sz w:val="20"/>
                <w:szCs w:val="20"/>
                <w:color w:val="auto"/>
              </w:rPr>
            </w:pPr>
          </w:p>
        </w:tc>
        <w:tc>
          <w:tcPr>
            <w:tcW w:w="800" w:type="dxa"/>
            <w:vAlign w:val="bottom"/>
            <w:tcBorders>
              <w:bottom w:val="single" w:sz="8" w:color="auto"/>
            </w:tcBorders>
            <w:shd w:val="clear" w:color="auto" w:fill="CCFFCC"/>
          </w:tcPr>
          <w:p>
            <w:pPr>
              <w:jc w:val="right"/>
              <w:ind w:right="39"/>
              <w:spacing w:after="0"/>
              <w:rPr>
                <w:sz w:val="20"/>
                <w:szCs w:val="20"/>
                <w:color w:val="auto"/>
              </w:rPr>
            </w:pPr>
            <w:r>
              <w:rPr>
                <w:rFonts w:ascii="Arial" w:cs="Arial" w:eastAsia="Arial" w:hAnsi="Arial"/>
                <w:sz w:val="16"/>
                <w:szCs w:val="16"/>
                <w:color w:val="auto"/>
              </w:rPr>
              <w:t>1,017</w:t>
            </w:r>
          </w:p>
        </w:tc>
      </w:tr>
      <w:tr>
        <w:trPr>
          <w:trHeight w:val="237"/>
        </w:trPr>
        <w:tc>
          <w:tcPr>
            <w:tcW w:w="4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43"/>
        </w:trPr>
        <w:tc>
          <w:tcPr>
            <w:tcW w:w="4960" w:type="dxa"/>
            <w:vAlign w:val="bottom"/>
            <w:shd w:val="clear" w:color="auto" w:fill="CCFFCC"/>
          </w:tcPr>
          <w:p>
            <w:pPr>
              <w:ind w:left="20"/>
              <w:spacing w:after="0"/>
              <w:rPr>
                <w:sz w:val="20"/>
                <w:szCs w:val="20"/>
                <w:color w:val="auto"/>
              </w:rPr>
            </w:pPr>
            <w:r>
              <w:rPr>
                <w:rFonts w:ascii="Arial" w:cs="Arial" w:eastAsia="Arial" w:hAnsi="Arial"/>
                <w:sz w:val="16"/>
                <w:szCs w:val="16"/>
                <w:color w:val="auto"/>
              </w:rPr>
              <w:t>Increase (decrease) in cash and cash equivalents</w:t>
            </w:r>
          </w:p>
        </w:tc>
        <w:tc>
          <w:tcPr>
            <w:tcW w:w="240" w:type="dxa"/>
            <w:vAlign w:val="bottom"/>
            <w:shd w:val="clear" w:color="auto" w:fill="CCFFCC"/>
          </w:tcPr>
          <w:p>
            <w:pPr>
              <w:spacing w:after="0"/>
              <w:rPr>
                <w:sz w:val="21"/>
                <w:szCs w:val="21"/>
                <w:color w:val="auto"/>
              </w:rPr>
            </w:pPr>
          </w:p>
        </w:tc>
        <w:tc>
          <w:tcPr>
            <w:tcW w:w="6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(281 )</w:t>
            </w:r>
          </w:p>
        </w:tc>
        <w:tc>
          <w:tcPr>
            <w:tcW w:w="580" w:type="dxa"/>
            <w:vAlign w:val="bottom"/>
            <w:shd w:val="clear" w:color="auto" w:fill="CCFFCC"/>
          </w:tcPr>
          <w:p>
            <w:pPr>
              <w:spacing w:after="0"/>
              <w:rPr>
                <w:sz w:val="21"/>
                <w:szCs w:val="21"/>
                <w:color w:val="auto"/>
              </w:rPr>
            </w:pPr>
          </w:p>
        </w:tc>
        <w:tc>
          <w:tcPr>
            <w:tcW w:w="880" w:type="dxa"/>
            <w:vAlign w:val="bottom"/>
            <w:shd w:val="clear" w:color="auto" w:fill="CCFFCC"/>
          </w:tcPr>
          <w:p>
            <w:pPr>
              <w:jc w:val="right"/>
              <w:ind w:right="159"/>
              <w:spacing w:after="0"/>
              <w:rPr>
                <w:sz w:val="20"/>
                <w:szCs w:val="20"/>
                <w:color w:val="auto"/>
              </w:rPr>
            </w:pPr>
            <w:r>
              <w:rPr>
                <w:rFonts w:ascii="Arial" w:cs="Arial" w:eastAsia="Arial" w:hAnsi="Arial"/>
                <w:sz w:val="16"/>
                <w:szCs w:val="16"/>
                <w:color w:val="auto"/>
              </w:rPr>
              <w:t>151</w:t>
            </w:r>
          </w:p>
        </w:tc>
        <w:tc>
          <w:tcPr>
            <w:tcW w:w="440" w:type="dxa"/>
            <w:vAlign w:val="bottom"/>
            <w:shd w:val="clear" w:color="auto" w:fill="CCFFCC"/>
          </w:tcPr>
          <w:p>
            <w:pPr>
              <w:spacing w:after="0"/>
              <w:rPr>
                <w:sz w:val="21"/>
                <w:szCs w:val="21"/>
                <w:color w:val="auto"/>
              </w:rPr>
            </w:pPr>
          </w:p>
        </w:tc>
        <w:tc>
          <w:tcPr>
            <w:tcW w:w="800" w:type="dxa"/>
            <w:vAlign w:val="bottom"/>
            <w:shd w:val="clear" w:color="auto" w:fill="CCFFCC"/>
          </w:tcPr>
          <w:p>
            <w:pPr>
              <w:jc w:val="right"/>
              <w:ind w:right="39"/>
              <w:spacing w:after="0"/>
              <w:rPr>
                <w:sz w:val="20"/>
                <w:szCs w:val="20"/>
                <w:color w:val="auto"/>
              </w:rPr>
            </w:pPr>
            <w:r>
              <w:rPr>
                <w:rFonts w:ascii="Arial" w:cs="Arial" w:eastAsia="Arial" w:hAnsi="Arial"/>
                <w:sz w:val="16"/>
                <w:szCs w:val="16"/>
                <w:color w:val="auto"/>
              </w:rPr>
              <w:t>354</w:t>
            </w:r>
          </w:p>
        </w:tc>
      </w:tr>
      <w:tr>
        <w:trPr>
          <w:trHeight w:val="240"/>
        </w:trPr>
        <w:tc>
          <w:tcPr>
            <w:tcW w:w="4960" w:type="dxa"/>
            <w:vAlign w:val="bottom"/>
          </w:tcPr>
          <w:p>
            <w:pPr>
              <w:ind w:left="20"/>
              <w:spacing w:after="0"/>
              <w:rPr>
                <w:sz w:val="20"/>
                <w:szCs w:val="20"/>
                <w:color w:val="auto"/>
              </w:rPr>
            </w:pPr>
            <w:r>
              <w:rPr>
                <w:rFonts w:ascii="Arial" w:cs="Arial" w:eastAsia="Arial" w:hAnsi="Arial"/>
                <w:sz w:val="16"/>
                <w:szCs w:val="16"/>
                <w:color w:val="auto"/>
              </w:rPr>
              <w:t>Cash and cash equivalents, January 1</w:t>
            </w:r>
          </w:p>
        </w:tc>
        <w:tc>
          <w:tcPr>
            <w:tcW w:w="240" w:type="dxa"/>
            <w:vAlign w:val="bottom"/>
          </w:tcPr>
          <w:p>
            <w:pPr>
              <w:spacing w:after="0"/>
              <w:rPr>
                <w:sz w:val="20"/>
                <w:szCs w:val="20"/>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920</w:t>
            </w:r>
          </w:p>
        </w:tc>
        <w:tc>
          <w:tcPr>
            <w:tcW w:w="580" w:type="dxa"/>
            <w:vAlign w:val="bottom"/>
          </w:tcPr>
          <w:p>
            <w:pPr>
              <w:spacing w:after="0"/>
              <w:rPr>
                <w:sz w:val="20"/>
                <w:szCs w:val="20"/>
                <w:color w:val="auto"/>
              </w:rPr>
            </w:pPr>
          </w:p>
        </w:tc>
        <w:tc>
          <w:tcPr>
            <w:tcW w:w="880" w:type="dxa"/>
            <w:vAlign w:val="bottom"/>
          </w:tcPr>
          <w:p>
            <w:pPr>
              <w:jc w:val="right"/>
              <w:ind w:right="159"/>
              <w:spacing w:after="0"/>
              <w:rPr>
                <w:sz w:val="20"/>
                <w:szCs w:val="20"/>
                <w:color w:val="auto"/>
              </w:rPr>
            </w:pPr>
            <w:r>
              <w:rPr>
                <w:rFonts w:ascii="Arial" w:cs="Arial" w:eastAsia="Arial" w:hAnsi="Arial"/>
                <w:sz w:val="16"/>
                <w:szCs w:val="16"/>
                <w:color w:val="auto"/>
              </w:rPr>
              <w:t>769</w:t>
            </w:r>
          </w:p>
        </w:tc>
        <w:tc>
          <w:tcPr>
            <w:tcW w:w="44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415</w:t>
            </w:r>
          </w:p>
        </w:tc>
      </w:tr>
      <w:tr>
        <w:trPr>
          <w:trHeight w:val="246"/>
        </w:trPr>
        <w:tc>
          <w:tcPr>
            <w:tcW w:w="496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6"/>
                <w:szCs w:val="16"/>
                <w:color w:val="auto"/>
              </w:rPr>
              <w:t>Cash assumed in connection with FIN 46(R) initial consolidation</w:t>
            </w:r>
          </w:p>
        </w:tc>
        <w:tc>
          <w:tcPr>
            <w:tcW w:w="240" w:type="dxa"/>
            <w:vAlign w:val="bottom"/>
            <w:tcBorders>
              <w:bottom w:val="single" w:sz="8" w:color="auto"/>
            </w:tcBorders>
            <w:shd w:val="clear" w:color="auto" w:fill="CCFFCC"/>
          </w:tcPr>
          <w:p>
            <w:pPr>
              <w:spacing w:after="0"/>
              <w:rPr>
                <w:sz w:val="21"/>
                <w:szCs w:val="21"/>
                <w:color w:val="auto"/>
              </w:rPr>
            </w:pPr>
          </w:p>
        </w:tc>
        <w:tc>
          <w:tcPr>
            <w:tcW w:w="640" w:type="dxa"/>
            <w:vAlign w:val="bottom"/>
            <w:tcBorders>
              <w:bottom w:val="single" w:sz="8" w:color="auto"/>
            </w:tcBorders>
            <w:shd w:val="clear" w:color="auto" w:fill="CCFFCC"/>
          </w:tcPr>
          <w:p>
            <w:pPr>
              <w:jc w:val="right"/>
              <w:ind w:right="39"/>
              <w:spacing w:after="0"/>
              <w:rPr>
                <w:sz w:val="20"/>
                <w:szCs w:val="20"/>
                <w:color w:val="auto"/>
              </w:rPr>
            </w:pPr>
            <w:r>
              <w:rPr>
                <w:rFonts w:ascii="Arial" w:cs="Arial" w:eastAsia="Arial" w:hAnsi="Arial"/>
                <w:sz w:val="16"/>
                <w:szCs w:val="16"/>
                <w:color w:val="auto"/>
              </w:rPr>
              <w:t>29</w:t>
            </w:r>
          </w:p>
        </w:tc>
        <w:tc>
          <w:tcPr>
            <w:tcW w:w="580" w:type="dxa"/>
            <w:vAlign w:val="bottom"/>
            <w:tcBorders>
              <w:bottom w:val="single" w:sz="8" w:color="auto"/>
            </w:tcBorders>
            <w:shd w:val="clear" w:color="auto" w:fill="CCFFCC"/>
          </w:tcPr>
          <w:p>
            <w:pPr>
              <w:spacing w:after="0"/>
              <w:rPr>
                <w:sz w:val="21"/>
                <w:szCs w:val="21"/>
                <w:color w:val="auto"/>
              </w:rPr>
            </w:pPr>
          </w:p>
        </w:tc>
        <w:tc>
          <w:tcPr>
            <w:tcW w:w="880" w:type="dxa"/>
            <w:vAlign w:val="bottom"/>
            <w:tcBorders>
              <w:bottom w:val="single" w:sz="8" w:color="auto"/>
            </w:tcBorders>
            <w:shd w:val="clear" w:color="auto" w:fill="CCFFCC"/>
          </w:tcPr>
          <w:p>
            <w:pPr>
              <w:jc w:val="right"/>
              <w:ind w:right="15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shd w:val="clear" w:color="auto" w:fill="CCFFCC"/>
          </w:tcPr>
          <w:p>
            <w:pPr>
              <w:spacing w:after="0"/>
              <w:rPr>
                <w:sz w:val="21"/>
                <w:szCs w:val="21"/>
                <w:color w:val="auto"/>
              </w:rPr>
            </w:pPr>
          </w:p>
        </w:tc>
        <w:tc>
          <w:tcPr>
            <w:tcW w:w="800" w:type="dxa"/>
            <w:vAlign w:val="bottom"/>
            <w:tcBorders>
              <w:bottom w:val="single" w:sz="8" w:color="auto"/>
            </w:tcBorders>
            <w:shd w:val="clear" w:color="auto" w:fill="CCFFCC"/>
          </w:tcPr>
          <w:p>
            <w:pPr>
              <w:jc w:val="right"/>
              <w:ind w:right="39"/>
              <w:spacing w:after="0"/>
              <w:rPr>
                <w:sz w:val="20"/>
                <w:szCs w:val="20"/>
                <w:color w:val="auto"/>
              </w:rPr>
            </w:pPr>
            <w:r>
              <w:rPr>
                <w:rFonts w:ascii="Arial" w:cs="Arial" w:eastAsia="Arial" w:hAnsi="Arial"/>
                <w:sz w:val="16"/>
                <w:szCs w:val="16"/>
                <w:color w:val="auto"/>
              </w:rPr>
              <w:t>--</w:t>
            </w:r>
          </w:p>
        </w:tc>
      </w:tr>
      <w:tr>
        <w:trPr>
          <w:trHeight w:val="257"/>
        </w:trPr>
        <w:tc>
          <w:tcPr>
            <w:tcW w:w="4960" w:type="dxa"/>
            <w:vAlign w:val="bottom"/>
          </w:tcPr>
          <w:p>
            <w:pPr>
              <w:ind w:left="20"/>
              <w:spacing w:after="0"/>
              <w:rPr>
                <w:sz w:val="20"/>
                <w:szCs w:val="20"/>
                <w:color w:val="auto"/>
              </w:rPr>
            </w:pPr>
            <w:r>
              <w:rPr>
                <w:rFonts w:ascii="Arial" w:cs="Arial" w:eastAsia="Arial" w:hAnsi="Arial"/>
                <w:sz w:val="16"/>
                <w:szCs w:val="16"/>
                <w:color w:val="auto"/>
              </w:rPr>
              <w:t>Cash and cash equivalents, December 31</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668</w:t>
            </w:r>
          </w:p>
        </w:tc>
        <w:tc>
          <w:tcPr>
            <w:tcW w:w="5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920</w:t>
            </w:r>
          </w:p>
        </w:tc>
        <w:tc>
          <w:tcPr>
            <w:tcW w:w="4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769</w:t>
            </w:r>
          </w:p>
        </w:tc>
      </w:tr>
    </w:tbl>
    <w:p>
      <w:pPr>
        <w:spacing w:after="0" w:line="274"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See Notes to Consolidated Financial Statements.</w:t>
      </w:r>
    </w:p>
    <w:p>
      <w:pPr>
        <w:sectPr>
          <w:pgSz w:w="11900" w:h="16838" w:orient="portrait"/>
          <w:cols w:equalWidth="0" w:num="1">
            <w:col w:w="10219"/>
          </w:cols>
          <w:pgMar w:left="240" w:top="413" w:right="1440" w:bottom="409" w:gutter="0" w:footer="0" w:header="0"/>
        </w:sect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0219"/>
          </w:cols>
          <w:pgMar w:left="240" w:top="413" w:right="1440" w:bottom="409" w:gutter="0" w:footer="0" w:header="0"/>
          <w:type w:val="continuous"/>
        </w:sectPr>
      </w:pPr>
    </w:p>
    <w:bookmarkStart w:id="119" w:name="page120"/>
    <w:bookmarkEnd w:id="119"/>
    <w:p>
      <w:pPr>
        <w:ind w:left="1380"/>
        <w:spacing w:after="0"/>
        <w:rPr>
          <w:sz w:val="20"/>
          <w:szCs w:val="20"/>
          <w:color w:val="auto"/>
        </w:rPr>
      </w:pPr>
      <w:r>
        <w:rPr>
          <w:rFonts w:ascii="Arial" w:cs="Arial" w:eastAsia="Arial" w:hAnsi="Arial"/>
          <w:sz w:val="16"/>
          <w:szCs w:val="16"/>
          <w:color w:val="auto"/>
        </w:rPr>
        <w:t>SEMPRA ENERGY</w:t>
      </w:r>
    </w:p>
    <w:p>
      <w:pPr>
        <w:spacing w:after="0" w:line="32" w:lineRule="exact"/>
        <w:rPr>
          <w:sz w:val="20"/>
          <w:szCs w:val="20"/>
          <w:color w:val="auto"/>
        </w:rPr>
      </w:pPr>
    </w:p>
    <w:p>
      <w:pPr>
        <w:ind w:left="1380"/>
        <w:spacing w:after="0"/>
        <w:rPr>
          <w:sz w:val="20"/>
          <w:szCs w:val="20"/>
          <w:color w:val="auto"/>
        </w:rPr>
      </w:pPr>
      <w:r>
        <w:rPr>
          <w:rFonts w:ascii="Arial" w:cs="Arial" w:eastAsia="Arial" w:hAnsi="Arial"/>
          <w:sz w:val="16"/>
          <w:szCs w:val="16"/>
          <w:color w:val="auto"/>
        </w:rPr>
        <w:t>STATEMENTS OF CONSOLIDATED CASH FLOWS</w:t>
      </w:r>
    </w:p>
    <w:p>
      <w:pPr>
        <w:spacing w:after="0" w:line="289" w:lineRule="exact"/>
        <w:rPr>
          <w:sz w:val="20"/>
          <w:szCs w:val="20"/>
          <w:color w:val="auto"/>
        </w:rPr>
      </w:pPr>
    </w:p>
    <w:tbl>
      <w:tblPr>
        <w:tblLayout w:type="fixed"/>
        <w:tblInd w:w="1360" w:type="dxa"/>
        <w:tblCellMar>
          <w:top w:w="0" w:type="dxa"/>
          <w:left w:w="0" w:type="dxa"/>
          <w:bottom w:w="0" w:type="dxa"/>
          <w:right w:w="0" w:type="dxa"/>
        </w:tblCellMar>
      </w:tblPr>
      <w:tr>
        <w:trPr>
          <w:trHeight w:val="209"/>
        </w:trPr>
        <w:tc>
          <w:tcPr>
            <w:tcW w:w="55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color w:val="auto"/>
              </w:rPr>
              <w:t>Years ended December 31,</w:t>
            </w:r>
          </w:p>
        </w:tc>
        <w:tc>
          <w:tcPr>
            <w:tcW w:w="660" w:type="dxa"/>
            <w:vAlign w:val="bottom"/>
            <w:tcBorders>
              <w:bottom w:val="single" w:sz="8" w:color="auto"/>
            </w:tcBorders>
          </w:tcPr>
          <w:p>
            <w:pPr>
              <w:spacing w:after="0"/>
              <w:rPr>
                <w:sz w:val="18"/>
                <w:szCs w:val="18"/>
                <w:color w:val="auto"/>
              </w:rPr>
            </w:pPr>
          </w:p>
        </w:tc>
      </w:tr>
      <w:tr>
        <w:trPr>
          <w:trHeight w:val="237"/>
        </w:trPr>
        <w:tc>
          <w:tcPr>
            <w:tcW w:w="55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(Dollars in millions)</w:t>
            </w: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2007</w:t>
            </w: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2006</w:t>
            </w:r>
          </w:p>
        </w:tc>
        <w:tc>
          <w:tcPr>
            <w:tcW w:w="4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95"/>
              </w:rPr>
              <w:t>2005</w:t>
            </w:r>
          </w:p>
        </w:tc>
      </w:tr>
      <w:tr>
        <w:trPr>
          <w:trHeight w:val="477"/>
        </w:trPr>
        <w:tc>
          <w:tcPr>
            <w:tcW w:w="5540" w:type="dxa"/>
            <w:vAlign w:val="bottom"/>
          </w:tcPr>
          <w:p>
            <w:pPr>
              <w:ind w:left="20"/>
              <w:spacing w:after="0"/>
              <w:rPr>
                <w:sz w:val="20"/>
                <w:szCs w:val="20"/>
                <w:color w:val="auto"/>
              </w:rPr>
            </w:pPr>
            <w:r>
              <w:rPr>
                <w:rFonts w:ascii="Arial" w:cs="Arial" w:eastAsia="Arial" w:hAnsi="Arial"/>
                <w:sz w:val="16"/>
                <w:szCs w:val="16"/>
                <w:color w:val="auto"/>
              </w:rPr>
              <w:t>CHANGES IN OTHER WORKING CAPITAL</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43"/>
        </w:trPr>
        <w:tc>
          <w:tcPr>
            <w:tcW w:w="5540" w:type="dxa"/>
            <w:vAlign w:val="bottom"/>
          </w:tcPr>
          <w:p>
            <w:pPr>
              <w:ind w:left="220"/>
              <w:spacing w:after="0"/>
              <w:rPr>
                <w:sz w:val="20"/>
                <w:szCs w:val="20"/>
                <w:color w:val="auto"/>
              </w:rPr>
            </w:pPr>
            <w:r>
              <w:rPr>
                <w:rFonts w:ascii="Arial" w:cs="Arial" w:eastAsia="Arial" w:hAnsi="Arial"/>
                <w:sz w:val="16"/>
                <w:szCs w:val="16"/>
                <w:color w:val="auto"/>
              </w:rPr>
              <w:t>COMPONENTS</w:t>
            </w: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246"/>
        </w:trPr>
        <w:tc>
          <w:tcPr>
            <w:tcW w:w="5540" w:type="dxa"/>
            <w:vAlign w:val="bottom"/>
          </w:tcPr>
          <w:p>
            <w:pPr>
              <w:ind w:left="20"/>
              <w:spacing w:after="0"/>
              <w:rPr>
                <w:sz w:val="20"/>
                <w:szCs w:val="20"/>
                <w:color w:val="auto"/>
              </w:rPr>
            </w:pPr>
            <w:r>
              <w:rPr>
                <w:rFonts w:ascii="Arial" w:cs="Arial" w:eastAsia="Arial" w:hAnsi="Arial"/>
                <w:sz w:val="16"/>
                <w:szCs w:val="16"/>
                <w:color w:val="auto"/>
              </w:rPr>
              <w:t>(Excluding cash and cash equivalents, and debt due within one year)</w:t>
            </w: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246"/>
        </w:trPr>
        <w:tc>
          <w:tcPr>
            <w:tcW w:w="5540" w:type="dxa"/>
            <w:vAlign w:val="bottom"/>
            <w:shd w:val="clear" w:color="auto" w:fill="CCFFCC"/>
          </w:tcPr>
          <w:p>
            <w:pPr>
              <w:ind w:left="560"/>
              <w:spacing w:after="0"/>
              <w:rPr>
                <w:sz w:val="20"/>
                <w:szCs w:val="20"/>
                <w:color w:val="auto"/>
              </w:rPr>
            </w:pPr>
            <w:r>
              <w:rPr>
                <w:rFonts w:ascii="Arial" w:cs="Arial" w:eastAsia="Arial" w:hAnsi="Arial"/>
                <w:sz w:val="16"/>
                <w:szCs w:val="16"/>
                <w:color w:val="auto"/>
              </w:rPr>
              <w:t>Accounts and notes receivable</w:t>
            </w:r>
          </w:p>
        </w:tc>
        <w:tc>
          <w:tcPr>
            <w:tcW w:w="180" w:type="dxa"/>
            <w:vAlign w:val="bottom"/>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FFCC"/>
          </w:tcPr>
          <w:p>
            <w:pPr>
              <w:jc w:val="right"/>
              <w:ind w:right="59"/>
              <w:spacing w:after="0"/>
              <w:rPr>
                <w:sz w:val="20"/>
                <w:szCs w:val="20"/>
                <w:color w:val="auto"/>
              </w:rPr>
            </w:pPr>
            <w:r>
              <w:rPr>
                <w:rFonts w:ascii="Arial" w:cs="Arial" w:eastAsia="Arial" w:hAnsi="Arial"/>
                <w:sz w:val="16"/>
                <w:szCs w:val="16"/>
                <w:color w:val="auto"/>
              </w:rPr>
              <w:t>(63 )</w:t>
            </w:r>
          </w:p>
        </w:tc>
        <w:tc>
          <w:tcPr>
            <w:tcW w:w="360" w:type="dxa"/>
            <w:vAlign w:val="bottom"/>
            <w:shd w:val="clear" w:color="auto" w:fill="CCFFCC"/>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FFCC"/>
          </w:tcPr>
          <w:p>
            <w:pPr>
              <w:jc w:val="right"/>
              <w:ind w:right="159"/>
              <w:spacing w:after="0"/>
              <w:rPr>
                <w:sz w:val="20"/>
                <w:szCs w:val="20"/>
                <w:color w:val="auto"/>
              </w:rPr>
            </w:pPr>
            <w:r>
              <w:rPr>
                <w:rFonts w:ascii="Arial" w:cs="Arial" w:eastAsia="Arial" w:hAnsi="Arial"/>
                <w:sz w:val="16"/>
                <w:szCs w:val="16"/>
                <w:color w:val="auto"/>
              </w:rPr>
              <w:t>94</w:t>
            </w:r>
          </w:p>
        </w:tc>
        <w:tc>
          <w:tcPr>
            <w:tcW w:w="400" w:type="dxa"/>
            <w:vAlign w:val="bottom"/>
            <w:shd w:val="clear" w:color="auto" w:fill="CCFFCC"/>
          </w:tcPr>
          <w:p>
            <w:pPr>
              <w:jc w:val="right"/>
              <w:ind w:right="79"/>
              <w:spacing w:after="0"/>
              <w:rPr>
                <w:sz w:val="20"/>
                <w:szCs w:val="20"/>
                <w:color w:val="auto"/>
              </w:rPr>
            </w:pPr>
            <w:r>
              <w:rPr>
                <w:rFonts w:ascii="Arial" w:cs="Arial" w:eastAsia="Arial" w:hAnsi="Arial"/>
                <w:sz w:val="16"/>
                <w:szCs w:val="16"/>
                <w:color w:val="auto"/>
              </w:rPr>
              <w:t>$</w:t>
            </w:r>
          </w:p>
        </w:tc>
        <w:tc>
          <w:tcPr>
            <w:tcW w:w="6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(79 )</w:t>
            </w:r>
          </w:p>
        </w:tc>
      </w:tr>
      <w:tr>
        <w:trPr>
          <w:trHeight w:val="240"/>
        </w:trPr>
        <w:tc>
          <w:tcPr>
            <w:tcW w:w="5540" w:type="dxa"/>
            <w:vAlign w:val="bottom"/>
          </w:tcPr>
          <w:p>
            <w:pPr>
              <w:ind w:left="560"/>
              <w:spacing w:after="0"/>
              <w:rPr>
                <w:sz w:val="20"/>
                <w:szCs w:val="20"/>
                <w:color w:val="auto"/>
              </w:rPr>
            </w:pPr>
            <w:r>
              <w:rPr>
                <w:rFonts w:ascii="Arial" w:cs="Arial" w:eastAsia="Arial" w:hAnsi="Arial"/>
                <w:sz w:val="16"/>
                <w:szCs w:val="16"/>
                <w:color w:val="auto"/>
              </w:rPr>
              <w:t>Net trading assets</w:t>
            </w:r>
          </w:p>
        </w:tc>
        <w:tc>
          <w:tcPr>
            <w:tcW w:w="180" w:type="dxa"/>
            <w:vAlign w:val="bottom"/>
          </w:tcPr>
          <w:p>
            <w:pPr>
              <w:spacing w:after="0"/>
              <w:rPr>
                <w:sz w:val="20"/>
                <w:szCs w:val="20"/>
                <w:color w:val="auto"/>
              </w:rPr>
            </w:pPr>
          </w:p>
        </w:tc>
        <w:tc>
          <w:tcPr>
            <w:tcW w:w="740" w:type="dxa"/>
            <w:vAlign w:val="bottom"/>
          </w:tcPr>
          <w:p>
            <w:pPr>
              <w:jc w:val="right"/>
              <w:ind w:right="139"/>
              <w:spacing w:after="0"/>
              <w:rPr>
                <w:sz w:val="20"/>
                <w:szCs w:val="20"/>
                <w:color w:val="auto"/>
              </w:rPr>
            </w:pPr>
            <w:r>
              <w:rPr>
                <w:rFonts w:ascii="Arial" w:cs="Arial" w:eastAsia="Arial" w:hAnsi="Arial"/>
                <w:sz w:val="16"/>
                <w:szCs w:val="16"/>
                <w:color w:val="auto"/>
              </w:rPr>
              <w:t>303</w:t>
            </w:r>
          </w:p>
        </w:tc>
        <w:tc>
          <w:tcPr>
            <w:tcW w:w="360" w:type="dxa"/>
            <w:vAlign w:val="bottom"/>
          </w:tcPr>
          <w:p>
            <w:pPr>
              <w:spacing w:after="0"/>
              <w:rPr>
                <w:sz w:val="20"/>
                <w:szCs w:val="20"/>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(543 )</w:t>
            </w:r>
          </w:p>
        </w:tc>
        <w:tc>
          <w:tcPr>
            <w:tcW w:w="4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(1,105 )</w:t>
            </w:r>
          </w:p>
        </w:tc>
      </w:tr>
      <w:tr>
        <w:trPr>
          <w:trHeight w:val="246"/>
        </w:trPr>
        <w:tc>
          <w:tcPr>
            <w:tcW w:w="5540" w:type="dxa"/>
            <w:vAlign w:val="bottom"/>
            <w:shd w:val="clear" w:color="auto" w:fill="CCFFCC"/>
          </w:tcPr>
          <w:p>
            <w:pPr>
              <w:ind w:left="560"/>
              <w:spacing w:after="0"/>
              <w:rPr>
                <w:sz w:val="20"/>
                <w:szCs w:val="20"/>
                <w:color w:val="auto"/>
              </w:rPr>
            </w:pPr>
            <w:r>
              <w:rPr>
                <w:rFonts w:ascii="Arial" w:cs="Arial" w:eastAsia="Arial" w:hAnsi="Arial"/>
                <w:sz w:val="16"/>
                <w:szCs w:val="16"/>
                <w:color w:val="auto"/>
              </w:rPr>
              <w:t>Income taxes, net</w:t>
            </w:r>
          </w:p>
        </w:tc>
        <w:tc>
          <w:tcPr>
            <w:tcW w:w="180" w:type="dxa"/>
            <w:vAlign w:val="bottom"/>
            <w:shd w:val="clear" w:color="auto" w:fill="CCFFCC"/>
          </w:tcPr>
          <w:p>
            <w:pPr>
              <w:spacing w:after="0"/>
              <w:rPr>
                <w:sz w:val="21"/>
                <w:szCs w:val="21"/>
                <w:color w:val="auto"/>
              </w:rPr>
            </w:pPr>
          </w:p>
        </w:tc>
        <w:tc>
          <w:tcPr>
            <w:tcW w:w="740" w:type="dxa"/>
            <w:vAlign w:val="bottom"/>
            <w:shd w:val="clear" w:color="auto" w:fill="CCFFCC"/>
          </w:tcPr>
          <w:p>
            <w:pPr>
              <w:jc w:val="right"/>
              <w:ind w:right="59"/>
              <w:spacing w:after="0"/>
              <w:rPr>
                <w:sz w:val="20"/>
                <w:szCs w:val="20"/>
                <w:color w:val="auto"/>
              </w:rPr>
            </w:pPr>
            <w:r>
              <w:rPr>
                <w:rFonts w:ascii="Arial" w:cs="Arial" w:eastAsia="Arial" w:hAnsi="Arial"/>
                <w:sz w:val="16"/>
                <w:szCs w:val="16"/>
                <w:color w:val="auto"/>
              </w:rPr>
              <w:t>(73 )</w:t>
            </w:r>
          </w:p>
        </w:tc>
        <w:tc>
          <w:tcPr>
            <w:tcW w:w="360" w:type="dxa"/>
            <w:vAlign w:val="bottom"/>
            <w:shd w:val="clear" w:color="auto" w:fill="CCFFCC"/>
          </w:tcPr>
          <w:p>
            <w:pPr>
              <w:spacing w:after="0"/>
              <w:rPr>
                <w:sz w:val="21"/>
                <w:szCs w:val="21"/>
                <w:color w:val="auto"/>
              </w:rPr>
            </w:pPr>
          </w:p>
        </w:tc>
        <w:tc>
          <w:tcPr>
            <w:tcW w:w="820" w:type="dxa"/>
            <w:vAlign w:val="bottom"/>
            <w:shd w:val="clear" w:color="auto" w:fill="CCFFCC"/>
          </w:tcPr>
          <w:p>
            <w:pPr>
              <w:jc w:val="right"/>
              <w:ind w:right="79"/>
              <w:spacing w:after="0"/>
              <w:rPr>
                <w:sz w:val="20"/>
                <w:szCs w:val="20"/>
                <w:color w:val="auto"/>
              </w:rPr>
            </w:pPr>
            <w:r>
              <w:rPr>
                <w:rFonts w:ascii="Arial" w:cs="Arial" w:eastAsia="Arial" w:hAnsi="Arial"/>
                <w:sz w:val="16"/>
                <w:szCs w:val="16"/>
                <w:color w:val="auto"/>
              </w:rPr>
              <w:t>(51 )</w:t>
            </w:r>
          </w:p>
        </w:tc>
        <w:tc>
          <w:tcPr>
            <w:tcW w:w="400" w:type="dxa"/>
            <w:vAlign w:val="bottom"/>
            <w:shd w:val="clear" w:color="auto" w:fill="CCFFCC"/>
          </w:tcPr>
          <w:p>
            <w:pPr>
              <w:spacing w:after="0"/>
              <w:rPr>
                <w:sz w:val="21"/>
                <w:szCs w:val="21"/>
                <w:color w:val="auto"/>
              </w:rPr>
            </w:pPr>
          </w:p>
        </w:tc>
        <w:tc>
          <w:tcPr>
            <w:tcW w:w="6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(76 )</w:t>
            </w:r>
          </w:p>
        </w:tc>
      </w:tr>
      <w:tr>
        <w:trPr>
          <w:trHeight w:val="240"/>
        </w:trPr>
        <w:tc>
          <w:tcPr>
            <w:tcW w:w="5540" w:type="dxa"/>
            <w:vAlign w:val="bottom"/>
          </w:tcPr>
          <w:p>
            <w:pPr>
              <w:ind w:left="560"/>
              <w:spacing w:after="0"/>
              <w:rPr>
                <w:sz w:val="20"/>
                <w:szCs w:val="20"/>
                <w:color w:val="auto"/>
              </w:rPr>
            </w:pPr>
            <w:r>
              <w:rPr>
                <w:rFonts w:ascii="Arial" w:cs="Arial" w:eastAsia="Arial" w:hAnsi="Arial"/>
                <w:sz w:val="16"/>
                <w:szCs w:val="16"/>
                <w:color w:val="auto"/>
              </w:rPr>
              <w:t>Inventories</w:t>
            </w:r>
          </w:p>
        </w:tc>
        <w:tc>
          <w:tcPr>
            <w:tcW w:w="180" w:type="dxa"/>
            <w:vAlign w:val="bottom"/>
          </w:tcPr>
          <w:p>
            <w:pPr>
              <w:spacing w:after="0"/>
              <w:rPr>
                <w:sz w:val="20"/>
                <w:szCs w:val="20"/>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(9 )</w:t>
            </w:r>
          </w:p>
        </w:tc>
        <w:tc>
          <w:tcPr>
            <w:tcW w:w="360" w:type="dxa"/>
            <w:vAlign w:val="bottom"/>
          </w:tcPr>
          <w:p>
            <w:pPr>
              <w:spacing w:after="0"/>
              <w:rPr>
                <w:sz w:val="20"/>
                <w:szCs w:val="20"/>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(3 )</w:t>
            </w:r>
          </w:p>
        </w:tc>
        <w:tc>
          <w:tcPr>
            <w:tcW w:w="4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(38 )</w:t>
            </w:r>
          </w:p>
        </w:tc>
      </w:tr>
      <w:tr>
        <w:trPr>
          <w:trHeight w:val="246"/>
        </w:trPr>
        <w:tc>
          <w:tcPr>
            <w:tcW w:w="5540" w:type="dxa"/>
            <w:vAlign w:val="bottom"/>
            <w:shd w:val="clear" w:color="auto" w:fill="CCFFCC"/>
          </w:tcPr>
          <w:p>
            <w:pPr>
              <w:ind w:left="560"/>
              <w:spacing w:after="0"/>
              <w:rPr>
                <w:sz w:val="20"/>
                <w:szCs w:val="20"/>
                <w:color w:val="auto"/>
              </w:rPr>
            </w:pPr>
            <w:r>
              <w:rPr>
                <w:rFonts w:ascii="Arial" w:cs="Arial" w:eastAsia="Arial" w:hAnsi="Arial"/>
                <w:sz w:val="16"/>
                <w:szCs w:val="16"/>
                <w:color w:val="auto"/>
              </w:rPr>
              <w:t>Regulatory balancing accounts</w:t>
            </w:r>
          </w:p>
        </w:tc>
        <w:tc>
          <w:tcPr>
            <w:tcW w:w="180" w:type="dxa"/>
            <w:vAlign w:val="bottom"/>
            <w:shd w:val="clear" w:color="auto" w:fill="CCFFCC"/>
          </w:tcPr>
          <w:p>
            <w:pPr>
              <w:spacing w:after="0"/>
              <w:rPr>
                <w:sz w:val="21"/>
                <w:szCs w:val="21"/>
                <w:color w:val="auto"/>
              </w:rPr>
            </w:pPr>
          </w:p>
        </w:tc>
        <w:tc>
          <w:tcPr>
            <w:tcW w:w="740" w:type="dxa"/>
            <w:vAlign w:val="bottom"/>
            <w:shd w:val="clear" w:color="auto" w:fill="CCFFCC"/>
          </w:tcPr>
          <w:p>
            <w:pPr>
              <w:jc w:val="right"/>
              <w:ind w:right="139"/>
              <w:spacing w:after="0"/>
              <w:rPr>
                <w:sz w:val="20"/>
                <w:szCs w:val="20"/>
                <w:color w:val="auto"/>
              </w:rPr>
            </w:pPr>
            <w:r>
              <w:rPr>
                <w:rFonts w:ascii="Arial" w:cs="Arial" w:eastAsia="Arial" w:hAnsi="Arial"/>
                <w:sz w:val="16"/>
                <w:szCs w:val="16"/>
                <w:color w:val="auto"/>
              </w:rPr>
              <w:t>120</w:t>
            </w:r>
          </w:p>
        </w:tc>
        <w:tc>
          <w:tcPr>
            <w:tcW w:w="360" w:type="dxa"/>
            <w:vAlign w:val="bottom"/>
            <w:shd w:val="clear" w:color="auto" w:fill="CCFFCC"/>
          </w:tcPr>
          <w:p>
            <w:pPr>
              <w:spacing w:after="0"/>
              <w:rPr>
                <w:sz w:val="21"/>
                <w:szCs w:val="21"/>
                <w:color w:val="auto"/>
              </w:rPr>
            </w:pPr>
          </w:p>
        </w:tc>
        <w:tc>
          <w:tcPr>
            <w:tcW w:w="820" w:type="dxa"/>
            <w:vAlign w:val="bottom"/>
            <w:shd w:val="clear" w:color="auto" w:fill="CCFFCC"/>
          </w:tcPr>
          <w:p>
            <w:pPr>
              <w:jc w:val="right"/>
              <w:ind w:right="159"/>
              <w:spacing w:after="0"/>
              <w:rPr>
                <w:sz w:val="20"/>
                <w:szCs w:val="20"/>
                <w:color w:val="auto"/>
              </w:rPr>
            </w:pPr>
            <w:r>
              <w:rPr>
                <w:rFonts w:ascii="Arial" w:cs="Arial" w:eastAsia="Arial" w:hAnsi="Arial"/>
                <w:sz w:val="16"/>
                <w:szCs w:val="16"/>
                <w:color w:val="auto"/>
              </w:rPr>
              <w:t>170</w:t>
            </w:r>
          </w:p>
        </w:tc>
        <w:tc>
          <w:tcPr>
            <w:tcW w:w="400" w:type="dxa"/>
            <w:vAlign w:val="bottom"/>
            <w:shd w:val="clear" w:color="auto" w:fill="CCFFCC"/>
          </w:tcPr>
          <w:p>
            <w:pPr>
              <w:spacing w:after="0"/>
              <w:rPr>
                <w:sz w:val="21"/>
                <w:szCs w:val="21"/>
                <w:color w:val="auto"/>
              </w:rPr>
            </w:pPr>
          </w:p>
        </w:tc>
        <w:tc>
          <w:tcPr>
            <w:tcW w:w="6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(321 )</w:t>
            </w:r>
          </w:p>
        </w:tc>
      </w:tr>
      <w:tr>
        <w:trPr>
          <w:trHeight w:val="240"/>
        </w:trPr>
        <w:tc>
          <w:tcPr>
            <w:tcW w:w="5540" w:type="dxa"/>
            <w:vAlign w:val="bottom"/>
          </w:tcPr>
          <w:p>
            <w:pPr>
              <w:ind w:left="560"/>
              <w:spacing w:after="0"/>
              <w:rPr>
                <w:sz w:val="20"/>
                <w:szCs w:val="20"/>
                <w:color w:val="auto"/>
              </w:rPr>
            </w:pPr>
            <w:r>
              <w:rPr>
                <w:rFonts w:ascii="Arial" w:cs="Arial" w:eastAsia="Arial" w:hAnsi="Arial"/>
                <w:sz w:val="16"/>
                <w:szCs w:val="16"/>
                <w:color w:val="auto"/>
              </w:rPr>
              <w:t>Regulatory assets and liabilities</w:t>
            </w:r>
          </w:p>
        </w:tc>
        <w:tc>
          <w:tcPr>
            <w:tcW w:w="180" w:type="dxa"/>
            <w:vAlign w:val="bottom"/>
          </w:tcPr>
          <w:p>
            <w:pPr>
              <w:spacing w:after="0"/>
              <w:rPr>
                <w:sz w:val="20"/>
                <w:szCs w:val="20"/>
                <w:color w:val="auto"/>
              </w:rPr>
            </w:pPr>
          </w:p>
        </w:tc>
        <w:tc>
          <w:tcPr>
            <w:tcW w:w="7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820" w:type="dxa"/>
            <w:vAlign w:val="bottom"/>
          </w:tcPr>
          <w:p>
            <w:pPr>
              <w:jc w:val="right"/>
              <w:ind w:right="159"/>
              <w:spacing w:after="0"/>
              <w:rPr>
                <w:sz w:val="20"/>
                <w:szCs w:val="20"/>
                <w:color w:val="auto"/>
              </w:rPr>
            </w:pPr>
            <w:r>
              <w:rPr>
                <w:rFonts w:ascii="Arial" w:cs="Arial" w:eastAsia="Arial" w:hAnsi="Arial"/>
                <w:sz w:val="16"/>
                <w:szCs w:val="16"/>
                <w:color w:val="auto"/>
              </w:rPr>
              <w:t>4</w:t>
            </w:r>
          </w:p>
        </w:tc>
        <w:tc>
          <w:tcPr>
            <w:tcW w:w="4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(4 )</w:t>
            </w:r>
          </w:p>
        </w:tc>
      </w:tr>
      <w:tr>
        <w:trPr>
          <w:trHeight w:val="246"/>
        </w:trPr>
        <w:tc>
          <w:tcPr>
            <w:tcW w:w="5540" w:type="dxa"/>
            <w:vAlign w:val="bottom"/>
            <w:shd w:val="clear" w:color="auto" w:fill="CCFFCC"/>
          </w:tcPr>
          <w:p>
            <w:pPr>
              <w:ind w:left="560"/>
              <w:spacing w:after="0"/>
              <w:rPr>
                <w:sz w:val="20"/>
                <w:szCs w:val="20"/>
                <w:color w:val="auto"/>
              </w:rPr>
            </w:pPr>
            <w:r>
              <w:rPr>
                <w:rFonts w:ascii="Arial" w:cs="Arial" w:eastAsia="Arial" w:hAnsi="Arial"/>
                <w:sz w:val="16"/>
                <w:szCs w:val="16"/>
                <w:color w:val="auto"/>
              </w:rPr>
              <w:t>Other current assets</w:t>
            </w:r>
          </w:p>
        </w:tc>
        <w:tc>
          <w:tcPr>
            <w:tcW w:w="180" w:type="dxa"/>
            <w:vAlign w:val="bottom"/>
            <w:shd w:val="clear" w:color="auto" w:fill="CCFFCC"/>
          </w:tcPr>
          <w:p>
            <w:pPr>
              <w:spacing w:after="0"/>
              <w:rPr>
                <w:sz w:val="21"/>
                <w:szCs w:val="21"/>
                <w:color w:val="auto"/>
              </w:rPr>
            </w:pPr>
          </w:p>
        </w:tc>
        <w:tc>
          <w:tcPr>
            <w:tcW w:w="740" w:type="dxa"/>
            <w:vAlign w:val="bottom"/>
            <w:shd w:val="clear" w:color="auto" w:fill="CCFFCC"/>
          </w:tcPr>
          <w:p>
            <w:pPr>
              <w:jc w:val="right"/>
              <w:ind w:right="59"/>
              <w:spacing w:after="0"/>
              <w:rPr>
                <w:sz w:val="20"/>
                <w:szCs w:val="20"/>
                <w:color w:val="auto"/>
              </w:rPr>
            </w:pPr>
            <w:r>
              <w:rPr>
                <w:rFonts w:ascii="Arial" w:cs="Arial" w:eastAsia="Arial" w:hAnsi="Arial"/>
                <w:sz w:val="16"/>
                <w:szCs w:val="16"/>
                <w:color w:val="auto"/>
              </w:rPr>
              <w:t>(109 )</w:t>
            </w:r>
          </w:p>
        </w:tc>
        <w:tc>
          <w:tcPr>
            <w:tcW w:w="360" w:type="dxa"/>
            <w:vAlign w:val="bottom"/>
            <w:shd w:val="clear" w:color="auto" w:fill="CCFFCC"/>
          </w:tcPr>
          <w:p>
            <w:pPr>
              <w:spacing w:after="0"/>
              <w:rPr>
                <w:sz w:val="21"/>
                <w:szCs w:val="21"/>
                <w:color w:val="auto"/>
              </w:rPr>
            </w:pPr>
          </w:p>
        </w:tc>
        <w:tc>
          <w:tcPr>
            <w:tcW w:w="820" w:type="dxa"/>
            <w:vAlign w:val="bottom"/>
            <w:shd w:val="clear" w:color="auto" w:fill="CCFFCC"/>
          </w:tcPr>
          <w:p>
            <w:pPr>
              <w:jc w:val="right"/>
              <w:ind w:right="79"/>
              <w:spacing w:after="0"/>
              <w:rPr>
                <w:sz w:val="20"/>
                <w:szCs w:val="20"/>
                <w:color w:val="auto"/>
              </w:rPr>
            </w:pPr>
            <w:r>
              <w:rPr>
                <w:rFonts w:ascii="Arial" w:cs="Arial" w:eastAsia="Arial" w:hAnsi="Arial"/>
                <w:sz w:val="16"/>
                <w:szCs w:val="16"/>
                <w:color w:val="auto"/>
              </w:rPr>
              <w:t>(2 )</w:t>
            </w:r>
          </w:p>
        </w:tc>
        <w:tc>
          <w:tcPr>
            <w:tcW w:w="400" w:type="dxa"/>
            <w:vAlign w:val="bottom"/>
            <w:shd w:val="clear" w:color="auto" w:fill="CCFFCC"/>
          </w:tcPr>
          <w:p>
            <w:pPr>
              <w:spacing w:after="0"/>
              <w:rPr>
                <w:sz w:val="21"/>
                <w:szCs w:val="21"/>
                <w:color w:val="auto"/>
              </w:rPr>
            </w:pPr>
          </w:p>
        </w:tc>
        <w:tc>
          <w:tcPr>
            <w:tcW w:w="6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(42 )</w:t>
            </w:r>
          </w:p>
        </w:tc>
      </w:tr>
      <w:tr>
        <w:trPr>
          <w:trHeight w:val="240"/>
        </w:trPr>
        <w:tc>
          <w:tcPr>
            <w:tcW w:w="5540" w:type="dxa"/>
            <w:vAlign w:val="bottom"/>
          </w:tcPr>
          <w:p>
            <w:pPr>
              <w:ind w:left="560"/>
              <w:spacing w:after="0"/>
              <w:rPr>
                <w:sz w:val="20"/>
                <w:szCs w:val="20"/>
                <w:color w:val="auto"/>
              </w:rPr>
            </w:pPr>
            <w:r>
              <w:rPr>
                <w:rFonts w:ascii="Arial" w:cs="Arial" w:eastAsia="Arial" w:hAnsi="Arial"/>
                <w:sz w:val="16"/>
                <w:szCs w:val="16"/>
                <w:color w:val="auto"/>
              </w:rPr>
              <w:t>Accounts payable</w:t>
            </w:r>
          </w:p>
        </w:tc>
        <w:tc>
          <w:tcPr>
            <w:tcW w:w="180" w:type="dxa"/>
            <w:vAlign w:val="bottom"/>
          </w:tcPr>
          <w:p>
            <w:pPr>
              <w:spacing w:after="0"/>
              <w:rPr>
                <w:sz w:val="20"/>
                <w:szCs w:val="20"/>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(82 )</w:t>
            </w:r>
          </w:p>
        </w:tc>
        <w:tc>
          <w:tcPr>
            <w:tcW w:w="360" w:type="dxa"/>
            <w:vAlign w:val="bottom"/>
          </w:tcPr>
          <w:p>
            <w:pPr>
              <w:spacing w:after="0"/>
              <w:rPr>
                <w:sz w:val="20"/>
                <w:szCs w:val="20"/>
                <w:color w:val="auto"/>
              </w:rPr>
            </w:pPr>
          </w:p>
        </w:tc>
        <w:tc>
          <w:tcPr>
            <w:tcW w:w="820" w:type="dxa"/>
            <w:vAlign w:val="bottom"/>
          </w:tcPr>
          <w:p>
            <w:pPr>
              <w:jc w:val="right"/>
              <w:ind w:right="159"/>
              <w:spacing w:after="0"/>
              <w:rPr>
                <w:sz w:val="20"/>
                <w:szCs w:val="20"/>
                <w:color w:val="auto"/>
              </w:rPr>
            </w:pPr>
            <w:r>
              <w:rPr>
                <w:rFonts w:ascii="Arial" w:cs="Arial" w:eastAsia="Arial" w:hAnsi="Arial"/>
                <w:sz w:val="16"/>
                <w:szCs w:val="16"/>
                <w:color w:val="auto"/>
              </w:rPr>
              <w:t>227</w:t>
            </w:r>
          </w:p>
        </w:tc>
        <w:tc>
          <w:tcPr>
            <w:tcW w:w="40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280</w:t>
            </w:r>
          </w:p>
        </w:tc>
      </w:tr>
      <w:tr>
        <w:trPr>
          <w:trHeight w:val="246"/>
        </w:trPr>
        <w:tc>
          <w:tcPr>
            <w:tcW w:w="5540" w:type="dxa"/>
            <w:vAlign w:val="bottom"/>
            <w:tcBorders>
              <w:bottom w:val="single" w:sz="8" w:color="CCFFCC"/>
            </w:tcBorders>
            <w:shd w:val="clear" w:color="auto" w:fill="CCFFCC"/>
          </w:tcPr>
          <w:p>
            <w:pPr>
              <w:ind w:left="560"/>
              <w:spacing w:after="0"/>
              <w:rPr>
                <w:sz w:val="20"/>
                <w:szCs w:val="20"/>
                <w:color w:val="auto"/>
              </w:rPr>
            </w:pPr>
            <w:r>
              <w:rPr>
                <w:rFonts w:ascii="Arial" w:cs="Arial" w:eastAsia="Arial" w:hAnsi="Arial"/>
                <w:sz w:val="16"/>
                <w:szCs w:val="16"/>
                <w:color w:val="auto"/>
              </w:rPr>
              <w:t>Other current liabilities</w:t>
            </w:r>
          </w:p>
        </w:tc>
        <w:tc>
          <w:tcPr>
            <w:tcW w:w="180" w:type="dxa"/>
            <w:vAlign w:val="bottom"/>
            <w:tcBorders>
              <w:bottom w:val="single" w:sz="8" w:color="auto"/>
            </w:tcBorders>
            <w:shd w:val="clear" w:color="auto" w:fill="CCFFCC"/>
          </w:tcPr>
          <w:p>
            <w:pPr>
              <w:spacing w:after="0"/>
              <w:rPr>
                <w:sz w:val="21"/>
                <w:szCs w:val="21"/>
                <w:color w:val="auto"/>
              </w:rPr>
            </w:pPr>
          </w:p>
        </w:tc>
        <w:tc>
          <w:tcPr>
            <w:tcW w:w="740" w:type="dxa"/>
            <w:vAlign w:val="bottom"/>
            <w:tcBorders>
              <w:bottom w:val="single" w:sz="8" w:color="auto"/>
            </w:tcBorders>
            <w:shd w:val="clear" w:color="auto" w:fill="CCFFCC"/>
          </w:tcPr>
          <w:p>
            <w:pPr>
              <w:jc w:val="right"/>
              <w:ind w:right="59"/>
              <w:spacing w:after="0"/>
              <w:rPr>
                <w:sz w:val="20"/>
                <w:szCs w:val="20"/>
                <w:color w:val="auto"/>
              </w:rPr>
            </w:pPr>
            <w:r>
              <w:rPr>
                <w:rFonts w:ascii="Arial" w:cs="Arial" w:eastAsia="Arial" w:hAnsi="Arial"/>
                <w:sz w:val="16"/>
                <w:szCs w:val="16"/>
                <w:color w:val="auto"/>
              </w:rPr>
              <w:t>(62 )</w:t>
            </w:r>
          </w:p>
        </w:tc>
        <w:tc>
          <w:tcPr>
            <w:tcW w:w="360" w:type="dxa"/>
            <w:vAlign w:val="bottom"/>
            <w:tcBorders>
              <w:bottom w:val="single" w:sz="8" w:color="auto"/>
            </w:tcBorders>
            <w:shd w:val="clear" w:color="auto" w:fill="CCFFCC"/>
          </w:tcPr>
          <w:p>
            <w:pPr>
              <w:spacing w:after="0"/>
              <w:rPr>
                <w:sz w:val="21"/>
                <w:szCs w:val="21"/>
                <w:color w:val="auto"/>
              </w:rPr>
            </w:pPr>
          </w:p>
        </w:tc>
        <w:tc>
          <w:tcPr>
            <w:tcW w:w="820" w:type="dxa"/>
            <w:vAlign w:val="bottom"/>
            <w:tcBorders>
              <w:bottom w:val="single" w:sz="8" w:color="auto"/>
            </w:tcBorders>
            <w:shd w:val="clear" w:color="auto" w:fill="CCFFCC"/>
          </w:tcPr>
          <w:p>
            <w:pPr>
              <w:jc w:val="right"/>
              <w:ind w:right="79"/>
              <w:spacing w:after="0"/>
              <w:rPr>
                <w:sz w:val="20"/>
                <w:szCs w:val="20"/>
                <w:color w:val="auto"/>
              </w:rPr>
            </w:pPr>
            <w:r>
              <w:rPr>
                <w:rFonts w:ascii="Arial" w:cs="Arial" w:eastAsia="Arial" w:hAnsi="Arial"/>
                <w:sz w:val="16"/>
                <w:szCs w:val="16"/>
                <w:color w:val="auto"/>
              </w:rPr>
              <w:t>(79 )</w:t>
            </w:r>
          </w:p>
        </w:tc>
        <w:tc>
          <w:tcPr>
            <w:tcW w:w="400" w:type="dxa"/>
            <w:vAlign w:val="bottom"/>
            <w:tcBorders>
              <w:bottom w:val="single" w:sz="8" w:color="auto"/>
            </w:tcBorders>
            <w:shd w:val="clear" w:color="auto" w:fill="CCFFCC"/>
          </w:tcPr>
          <w:p>
            <w:pPr>
              <w:spacing w:after="0"/>
              <w:rPr>
                <w:sz w:val="21"/>
                <w:szCs w:val="21"/>
                <w:color w:val="auto"/>
              </w:rPr>
            </w:pPr>
          </w:p>
        </w:tc>
        <w:tc>
          <w:tcPr>
            <w:tcW w:w="660" w:type="dxa"/>
            <w:vAlign w:val="bottom"/>
            <w:tcBorders>
              <w:bottom w:val="single" w:sz="8" w:color="auto"/>
            </w:tcBorders>
            <w:shd w:val="clear" w:color="auto" w:fill="CCFFCC"/>
          </w:tcPr>
          <w:p>
            <w:pPr>
              <w:jc w:val="right"/>
              <w:ind w:right="19"/>
              <w:spacing w:after="0"/>
              <w:rPr>
                <w:sz w:val="20"/>
                <w:szCs w:val="20"/>
                <w:color w:val="auto"/>
              </w:rPr>
            </w:pPr>
            <w:r>
              <w:rPr>
                <w:rFonts w:ascii="Arial" w:cs="Arial" w:eastAsia="Arial" w:hAnsi="Arial"/>
                <w:sz w:val="16"/>
                <w:szCs w:val="16"/>
                <w:color w:val="auto"/>
              </w:rPr>
              <w:t>189</w:t>
            </w:r>
          </w:p>
        </w:tc>
      </w:tr>
      <w:tr>
        <w:trPr>
          <w:trHeight w:val="257"/>
        </w:trPr>
        <w:tc>
          <w:tcPr>
            <w:tcW w:w="5540" w:type="dxa"/>
            <w:vAlign w:val="bottom"/>
          </w:tcPr>
          <w:p>
            <w:pPr>
              <w:ind w:left="1440"/>
              <w:spacing w:after="0"/>
              <w:rPr>
                <w:sz w:val="20"/>
                <w:szCs w:val="20"/>
                <w:color w:val="auto"/>
              </w:rPr>
            </w:pPr>
            <w:r>
              <w:rPr>
                <w:rFonts w:ascii="Arial" w:cs="Arial" w:eastAsia="Arial" w:hAnsi="Arial"/>
                <w:sz w:val="16"/>
                <w:szCs w:val="16"/>
                <w:color w:val="auto"/>
              </w:rPr>
              <w:t>Net changes in other working capital components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25</w:t>
            </w:r>
          </w:p>
        </w:tc>
        <w:tc>
          <w:tcPr>
            <w:tcW w:w="3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(183 )</w:t>
            </w:r>
          </w:p>
        </w:tc>
        <w:tc>
          <w:tcPr>
            <w:tcW w:w="4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(1,196 )</w:t>
            </w:r>
          </w:p>
        </w:tc>
      </w:tr>
      <w:tr>
        <w:trPr>
          <w:trHeight w:val="243"/>
        </w:trPr>
        <w:tc>
          <w:tcPr>
            <w:tcW w:w="554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740" w:type="dxa"/>
            <w:vAlign w:val="bottom"/>
            <w:shd w:val="clear" w:color="auto" w:fill="CCFFCC"/>
          </w:tcPr>
          <w:p>
            <w:pPr>
              <w:spacing w:after="0"/>
              <w:rPr>
                <w:sz w:val="21"/>
                <w:szCs w:val="21"/>
                <w:color w:val="auto"/>
              </w:rPr>
            </w:pPr>
          </w:p>
        </w:tc>
        <w:tc>
          <w:tcPr>
            <w:tcW w:w="360" w:type="dxa"/>
            <w:vAlign w:val="bottom"/>
            <w:shd w:val="clear" w:color="auto" w:fill="CCFFCC"/>
          </w:tcPr>
          <w:p>
            <w:pPr>
              <w:spacing w:after="0"/>
              <w:rPr>
                <w:sz w:val="21"/>
                <w:szCs w:val="21"/>
                <w:color w:val="auto"/>
              </w:rPr>
            </w:pPr>
          </w:p>
        </w:tc>
        <w:tc>
          <w:tcPr>
            <w:tcW w:w="820" w:type="dxa"/>
            <w:vAlign w:val="bottom"/>
            <w:shd w:val="clear" w:color="auto" w:fill="CCFFCC"/>
          </w:tcPr>
          <w:p>
            <w:pPr>
              <w:spacing w:after="0"/>
              <w:rPr>
                <w:sz w:val="21"/>
                <w:szCs w:val="21"/>
                <w:color w:val="auto"/>
              </w:rPr>
            </w:pPr>
          </w:p>
        </w:tc>
        <w:tc>
          <w:tcPr>
            <w:tcW w:w="400" w:type="dxa"/>
            <w:vAlign w:val="bottom"/>
            <w:shd w:val="clear" w:color="auto" w:fill="CCFFCC"/>
          </w:tcPr>
          <w:p>
            <w:pPr>
              <w:spacing w:after="0"/>
              <w:rPr>
                <w:sz w:val="21"/>
                <w:szCs w:val="21"/>
                <w:color w:val="auto"/>
              </w:rPr>
            </w:pPr>
          </w:p>
        </w:tc>
        <w:tc>
          <w:tcPr>
            <w:tcW w:w="660" w:type="dxa"/>
            <w:vAlign w:val="bottom"/>
            <w:shd w:val="clear" w:color="auto" w:fill="CCFFCC"/>
          </w:tcPr>
          <w:p>
            <w:pPr>
              <w:spacing w:after="0"/>
              <w:rPr>
                <w:sz w:val="21"/>
                <w:szCs w:val="21"/>
                <w:color w:val="auto"/>
              </w:rPr>
            </w:pPr>
          </w:p>
        </w:tc>
      </w:tr>
      <w:tr>
        <w:trPr>
          <w:trHeight w:val="237"/>
        </w:trPr>
        <w:tc>
          <w:tcPr>
            <w:tcW w:w="5540" w:type="dxa"/>
            <w:vAlign w:val="bottom"/>
          </w:tcPr>
          <w:p>
            <w:pPr>
              <w:ind w:left="20"/>
              <w:spacing w:after="0"/>
              <w:rPr>
                <w:sz w:val="20"/>
                <w:szCs w:val="20"/>
                <w:color w:val="auto"/>
              </w:rPr>
            </w:pPr>
            <w:r>
              <w:rPr>
                <w:rFonts w:ascii="Arial" w:cs="Arial" w:eastAsia="Arial" w:hAnsi="Arial"/>
                <w:sz w:val="16"/>
                <w:szCs w:val="16"/>
                <w:color w:val="auto"/>
              </w:rPr>
              <w:t>SUPPLEMENTAL DISCLOSURE OF CASH FLOW</w:t>
            </w: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46"/>
        </w:trPr>
        <w:tc>
          <w:tcPr>
            <w:tcW w:w="5540" w:type="dxa"/>
            <w:vAlign w:val="bottom"/>
          </w:tcPr>
          <w:p>
            <w:pPr>
              <w:ind w:left="180"/>
              <w:spacing w:after="0"/>
              <w:rPr>
                <w:sz w:val="20"/>
                <w:szCs w:val="20"/>
                <w:color w:val="auto"/>
              </w:rPr>
            </w:pPr>
            <w:r>
              <w:rPr>
                <w:rFonts w:ascii="Arial" w:cs="Arial" w:eastAsia="Arial" w:hAnsi="Arial"/>
                <w:sz w:val="16"/>
                <w:szCs w:val="16"/>
                <w:color w:val="auto"/>
              </w:rPr>
              <w:t>INFORMATION</w:t>
            </w: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267"/>
        </w:trPr>
        <w:tc>
          <w:tcPr>
            <w:tcW w:w="5540" w:type="dxa"/>
            <w:vAlign w:val="bottom"/>
            <w:tcBorders>
              <w:bottom w:val="single" w:sz="8" w:color="CCFFCC"/>
            </w:tcBorders>
            <w:shd w:val="clear" w:color="auto" w:fill="CCFFCC"/>
          </w:tcPr>
          <w:p>
            <w:pPr>
              <w:ind w:left="340"/>
              <w:spacing w:after="0"/>
              <w:rPr>
                <w:sz w:val="20"/>
                <w:szCs w:val="20"/>
                <w:color w:val="auto"/>
              </w:rPr>
            </w:pPr>
            <w:r>
              <w:rPr>
                <w:rFonts w:ascii="Arial" w:cs="Arial" w:eastAsia="Arial" w:hAnsi="Arial"/>
                <w:sz w:val="16"/>
                <w:szCs w:val="16"/>
                <w:color w:val="auto"/>
              </w:rPr>
              <w:t>Interest payments, net of amounts capitalized</w:t>
            </w:r>
          </w:p>
        </w:tc>
        <w:tc>
          <w:tcPr>
            <w:tcW w:w="1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FFCC"/>
          </w:tcPr>
          <w:p>
            <w:pPr>
              <w:jc w:val="right"/>
              <w:ind w:right="139"/>
              <w:spacing w:after="0"/>
              <w:rPr>
                <w:sz w:val="20"/>
                <w:szCs w:val="20"/>
                <w:color w:val="auto"/>
              </w:rPr>
            </w:pPr>
            <w:r>
              <w:rPr>
                <w:rFonts w:ascii="Arial" w:cs="Arial" w:eastAsia="Arial" w:hAnsi="Arial"/>
                <w:sz w:val="16"/>
                <w:szCs w:val="16"/>
                <w:color w:val="auto"/>
              </w:rPr>
              <w:t>380</w:t>
            </w:r>
          </w:p>
        </w:tc>
        <w:tc>
          <w:tcPr>
            <w:tcW w:w="360" w:type="dxa"/>
            <w:vAlign w:val="bottom"/>
            <w:tcBorders>
              <w:bottom w:val="single" w:sz="8" w:color="auto"/>
            </w:tcBorders>
            <w:shd w:val="clear" w:color="auto" w:fill="CCFFCC"/>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FFCC"/>
          </w:tcPr>
          <w:p>
            <w:pPr>
              <w:jc w:val="right"/>
              <w:ind w:right="159"/>
              <w:spacing w:after="0"/>
              <w:rPr>
                <w:sz w:val="20"/>
                <w:szCs w:val="20"/>
                <w:color w:val="auto"/>
              </w:rPr>
            </w:pPr>
            <w:r>
              <w:rPr>
                <w:rFonts w:ascii="Arial" w:cs="Arial" w:eastAsia="Arial" w:hAnsi="Arial"/>
                <w:sz w:val="16"/>
                <w:szCs w:val="16"/>
                <w:color w:val="auto"/>
              </w:rPr>
              <w:t>337</w:t>
            </w:r>
          </w:p>
        </w:tc>
        <w:tc>
          <w:tcPr>
            <w:tcW w:w="400" w:type="dxa"/>
            <w:vAlign w:val="bottom"/>
            <w:tcBorders>
              <w:bottom w:val="single" w:sz="8" w:color="auto"/>
            </w:tcBorders>
            <w:shd w:val="clear" w:color="auto" w:fill="CCFFCC"/>
          </w:tcPr>
          <w:p>
            <w:pPr>
              <w:jc w:val="right"/>
              <w:ind w:right="7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CFFCC"/>
          </w:tcPr>
          <w:p>
            <w:pPr>
              <w:jc w:val="right"/>
              <w:ind w:right="19"/>
              <w:spacing w:after="0"/>
              <w:rPr>
                <w:sz w:val="20"/>
                <w:szCs w:val="20"/>
                <w:color w:val="auto"/>
              </w:rPr>
            </w:pPr>
            <w:r>
              <w:rPr>
                <w:rFonts w:ascii="Arial" w:cs="Arial" w:eastAsia="Arial" w:hAnsi="Arial"/>
                <w:sz w:val="16"/>
                <w:szCs w:val="16"/>
                <w:color w:val="auto"/>
              </w:rPr>
              <w:t>294</w:t>
            </w:r>
          </w:p>
        </w:tc>
      </w:tr>
      <w:tr>
        <w:trPr>
          <w:trHeight w:val="243"/>
        </w:trPr>
        <w:tc>
          <w:tcPr>
            <w:tcW w:w="5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264"/>
        </w:trPr>
        <w:tc>
          <w:tcPr>
            <w:tcW w:w="5540" w:type="dxa"/>
            <w:vAlign w:val="bottom"/>
            <w:tcBorders>
              <w:bottom w:val="single" w:sz="8" w:color="CCFFCC"/>
            </w:tcBorders>
            <w:shd w:val="clear" w:color="auto" w:fill="CCFFCC"/>
          </w:tcPr>
          <w:p>
            <w:pPr>
              <w:ind w:left="340"/>
              <w:spacing w:after="0"/>
              <w:rPr>
                <w:sz w:val="20"/>
                <w:szCs w:val="20"/>
                <w:color w:val="auto"/>
              </w:rPr>
            </w:pPr>
            <w:r>
              <w:rPr>
                <w:rFonts w:ascii="Arial" w:cs="Arial" w:eastAsia="Arial" w:hAnsi="Arial"/>
                <w:sz w:val="16"/>
                <w:szCs w:val="16"/>
                <w:color w:val="auto"/>
              </w:rPr>
              <w:t>Income tax payments, net of refunds</w:t>
            </w:r>
          </w:p>
        </w:tc>
        <w:tc>
          <w:tcPr>
            <w:tcW w:w="1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FFCC"/>
          </w:tcPr>
          <w:p>
            <w:pPr>
              <w:jc w:val="right"/>
              <w:ind w:right="139"/>
              <w:spacing w:after="0"/>
              <w:rPr>
                <w:sz w:val="20"/>
                <w:szCs w:val="20"/>
                <w:color w:val="auto"/>
              </w:rPr>
            </w:pPr>
            <w:r>
              <w:rPr>
                <w:rFonts w:ascii="Arial" w:cs="Arial" w:eastAsia="Arial" w:hAnsi="Arial"/>
                <w:sz w:val="16"/>
                <w:szCs w:val="16"/>
                <w:color w:val="auto"/>
              </w:rPr>
              <w:t>443</w:t>
            </w:r>
          </w:p>
        </w:tc>
        <w:tc>
          <w:tcPr>
            <w:tcW w:w="360" w:type="dxa"/>
            <w:vAlign w:val="bottom"/>
            <w:tcBorders>
              <w:bottom w:val="single" w:sz="8" w:color="auto"/>
            </w:tcBorders>
            <w:shd w:val="clear" w:color="auto" w:fill="CCFFCC"/>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FFCC"/>
          </w:tcPr>
          <w:p>
            <w:pPr>
              <w:jc w:val="right"/>
              <w:ind w:right="159"/>
              <w:spacing w:after="0"/>
              <w:rPr>
                <w:sz w:val="20"/>
                <w:szCs w:val="20"/>
                <w:color w:val="auto"/>
              </w:rPr>
            </w:pPr>
            <w:r>
              <w:rPr>
                <w:rFonts w:ascii="Arial" w:cs="Arial" w:eastAsia="Arial" w:hAnsi="Arial"/>
                <w:sz w:val="16"/>
                <w:szCs w:val="16"/>
                <w:color w:val="auto"/>
              </w:rPr>
              <w:t>601</w:t>
            </w:r>
          </w:p>
        </w:tc>
        <w:tc>
          <w:tcPr>
            <w:tcW w:w="400" w:type="dxa"/>
            <w:vAlign w:val="bottom"/>
            <w:tcBorders>
              <w:bottom w:val="single" w:sz="8" w:color="auto"/>
            </w:tcBorders>
            <w:shd w:val="clear" w:color="auto" w:fill="CCFFCC"/>
          </w:tcPr>
          <w:p>
            <w:pPr>
              <w:jc w:val="right"/>
              <w:ind w:right="7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CFFCC"/>
          </w:tcPr>
          <w:p>
            <w:pPr>
              <w:jc w:val="right"/>
              <w:ind w:right="19"/>
              <w:spacing w:after="0"/>
              <w:rPr>
                <w:sz w:val="20"/>
                <w:szCs w:val="20"/>
                <w:color w:val="auto"/>
              </w:rPr>
            </w:pPr>
            <w:r>
              <w:rPr>
                <w:rFonts w:ascii="Arial" w:cs="Arial" w:eastAsia="Arial" w:hAnsi="Arial"/>
                <w:sz w:val="16"/>
                <w:szCs w:val="16"/>
                <w:color w:val="auto"/>
              </w:rPr>
              <w:t>429</w:t>
            </w:r>
          </w:p>
        </w:tc>
      </w:tr>
      <w:tr>
        <w:trPr>
          <w:trHeight w:val="243"/>
        </w:trPr>
        <w:tc>
          <w:tcPr>
            <w:tcW w:w="5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237"/>
        </w:trPr>
        <w:tc>
          <w:tcPr>
            <w:tcW w:w="5540" w:type="dxa"/>
            <w:vAlign w:val="bottom"/>
            <w:shd w:val="clear" w:color="auto" w:fill="CCFFCC"/>
          </w:tcPr>
          <w:p>
            <w:pPr>
              <w:ind w:left="20"/>
              <w:spacing w:after="0"/>
              <w:rPr>
                <w:sz w:val="20"/>
                <w:szCs w:val="20"/>
                <w:color w:val="auto"/>
              </w:rPr>
            </w:pPr>
            <w:r>
              <w:rPr>
                <w:rFonts w:ascii="Arial" w:cs="Arial" w:eastAsia="Arial" w:hAnsi="Arial"/>
                <w:sz w:val="16"/>
                <w:szCs w:val="16"/>
                <w:color w:val="auto"/>
              </w:rPr>
              <w:t>SUPPLEMENTAL DISCLOSURE OF NONCASH INVESTING</w:t>
            </w:r>
          </w:p>
        </w:tc>
        <w:tc>
          <w:tcPr>
            <w:tcW w:w="180" w:type="dxa"/>
            <w:vAlign w:val="bottom"/>
            <w:shd w:val="clear" w:color="auto" w:fill="CCFFCC"/>
          </w:tcPr>
          <w:p>
            <w:pPr>
              <w:spacing w:after="0"/>
              <w:rPr>
                <w:sz w:val="20"/>
                <w:szCs w:val="20"/>
                <w:color w:val="auto"/>
              </w:rPr>
            </w:pPr>
          </w:p>
        </w:tc>
        <w:tc>
          <w:tcPr>
            <w:tcW w:w="740" w:type="dxa"/>
            <w:vAlign w:val="bottom"/>
            <w:shd w:val="clear" w:color="auto" w:fill="CCFFCC"/>
          </w:tcPr>
          <w:p>
            <w:pPr>
              <w:spacing w:after="0"/>
              <w:rPr>
                <w:sz w:val="20"/>
                <w:szCs w:val="20"/>
                <w:color w:val="auto"/>
              </w:rPr>
            </w:pPr>
          </w:p>
        </w:tc>
        <w:tc>
          <w:tcPr>
            <w:tcW w:w="360" w:type="dxa"/>
            <w:vAlign w:val="bottom"/>
            <w:shd w:val="clear" w:color="auto" w:fill="CCFFCC"/>
          </w:tcPr>
          <w:p>
            <w:pPr>
              <w:spacing w:after="0"/>
              <w:rPr>
                <w:sz w:val="20"/>
                <w:szCs w:val="20"/>
                <w:color w:val="auto"/>
              </w:rPr>
            </w:pPr>
          </w:p>
        </w:tc>
        <w:tc>
          <w:tcPr>
            <w:tcW w:w="820" w:type="dxa"/>
            <w:vAlign w:val="bottom"/>
            <w:shd w:val="clear" w:color="auto" w:fill="CCFFCC"/>
          </w:tcPr>
          <w:p>
            <w:pPr>
              <w:spacing w:after="0"/>
              <w:rPr>
                <w:sz w:val="20"/>
                <w:szCs w:val="20"/>
                <w:color w:val="auto"/>
              </w:rPr>
            </w:pPr>
          </w:p>
        </w:tc>
        <w:tc>
          <w:tcPr>
            <w:tcW w:w="400" w:type="dxa"/>
            <w:vAlign w:val="bottom"/>
            <w:shd w:val="clear" w:color="auto" w:fill="CCFFCC"/>
          </w:tcPr>
          <w:p>
            <w:pPr>
              <w:spacing w:after="0"/>
              <w:rPr>
                <w:sz w:val="20"/>
                <w:szCs w:val="20"/>
                <w:color w:val="auto"/>
              </w:rPr>
            </w:pPr>
          </w:p>
        </w:tc>
        <w:tc>
          <w:tcPr>
            <w:tcW w:w="660" w:type="dxa"/>
            <w:vAlign w:val="bottom"/>
            <w:shd w:val="clear" w:color="auto" w:fill="CCFFCC"/>
          </w:tcPr>
          <w:p>
            <w:pPr>
              <w:spacing w:after="0"/>
              <w:rPr>
                <w:sz w:val="20"/>
                <w:szCs w:val="20"/>
                <w:color w:val="auto"/>
              </w:rPr>
            </w:pPr>
          </w:p>
        </w:tc>
      </w:tr>
      <w:tr>
        <w:trPr>
          <w:trHeight w:val="249"/>
        </w:trPr>
        <w:tc>
          <w:tcPr>
            <w:tcW w:w="5540" w:type="dxa"/>
            <w:vAlign w:val="bottom"/>
            <w:shd w:val="clear" w:color="auto" w:fill="CCFFCC"/>
          </w:tcPr>
          <w:p>
            <w:pPr>
              <w:ind w:left="160"/>
              <w:spacing w:after="0"/>
              <w:rPr>
                <w:sz w:val="20"/>
                <w:szCs w:val="20"/>
                <w:color w:val="auto"/>
              </w:rPr>
            </w:pPr>
            <w:r>
              <w:rPr>
                <w:rFonts w:ascii="Arial" w:cs="Arial" w:eastAsia="Arial" w:hAnsi="Arial"/>
                <w:sz w:val="16"/>
                <w:szCs w:val="16"/>
                <w:color w:val="auto"/>
              </w:rPr>
              <w:t>ACTIVITIES</w:t>
            </w:r>
          </w:p>
        </w:tc>
        <w:tc>
          <w:tcPr>
            <w:tcW w:w="180" w:type="dxa"/>
            <w:vAlign w:val="bottom"/>
            <w:shd w:val="clear" w:color="auto" w:fill="CCFFCC"/>
          </w:tcPr>
          <w:p>
            <w:pPr>
              <w:spacing w:after="0"/>
              <w:rPr>
                <w:sz w:val="21"/>
                <w:szCs w:val="21"/>
                <w:color w:val="auto"/>
              </w:rPr>
            </w:pPr>
          </w:p>
        </w:tc>
        <w:tc>
          <w:tcPr>
            <w:tcW w:w="740" w:type="dxa"/>
            <w:vAlign w:val="bottom"/>
            <w:shd w:val="clear" w:color="auto" w:fill="CCFFCC"/>
          </w:tcPr>
          <w:p>
            <w:pPr>
              <w:spacing w:after="0"/>
              <w:rPr>
                <w:sz w:val="21"/>
                <w:szCs w:val="21"/>
                <w:color w:val="auto"/>
              </w:rPr>
            </w:pPr>
          </w:p>
        </w:tc>
        <w:tc>
          <w:tcPr>
            <w:tcW w:w="360" w:type="dxa"/>
            <w:vAlign w:val="bottom"/>
            <w:shd w:val="clear" w:color="auto" w:fill="CCFFCC"/>
          </w:tcPr>
          <w:p>
            <w:pPr>
              <w:spacing w:after="0"/>
              <w:rPr>
                <w:sz w:val="21"/>
                <w:szCs w:val="21"/>
                <w:color w:val="auto"/>
              </w:rPr>
            </w:pPr>
          </w:p>
        </w:tc>
        <w:tc>
          <w:tcPr>
            <w:tcW w:w="820" w:type="dxa"/>
            <w:vAlign w:val="bottom"/>
            <w:shd w:val="clear" w:color="auto" w:fill="CCFFCC"/>
          </w:tcPr>
          <w:p>
            <w:pPr>
              <w:spacing w:after="0"/>
              <w:rPr>
                <w:sz w:val="21"/>
                <w:szCs w:val="21"/>
                <w:color w:val="auto"/>
              </w:rPr>
            </w:pPr>
          </w:p>
        </w:tc>
        <w:tc>
          <w:tcPr>
            <w:tcW w:w="400" w:type="dxa"/>
            <w:vAlign w:val="bottom"/>
            <w:shd w:val="clear" w:color="auto" w:fill="CCFFCC"/>
          </w:tcPr>
          <w:p>
            <w:pPr>
              <w:spacing w:after="0"/>
              <w:rPr>
                <w:sz w:val="21"/>
                <w:szCs w:val="21"/>
                <w:color w:val="auto"/>
              </w:rPr>
            </w:pPr>
          </w:p>
        </w:tc>
        <w:tc>
          <w:tcPr>
            <w:tcW w:w="660" w:type="dxa"/>
            <w:vAlign w:val="bottom"/>
            <w:shd w:val="clear" w:color="auto" w:fill="CCFFCC"/>
          </w:tcPr>
          <w:p>
            <w:pPr>
              <w:spacing w:after="0"/>
              <w:rPr>
                <w:sz w:val="21"/>
                <w:szCs w:val="21"/>
                <w:color w:val="auto"/>
              </w:rPr>
            </w:pPr>
          </w:p>
        </w:tc>
      </w:tr>
      <w:tr>
        <w:trPr>
          <w:trHeight w:val="240"/>
        </w:trPr>
        <w:tc>
          <w:tcPr>
            <w:tcW w:w="5540" w:type="dxa"/>
            <w:vAlign w:val="bottom"/>
          </w:tcPr>
          <w:p>
            <w:pPr>
              <w:ind w:left="560"/>
              <w:spacing w:after="0"/>
              <w:rPr>
                <w:sz w:val="20"/>
                <w:szCs w:val="20"/>
                <w:color w:val="auto"/>
              </w:rPr>
            </w:pPr>
            <w:r>
              <w:rPr>
                <w:rFonts w:ascii="Arial" w:cs="Arial" w:eastAsia="Arial" w:hAnsi="Arial"/>
                <w:sz w:val="16"/>
                <w:szCs w:val="16"/>
                <w:color w:val="auto"/>
              </w:rPr>
              <w:t>Acquisition of subsidiary:</w:t>
            </w: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46"/>
        </w:trPr>
        <w:tc>
          <w:tcPr>
            <w:tcW w:w="5540" w:type="dxa"/>
            <w:vAlign w:val="bottom"/>
            <w:shd w:val="clear" w:color="auto" w:fill="CCFFCC"/>
          </w:tcPr>
          <w:p>
            <w:pPr>
              <w:ind w:left="1240"/>
              <w:spacing w:after="0"/>
              <w:rPr>
                <w:sz w:val="20"/>
                <w:szCs w:val="20"/>
                <w:color w:val="auto"/>
              </w:rPr>
            </w:pPr>
            <w:r>
              <w:rPr>
                <w:rFonts w:ascii="Arial" w:cs="Arial" w:eastAsia="Arial" w:hAnsi="Arial"/>
                <w:sz w:val="16"/>
                <w:szCs w:val="16"/>
                <w:color w:val="auto"/>
              </w:rPr>
              <w:t>Assets acquired</w:t>
            </w:r>
          </w:p>
        </w:tc>
        <w:tc>
          <w:tcPr>
            <w:tcW w:w="180" w:type="dxa"/>
            <w:vAlign w:val="bottom"/>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FFCC"/>
          </w:tcPr>
          <w:p>
            <w:pPr>
              <w:jc w:val="right"/>
              <w:ind w:right="139"/>
              <w:spacing w:after="0"/>
              <w:rPr>
                <w:sz w:val="20"/>
                <w:szCs w:val="20"/>
                <w:color w:val="auto"/>
              </w:rPr>
            </w:pPr>
            <w:r>
              <w:rPr>
                <w:rFonts w:ascii="Arial" w:cs="Arial" w:eastAsia="Arial" w:hAnsi="Arial"/>
                <w:sz w:val="16"/>
                <w:szCs w:val="16"/>
                <w:color w:val="auto"/>
              </w:rPr>
              <w:t>--</w:t>
            </w:r>
          </w:p>
        </w:tc>
        <w:tc>
          <w:tcPr>
            <w:tcW w:w="360" w:type="dxa"/>
            <w:vAlign w:val="bottom"/>
            <w:shd w:val="clear" w:color="auto" w:fill="CCFFCC"/>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FFCC"/>
          </w:tcPr>
          <w:p>
            <w:pPr>
              <w:jc w:val="right"/>
              <w:ind w:right="159"/>
              <w:spacing w:after="0"/>
              <w:rPr>
                <w:sz w:val="20"/>
                <w:szCs w:val="20"/>
                <w:color w:val="auto"/>
              </w:rPr>
            </w:pPr>
            <w:r>
              <w:rPr>
                <w:rFonts w:ascii="Arial" w:cs="Arial" w:eastAsia="Arial" w:hAnsi="Arial"/>
                <w:sz w:val="16"/>
                <w:szCs w:val="16"/>
                <w:color w:val="auto"/>
              </w:rPr>
              <w:t>--</w:t>
            </w:r>
          </w:p>
        </w:tc>
        <w:tc>
          <w:tcPr>
            <w:tcW w:w="400" w:type="dxa"/>
            <w:vAlign w:val="bottom"/>
            <w:shd w:val="clear" w:color="auto" w:fill="CCFFCC"/>
          </w:tcPr>
          <w:p>
            <w:pPr>
              <w:jc w:val="right"/>
              <w:ind w:right="79"/>
              <w:spacing w:after="0"/>
              <w:rPr>
                <w:sz w:val="20"/>
                <w:szCs w:val="20"/>
                <w:color w:val="auto"/>
              </w:rPr>
            </w:pPr>
            <w:r>
              <w:rPr>
                <w:rFonts w:ascii="Arial" w:cs="Arial" w:eastAsia="Arial" w:hAnsi="Arial"/>
                <w:sz w:val="16"/>
                <w:szCs w:val="16"/>
                <w:color w:val="auto"/>
              </w:rPr>
              <w:t>$</w:t>
            </w:r>
          </w:p>
        </w:tc>
        <w:tc>
          <w:tcPr>
            <w:tcW w:w="660" w:type="dxa"/>
            <w:vAlign w:val="bottom"/>
            <w:shd w:val="clear" w:color="auto" w:fill="CCFFCC"/>
          </w:tcPr>
          <w:p>
            <w:pPr>
              <w:jc w:val="right"/>
              <w:ind w:right="19"/>
              <w:spacing w:after="0"/>
              <w:rPr>
                <w:sz w:val="20"/>
                <w:szCs w:val="20"/>
                <w:color w:val="auto"/>
              </w:rPr>
            </w:pPr>
            <w:r>
              <w:rPr>
                <w:rFonts w:ascii="Arial" w:cs="Arial" w:eastAsia="Arial" w:hAnsi="Arial"/>
                <w:sz w:val="16"/>
                <w:szCs w:val="16"/>
                <w:color w:val="auto"/>
              </w:rPr>
              <w:t>132</w:t>
            </w:r>
          </w:p>
        </w:tc>
      </w:tr>
      <w:tr>
        <w:trPr>
          <w:trHeight w:val="243"/>
        </w:trPr>
        <w:tc>
          <w:tcPr>
            <w:tcW w:w="5540" w:type="dxa"/>
            <w:vAlign w:val="bottom"/>
          </w:tcPr>
          <w:p>
            <w:pPr>
              <w:ind w:left="1240"/>
              <w:spacing w:after="0"/>
              <w:rPr>
                <w:sz w:val="20"/>
                <w:szCs w:val="20"/>
                <w:color w:val="auto"/>
              </w:rPr>
            </w:pPr>
            <w:r>
              <w:rPr>
                <w:rFonts w:ascii="Arial" w:cs="Arial" w:eastAsia="Arial" w:hAnsi="Arial"/>
                <w:sz w:val="16"/>
                <w:szCs w:val="16"/>
                <w:color w:val="auto"/>
              </w:rPr>
              <w:t>Cash paid, net of cash acquired</w:t>
            </w:r>
          </w:p>
        </w:tc>
        <w:tc>
          <w:tcPr>
            <w:tcW w:w="1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(70 )</w:t>
            </w:r>
          </w:p>
        </w:tc>
      </w:tr>
      <w:tr>
        <w:trPr>
          <w:trHeight w:val="257"/>
        </w:trPr>
        <w:tc>
          <w:tcPr>
            <w:tcW w:w="5540" w:type="dxa"/>
            <w:vAlign w:val="bottom"/>
            <w:tcBorders>
              <w:bottom w:val="single" w:sz="8" w:color="CCFFCC"/>
            </w:tcBorders>
            <w:shd w:val="clear" w:color="auto" w:fill="CCFFCC"/>
          </w:tcPr>
          <w:p>
            <w:pPr>
              <w:ind w:left="1240"/>
              <w:spacing w:after="0"/>
              <w:rPr>
                <w:sz w:val="20"/>
                <w:szCs w:val="20"/>
                <w:color w:val="auto"/>
              </w:rPr>
            </w:pPr>
            <w:r>
              <w:rPr>
                <w:rFonts w:ascii="Arial" w:cs="Arial" w:eastAsia="Arial" w:hAnsi="Arial"/>
                <w:sz w:val="16"/>
                <w:szCs w:val="16"/>
                <w:color w:val="auto"/>
              </w:rPr>
              <w:t>Liabilities assumed</w:t>
            </w:r>
          </w:p>
        </w:tc>
        <w:tc>
          <w:tcPr>
            <w:tcW w:w="1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FFCC"/>
          </w:tcPr>
          <w:p>
            <w:pPr>
              <w:jc w:val="right"/>
              <w:ind w:right="13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shd w:val="clear" w:color="auto" w:fill="CCFFCC"/>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FFCC"/>
          </w:tcPr>
          <w:p>
            <w:pPr>
              <w:jc w:val="right"/>
              <w:ind w:right="15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shd w:val="clear" w:color="auto" w:fill="CCFFCC"/>
          </w:tcPr>
          <w:p>
            <w:pPr>
              <w:jc w:val="right"/>
              <w:ind w:right="7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CFFCC"/>
          </w:tcPr>
          <w:p>
            <w:pPr>
              <w:jc w:val="right"/>
              <w:ind w:right="19"/>
              <w:spacing w:after="0"/>
              <w:rPr>
                <w:sz w:val="20"/>
                <w:szCs w:val="20"/>
                <w:color w:val="auto"/>
              </w:rPr>
            </w:pPr>
            <w:r>
              <w:rPr>
                <w:rFonts w:ascii="Arial" w:cs="Arial" w:eastAsia="Arial" w:hAnsi="Arial"/>
                <w:sz w:val="16"/>
                <w:szCs w:val="16"/>
                <w:color w:val="auto"/>
              </w:rPr>
              <w:t>62</w:t>
            </w:r>
          </w:p>
        </w:tc>
      </w:tr>
      <w:tr>
        <w:trPr>
          <w:trHeight w:val="243"/>
        </w:trPr>
        <w:tc>
          <w:tcPr>
            <w:tcW w:w="5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243"/>
        </w:trPr>
        <w:tc>
          <w:tcPr>
            <w:tcW w:w="5540" w:type="dxa"/>
            <w:vAlign w:val="bottom"/>
            <w:shd w:val="clear" w:color="auto" w:fill="CCFFCC"/>
          </w:tcPr>
          <w:p>
            <w:pPr>
              <w:ind w:left="560"/>
              <w:spacing w:after="0"/>
              <w:rPr>
                <w:sz w:val="20"/>
                <w:szCs w:val="20"/>
                <w:color w:val="auto"/>
              </w:rPr>
            </w:pPr>
            <w:r>
              <w:rPr>
                <w:rFonts w:ascii="Arial" w:cs="Arial" w:eastAsia="Arial" w:hAnsi="Arial"/>
                <w:sz w:val="16"/>
                <w:szCs w:val="16"/>
                <w:color w:val="auto"/>
              </w:rPr>
              <w:t>Increase (decrease) in accounts payable from</w:t>
            </w:r>
          </w:p>
        </w:tc>
        <w:tc>
          <w:tcPr>
            <w:tcW w:w="180" w:type="dxa"/>
            <w:vAlign w:val="bottom"/>
            <w:shd w:val="clear" w:color="auto" w:fill="CCFFCC"/>
          </w:tcPr>
          <w:p>
            <w:pPr>
              <w:spacing w:after="0"/>
              <w:rPr>
                <w:sz w:val="21"/>
                <w:szCs w:val="21"/>
                <w:color w:val="auto"/>
              </w:rPr>
            </w:pPr>
          </w:p>
        </w:tc>
        <w:tc>
          <w:tcPr>
            <w:tcW w:w="740" w:type="dxa"/>
            <w:vAlign w:val="bottom"/>
            <w:shd w:val="clear" w:color="auto" w:fill="CCFFCC"/>
          </w:tcPr>
          <w:p>
            <w:pPr>
              <w:spacing w:after="0"/>
              <w:rPr>
                <w:sz w:val="21"/>
                <w:szCs w:val="21"/>
                <w:color w:val="auto"/>
              </w:rPr>
            </w:pPr>
          </w:p>
        </w:tc>
        <w:tc>
          <w:tcPr>
            <w:tcW w:w="360" w:type="dxa"/>
            <w:vAlign w:val="bottom"/>
            <w:shd w:val="clear" w:color="auto" w:fill="CCFFCC"/>
          </w:tcPr>
          <w:p>
            <w:pPr>
              <w:spacing w:after="0"/>
              <w:rPr>
                <w:sz w:val="21"/>
                <w:szCs w:val="21"/>
                <w:color w:val="auto"/>
              </w:rPr>
            </w:pPr>
          </w:p>
        </w:tc>
        <w:tc>
          <w:tcPr>
            <w:tcW w:w="820" w:type="dxa"/>
            <w:vAlign w:val="bottom"/>
            <w:shd w:val="clear" w:color="auto" w:fill="CCFFCC"/>
          </w:tcPr>
          <w:p>
            <w:pPr>
              <w:spacing w:after="0"/>
              <w:rPr>
                <w:sz w:val="21"/>
                <w:szCs w:val="21"/>
                <w:color w:val="auto"/>
              </w:rPr>
            </w:pPr>
          </w:p>
        </w:tc>
        <w:tc>
          <w:tcPr>
            <w:tcW w:w="400" w:type="dxa"/>
            <w:vAlign w:val="bottom"/>
            <w:shd w:val="clear" w:color="auto" w:fill="CCFFCC"/>
          </w:tcPr>
          <w:p>
            <w:pPr>
              <w:spacing w:after="0"/>
              <w:rPr>
                <w:sz w:val="21"/>
                <w:szCs w:val="21"/>
                <w:color w:val="auto"/>
              </w:rPr>
            </w:pPr>
          </w:p>
        </w:tc>
        <w:tc>
          <w:tcPr>
            <w:tcW w:w="660" w:type="dxa"/>
            <w:vAlign w:val="bottom"/>
            <w:shd w:val="clear" w:color="auto" w:fill="CCFFCC"/>
          </w:tcPr>
          <w:p>
            <w:pPr>
              <w:spacing w:after="0"/>
              <w:rPr>
                <w:sz w:val="21"/>
                <w:szCs w:val="21"/>
                <w:color w:val="auto"/>
              </w:rPr>
            </w:pPr>
          </w:p>
        </w:tc>
      </w:tr>
      <w:tr>
        <w:trPr>
          <w:trHeight w:val="264"/>
        </w:trPr>
        <w:tc>
          <w:tcPr>
            <w:tcW w:w="5540" w:type="dxa"/>
            <w:vAlign w:val="bottom"/>
          </w:tcPr>
          <w:p>
            <w:pPr>
              <w:ind w:left="1060"/>
              <w:spacing w:after="0"/>
              <w:rPr>
                <w:sz w:val="20"/>
                <w:szCs w:val="20"/>
                <w:color w:val="auto"/>
              </w:rPr>
            </w:pPr>
            <w:r>
              <w:rPr>
                <w:rFonts w:ascii="Arial" w:cs="Arial" w:eastAsia="Arial" w:hAnsi="Arial"/>
                <w:sz w:val="16"/>
                <w:szCs w:val="16"/>
                <w:color w:val="auto"/>
              </w:rPr>
              <w:t>investments in property, plant and equipment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81</w:t>
            </w:r>
          </w:p>
        </w:tc>
        <w:tc>
          <w:tcPr>
            <w:tcW w:w="3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(43 )</w:t>
            </w:r>
          </w:p>
        </w:tc>
        <w:tc>
          <w:tcPr>
            <w:tcW w:w="4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45</w:t>
            </w:r>
          </w:p>
        </w:tc>
      </w:tr>
      <w:tr>
        <w:trPr>
          <w:trHeight w:val="243"/>
        </w:trPr>
        <w:tc>
          <w:tcPr>
            <w:tcW w:w="554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740" w:type="dxa"/>
            <w:vAlign w:val="bottom"/>
            <w:shd w:val="clear" w:color="auto" w:fill="CCFFCC"/>
          </w:tcPr>
          <w:p>
            <w:pPr>
              <w:spacing w:after="0"/>
              <w:rPr>
                <w:sz w:val="21"/>
                <w:szCs w:val="21"/>
                <w:color w:val="auto"/>
              </w:rPr>
            </w:pPr>
          </w:p>
        </w:tc>
        <w:tc>
          <w:tcPr>
            <w:tcW w:w="360" w:type="dxa"/>
            <w:vAlign w:val="bottom"/>
            <w:shd w:val="clear" w:color="auto" w:fill="CCFFCC"/>
          </w:tcPr>
          <w:p>
            <w:pPr>
              <w:spacing w:after="0"/>
              <w:rPr>
                <w:sz w:val="21"/>
                <w:szCs w:val="21"/>
                <w:color w:val="auto"/>
              </w:rPr>
            </w:pPr>
          </w:p>
        </w:tc>
        <w:tc>
          <w:tcPr>
            <w:tcW w:w="820" w:type="dxa"/>
            <w:vAlign w:val="bottom"/>
            <w:shd w:val="clear" w:color="auto" w:fill="CCFFCC"/>
          </w:tcPr>
          <w:p>
            <w:pPr>
              <w:spacing w:after="0"/>
              <w:rPr>
                <w:sz w:val="21"/>
                <w:szCs w:val="21"/>
                <w:color w:val="auto"/>
              </w:rPr>
            </w:pPr>
          </w:p>
        </w:tc>
        <w:tc>
          <w:tcPr>
            <w:tcW w:w="400" w:type="dxa"/>
            <w:vAlign w:val="bottom"/>
            <w:shd w:val="clear" w:color="auto" w:fill="CCFFCC"/>
          </w:tcPr>
          <w:p>
            <w:pPr>
              <w:spacing w:after="0"/>
              <w:rPr>
                <w:sz w:val="21"/>
                <w:szCs w:val="21"/>
                <w:color w:val="auto"/>
              </w:rPr>
            </w:pPr>
          </w:p>
        </w:tc>
        <w:tc>
          <w:tcPr>
            <w:tcW w:w="660" w:type="dxa"/>
            <w:vAlign w:val="bottom"/>
            <w:shd w:val="clear" w:color="auto" w:fill="CCFFCC"/>
          </w:tcPr>
          <w:p>
            <w:pPr>
              <w:spacing w:after="0"/>
              <w:rPr>
                <w:sz w:val="21"/>
                <w:szCs w:val="21"/>
                <w:color w:val="auto"/>
              </w:rPr>
            </w:pPr>
          </w:p>
        </w:tc>
      </w:tr>
      <w:tr>
        <w:trPr>
          <w:trHeight w:val="264"/>
        </w:trPr>
        <w:tc>
          <w:tcPr>
            <w:tcW w:w="5540" w:type="dxa"/>
            <w:vAlign w:val="bottom"/>
          </w:tcPr>
          <w:p>
            <w:pPr>
              <w:ind w:left="900"/>
              <w:spacing w:after="0"/>
              <w:rPr>
                <w:sz w:val="20"/>
                <w:szCs w:val="20"/>
                <w:color w:val="auto"/>
              </w:rPr>
            </w:pPr>
            <w:r>
              <w:rPr>
                <w:rFonts w:ascii="Arial" w:cs="Arial" w:eastAsia="Arial" w:hAnsi="Arial"/>
                <w:sz w:val="16"/>
                <w:szCs w:val="16"/>
                <w:color w:val="auto"/>
              </w:rPr>
              <w:t>Fair value of stock received for services rendered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32</w:t>
            </w:r>
          </w:p>
        </w:tc>
        <w:tc>
          <w:tcPr>
            <w:tcW w:w="3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43"/>
        </w:trPr>
        <w:tc>
          <w:tcPr>
            <w:tcW w:w="554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740" w:type="dxa"/>
            <w:vAlign w:val="bottom"/>
            <w:shd w:val="clear" w:color="auto" w:fill="CCFFCC"/>
          </w:tcPr>
          <w:p>
            <w:pPr>
              <w:spacing w:after="0"/>
              <w:rPr>
                <w:sz w:val="21"/>
                <w:szCs w:val="21"/>
                <w:color w:val="auto"/>
              </w:rPr>
            </w:pPr>
          </w:p>
        </w:tc>
        <w:tc>
          <w:tcPr>
            <w:tcW w:w="360" w:type="dxa"/>
            <w:vAlign w:val="bottom"/>
            <w:shd w:val="clear" w:color="auto" w:fill="CCFFCC"/>
          </w:tcPr>
          <w:p>
            <w:pPr>
              <w:spacing w:after="0"/>
              <w:rPr>
                <w:sz w:val="21"/>
                <w:szCs w:val="21"/>
                <w:color w:val="auto"/>
              </w:rPr>
            </w:pPr>
          </w:p>
        </w:tc>
        <w:tc>
          <w:tcPr>
            <w:tcW w:w="820" w:type="dxa"/>
            <w:vAlign w:val="bottom"/>
            <w:shd w:val="clear" w:color="auto" w:fill="CCFFCC"/>
          </w:tcPr>
          <w:p>
            <w:pPr>
              <w:spacing w:after="0"/>
              <w:rPr>
                <w:sz w:val="21"/>
                <w:szCs w:val="21"/>
                <w:color w:val="auto"/>
              </w:rPr>
            </w:pPr>
          </w:p>
        </w:tc>
        <w:tc>
          <w:tcPr>
            <w:tcW w:w="400" w:type="dxa"/>
            <w:vAlign w:val="bottom"/>
            <w:shd w:val="clear" w:color="auto" w:fill="CCFFCC"/>
          </w:tcPr>
          <w:p>
            <w:pPr>
              <w:spacing w:after="0"/>
              <w:rPr>
                <w:sz w:val="21"/>
                <w:szCs w:val="21"/>
                <w:color w:val="auto"/>
              </w:rPr>
            </w:pPr>
          </w:p>
        </w:tc>
        <w:tc>
          <w:tcPr>
            <w:tcW w:w="660" w:type="dxa"/>
            <w:vAlign w:val="bottom"/>
            <w:shd w:val="clear" w:color="auto" w:fill="CCFFCC"/>
          </w:tcPr>
          <w:p>
            <w:pPr>
              <w:spacing w:after="0"/>
              <w:rPr>
                <w:sz w:val="21"/>
                <w:szCs w:val="21"/>
                <w:color w:val="auto"/>
              </w:rPr>
            </w:pPr>
          </w:p>
        </w:tc>
      </w:tr>
      <w:tr>
        <w:trPr>
          <w:trHeight w:val="264"/>
        </w:trPr>
        <w:tc>
          <w:tcPr>
            <w:tcW w:w="5540" w:type="dxa"/>
            <w:vAlign w:val="bottom"/>
          </w:tcPr>
          <w:p>
            <w:pPr>
              <w:ind w:left="900"/>
              <w:spacing w:after="0"/>
              <w:rPr>
                <w:sz w:val="20"/>
                <w:szCs w:val="20"/>
                <w:color w:val="auto"/>
              </w:rPr>
            </w:pPr>
            <w:r>
              <w:rPr>
                <w:rFonts w:ascii="Arial" w:cs="Arial" w:eastAsia="Arial" w:hAnsi="Arial"/>
                <w:sz w:val="16"/>
                <w:szCs w:val="16"/>
                <w:color w:val="auto"/>
              </w:rPr>
              <w:t>Fair value of stock received for sale of investments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26</w:t>
            </w:r>
          </w:p>
        </w:tc>
        <w:tc>
          <w:tcPr>
            <w:tcW w:w="3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480"/>
        </w:trPr>
        <w:tc>
          <w:tcPr>
            <w:tcW w:w="5540" w:type="dxa"/>
            <w:vAlign w:val="bottom"/>
          </w:tcPr>
          <w:p>
            <w:pPr>
              <w:ind w:left="20"/>
              <w:spacing w:after="0"/>
              <w:rPr>
                <w:sz w:val="20"/>
                <w:szCs w:val="20"/>
                <w:color w:val="auto"/>
              </w:rPr>
            </w:pPr>
            <w:r>
              <w:rPr>
                <w:rFonts w:ascii="Arial" w:cs="Arial" w:eastAsia="Arial" w:hAnsi="Arial"/>
                <w:sz w:val="16"/>
                <w:szCs w:val="16"/>
                <w:color w:val="auto"/>
              </w:rPr>
              <w:t>See Notes to Consolidated Financial Statements.</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color w:val="auto"/>
        </w:rPr>
        <w:t>52</w:t>
      </w:r>
    </w:p>
    <w:p>
      <w:pPr>
        <w:sectPr>
          <w:pgSz w:w="11900" w:h="16838" w:orient="portrait"/>
          <w:cols w:equalWidth="0" w:num="1">
            <w:col w:w="10219"/>
          </w:cols>
          <w:pgMar w:left="240" w:top="899" w:right="1440" w:bottom="1440" w:gutter="0" w:footer="0" w:header="0"/>
        </w:sectPr>
      </w:pPr>
    </w:p>
    <w:bookmarkStart w:id="120" w:name="page121"/>
    <w:bookmarkEnd w:id="120"/>
    <w:p>
      <w:pPr>
        <w:ind w:left="480"/>
        <w:spacing w:after="0"/>
        <w:rPr>
          <w:sz w:val="20"/>
          <w:szCs w:val="20"/>
          <w:color w:val="auto"/>
        </w:rPr>
      </w:pPr>
      <w:r>
        <w:rPr>
          <w:rFonts w:ascii="Arial" w:cs="Arial" w:eastAsia="Arial" w:hAnsi="Arial"/>
          <w:sz w:val="18"/>
          <w:szCs w:val="18"/>
          <w:color w:val="auto"/>
        </w:rPr>
        <w:t>SEMPRA ENERGY</w:t>
      </w:r>
    </w:p>
    <w:p>
      <w:pPr>
        <w:spacing w:after="0" w:line="3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STATEMENTS OF CONSOLIDATED COMPREHENSIVE INCOME AND CHANGES IN</w:t>
      </w:r>
    </w:p>
    <w:p>
      <w:pPr>
        <w:spacing w:after="0" w:line="3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SHAREHOLDERS' EQUITY</w:t>
      </w:r>
    </w:p>
    <w:p>
      <w:pPr>
        <w:spacing w:after="0" w:line="3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Years ended December 31, 2007, 2006 and 2005</w:t>
      </w:r>
    </w:p>
    <w:p>
      <w:pPr>
        <w:spacing w:after="0" w:line="279" w:lineRule="exact"/>
        <w:rPr>
          <w:sz w:val="20"/>
          <w:szCs w:val="20"/>
          <w:color w:val="auto"/>
        </w:rPr>
      </w:pPr>
    </w:p>
    <w:tbl>
      <w:tblPr>
        <w:tblLayout w:type="fixed"/>
        <w:tblInd w:w="480" w:type="dxa"/>
        <w:tblCellMar>
          <w:top w:w="0" w:type="dxa"/>
          <w:left w:w="0" w:type="dxa"/>
          <w:bottom w:w="0" w:type="dxa"/>
          <w:right w:w="0" w:type="dxa"/>
        </w:tblCellMar>
      </w:tblPr>
      <w:tr>
        <w:trPr>
          <w:trHeight w:val="216"/>
        </w:trPr>
        <w:tc>
          <w:tcPr>
            <w:tcW w:w="3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Deferred</w:t>
            </w: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Accumulated</w:t>
            </w:r>
          </w:p>
        </w:tc>
        <w:tc>
          <w:tcPr>
            <w:tcW w:w="1220" w:type="dxa"/>
            <w:vAlign w:val="bottom"/>
          </w:tcPr>
          <w:p>
            <w:pPr>
              <w:spacing w:after="0"/>
              <w:rPr>
                <w:sz w:val="18"/>
                <w:szCs w:val="18"/>
                <w:color w:val="auto"/>
              </w:rPr>
            </w:pPr>
          </w:p>
        </w:tc>
      </w:tr>
      <w:tr>
        <w:trPr>
          <w:trHeight w:val="216"/>
        </w:trPr>
        <w:tc>
          <w:tcPr>
            <w:tcW w:w="3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w w:val="94"/>
              </w:rPr>
              <w:t>Compensation</w:t>
            </w: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Other</w:t>
            </w: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Total</w:t>
            </w:r>
          </w:p>
        </w:tc>
      </w:tr>
      <w:tr>
        <w:trPr>
          <w:trHeight w:val="216"/>
        </w:trPr>
        <w:tc>
          <w:tcPr>
            <w:tcW w:w="344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Comprehensive</w:t>
            </w:r>
          </w:p>
        </w:tc>
        <w:tc>
          <w:tcPr>
            <w:tcW w:w="940" w:type="dxa"/>
            <w:vAlign w:val="bottom"/>
          </w:tcPr>
          <w:p>
            <w:pPr>
              <w:jc w:val="right"/>
              <w:ind w:right="130"/>
              <w:spacing w:after="0"/>
              <w:rPr>
                <w:sz w:val="20"/>
                <w:szCs w:val="20"/>
                <w:color w:val="auto"/>
              </w:rPr>
            </w:pPr>
            <w:r>
              <w:rPr>
                <w:rFonts w:ascii="Arial" w:cs="Arial" w:eastAsia="Arial" w:hAnsi="Arial"/>
                <w:sz w:val="18"/>
                <w:szCs w:val="18"/>
                <w:color w:val="auto"/>
                <w:w w:val="95"/>
              </w:rPr>
              <w:t>Common</w:t>
            </w: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Retained</w:t>
            </w: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Relating to</w:t>
            </w:r>
          </w:p>
        </w:tc>
        <w:tc>
          <w:tcPr>
            <w:tcW w:w="1380" w:type="dxa"/>
            <w:vAlign w:val="bottom"/>
          </w:tcPr>
          <w:p>
            <w:pPr>
              <w:jc w:val="right"/>
              <w:ind w:right="90"/>
              <w:spacing w:after="0"/>
              <w:rPr>
                <w:sz w:val="20"/>
                <w:szCs w:val="20"/>
                <w:color w:val="auto"/>
              </w:rPr>
            </w:pPr>
            <w:r>
              <w:rPr>
                <w:rFonts w:ascii="Arial" w:cs="Arial" w:eastAsia="Arial" w:hAnsi="Arial"/>
                <w:sz w:val="18"/>
                <w:szCs w:val="18"/>
                <w:color w:val="auto"/>
                <w:w w:val="93"/>
              </w:rPr>
              <w:t>Comprehensive</w:t>
            </w:r>
          </w:p>
        </w:tc>
        <w:tc>
          <w:tcPr>
            <w:tcW w:w="1220" w:type="dxa"/>
            <w:vAlign w:val="bottom"/>
          </w:tcPr>
          <w:p>
            <w:pPr>
              <w:jc w:val="right"/>
              <w:ind w:right="70"/>
              <w:spacing w:after="0"/>
              <w:rPr>
                <w:sz w:val="20"/>
                <w:szCs w:val="20"/>
                <w:color w:val="auto"/>
              </w:rPr>
            </w:pPr>
            <w:r>
              <w:rPr>
                <w:rFonts w:ascii="Arial" w:cs="Arial" w:eastAsia="Arial" w:hAnsi="Arial"/>
                <w:sz w:val="18"/>
                <w:szCs w:val="18"/>
                <w:color w:val="auto"/>
                <w:w w:val="94"/>
              </w:rPr>
              <w:t>Shareholders'</w:t>
            </w:r>
          </w:p>
        </w:tc>
      </w:tr>
      <w:tr>
        <w:trPr>
          <w:trHeight w:val="237"/>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(Dollars in millions)</w:t>
            </w:r>
          </w:p>
        </w:tc>
        <w:tc>
          <w:tcPr>
            <w:tcW w:w="13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Income</w:t>
            </w:r>
          </w:p>
        </w:tc>
        <w:tc>
          <w:tcPr>
            <w:tcW w:w="9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Stock</w:t>
            </w:r>
          </w:p>
        </w:tc>
        <w:tc>
          <w:tcPr>
            <w:tcW w:w="9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Earnings</w:t>
            </w:r>
          </w:p>
        </w:tc>
        <w:tc>
          <w:tcPr>
            <w:tcW w:w="1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ESOP</w:t>
            </w:r>
          </w:p>
        </w:tc>
        <w:tc>
          <w:tcPr>
            <w:tcW w:w="1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Income (Loss)</w:t>
            </w:r>
          </w:p>
        </w:tc>
        <w:tc>
          <w:tcPr>
            <w:tcW w:w="12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Equity</w:t>
            </w:r>
          </w:p>
        </w:tc>
      </w:tr>
      <w:tr>
        <w:trPr>
          <w:trHeight w:val="237"/>
        </w:trPr>
        <w:tc>
          <w:tcPr>
            <w:tcW w:w="3440" w:type="dxa"/>
            <w:vAlign w:val="bottom"/>
          </w:tcPr>
          <w:p>
            <w:pPr>
              <w:spacing w:after="0"/>
              <w:rPr>
                <w:sz w:val="20"/>
                <w:szCs w:val="20"/>
                <w:color w:val="auto"/>
              </w:rPr>
            </w:pPr>
            <w:r>
              <w:rPr>
                <w:rFonts w:ascii="Arial" w:cs="Arial" w:eastAsia="Arial" w:hAnsi="Arial"/>
                <w:sz w:val="18"/>
                <w:szCs w:val="18"/>
                <w:color w:val="auto"/>
              </w:rPr>
              <w:t>Balance at December 31, 2004</w:t>
            </w: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$ 2,301</w:t>
            </w: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$ 2,961</w:t>
            </w:r>
          </w:p>
        </w:tc>
        <w:tc>
          <w:tcPr>
            <w:tcW w:w="1280" w:type="dxa"/>
            <w:vAlign w:val="bottom"/>
          </w:tcPr>
          <w:p>
            <w:pPr>
              <w:jc w:val="right"/>
              <w:spacing w:after="0"/>
              <w:rPr>
                <w:sz w:val="20"/>
                <w:szCs w:val="20"/>
                <w:color w:val="auto"/>
              </w:rPr>
            </w:pPr>
            <w:r>
              <w:rPr>
                <w:rFonts w:ascii="Arial" w:cs="Arial" w:eastAsia="Arial" w:hAnsi="Arial"/>
                <w:sz w:val="18"/>
                <w:szCs w:val="18"/>
                <w:color w:val="auto"/>
              </w:rPr>
              <w:t>$ (32 )</w:t>
            </w:r>
          </w:p>
        </w:tc>
        <w:tc>
          <w:tcPr>
            <w:tcW w:w="1380" w:type="dxa"/>
            <w:vAlign w:val="bottom"/>
          </w:tcPr>
          <w:p>
            <w:pPr>
              <w:jc w:val="right"/>
              <w:spacing w:after="0"/>
              <w:rPr>
                <w:sz w:val="20"/>
                <w:szCs w:val="20"/>
                <w:color w:val="auto"/>
              </w:rPr>
            </w:pPr>
            <w:r>
              <w:rPr>
                <w:rFonts w:ascii="Arial" w:cs="Arial" w:eastAsia="Arial" w:hAnsi="Arial"/>
                <w:sz w:val="18"/>
                <w:szCs w:val="18"/>
                <w:color w:val="auto"/>
              </w:rPr>
              <w:t>$ (365 )</w:t>
            </w: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$ 4,865</w:t>
            </w:r>
          </w:p>
        </w:tc>
      </w:tr>
      <w:tr>
        <w:trPr>
          <w:trHeight w:val="249"/>
        </w:trPr>
        <w:tc>
          <w:tcPr>
            <w:tcW w:w="3440" w:type="dxa"/>
            <w:vAlign w:val="bottom"/>
            <w:shd w:val="clear" w:color="auto" w:fill="CCFFCC"/>
          </w:tcPr>
          <w:p>
            <w:pPr>
              <w:spacing w:after="0"/>
              <w:rPr>
                <w:sz w:val="20"/>
                <w:szCs w:val="20"/>
                <w:color w:val="auto"/>
              </w:rPr>
            </w:pPr>
            <w:r>
              <w:rPr>
                <w:rFonts w:ascii="Arial" w:cs="Arial" w:eastAsia="Arial" w:hAnsi="Arial"/>
                <w:sz w:val="18"/>
                <w:szCs w:val="18"/>
                <w:color w:val="auto"/>
              </w:rPr>
              <w:t>Net income</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$ 920</w:t>
            </w:r>
          </w:p>
        </w:tc>
        <w:tc>
          <w:tcPr>
            <w:tcW w:w="140" w:type="dxa"/>
            <w:vAlign w:val="bottom"/>
            <w:shd w:val="clear" w:color="auto" w:fill="CCFFCC"/>
          </w:tcPr>
          <w:p>
            <w:pPr>
              <w:spacing w:after="0"/>
              <w:rPr>
                <w:sz w:val="21"/>
                <w:szCs w:val="21"/>
                <w:color w:val="auto"/>
              </w:rPr>
            </w:pPr>
          </w:p>
        </w:tc>
        <w:tc>
          <w:tcPr>
            <w:tcW w:w="940" w:type="dxa"/>
            <w:vAlign w:val="bottom"/>
            <w:shd w:val="clear" w:color="auto" w:fill="CCFFCC"/>
          </w:tcPr>
          <w:p>
            <w:pPr>
              <w:spacing w:after="0"/>
              <w:rPr>
                <w:sz w:val="21"/>
                <w:szCs w:val="21"/>
                <w:color w:val="auto"/>
              </w:rPr>
            </w:pPr>
          </w:p>
        </w:tc>
        <w:tc>
          <w:tcPr>
            <w:tcW w:w="92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920</w:t>
            </w:r>
          </w:p>
        </w:tc>
        <w:tc>
          <w:tcPr>
            <w:tcW w:w="1280" w:type="dxa"/>
            <w:vAlign w:val="bottom"/>
            <w:shd w:val="clear" w:color="auto" w:fill="CCFFCC"/>
          </w:tcPr>
          <w:p>
            <w:pPr>
              <w:spacing w:after="0"/>
              <w:rPr>
                <w:sz w:val="21"/>
                <w:szCs w:val="21"/>
                <w:color w:val="auto"/>
              </w:rPr>
            </w:pPr>
          </w:p>
        </w:tc>
        <w:tc>
          <w:tcPr>
            <w:tcW w:w="1380" w:type="dxa"/>
            <w:vAlign w:val="bottom"/>
            <w:shd w:val="clear" w:color="auto" w:fill="CCFFCC"/>
          </w:tcPr>
          <w:p>
            <w:pPr>
              <w:spacing w:after="0"/>
              <w:rPr>
                <w:sz w:val="21"/>
                <w:szCs w:val="21"/>
                <w:color w:val="auto"/>
              </w:rPr>
            </w:pPr>
          </w:p>
        </w:tc>
        <w:tc>
          <w:tcPr>
            <w:tcW w:w="122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920</w:t>
            </w:r>
          </w:p>
        </w:tc>
      </w:tr>
      <w:tr>
        <w:trPr>
          <w:trHeight w:val="237"/>
        </w:trPr>
        <w:tc>
          <w:tcPr>
            <w:tcW w:w="3440" w:type="dxa"/>
            <w:vAlign w:val="bottom"/>
          </w:tcPr>
          <w:p>
            <w:pPr>
              <w:spacing w:after="0"/>
              <w:rPr>
                <w:sz w:val="20"/>
                <w:szCs w:val="20"/>
                <w:color w:val="auto"/>
              </w:rPr>
            </w:pPr>
            <w:r>
              <w:rPr>
                <w:rFonts w:ascii="Arial" w:cs="Arial" w:eastAsia="Arial" w:hAnsi="Arial"/>
                <w:sz w:val="18"/>
                <w:szCs w:val="18"/>
                <w:color w:val="auto"/>
              </w:rPr>
              <w:t>Comprehensive income adjustments:</w:t>
            </w: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49"/>
        </w:trPr>
        <w:tc>
          <w:tcPr>
            <w:tcW w:w="3440" w:type="dxa"/>
            <w:vAlign w:val="bottom"/>
            <w:shd w:val="clear" w:color="auto" w:fill="CCFFCC"/>
          </w:tcPr>
          <w:p>
            <w:pPr>
              <w:ind w:left="240"/>
              <w:spacing w:after="0"/>
              <w:rPr>
                <w:sz w:val="20"/>
                <w:szCs w:val="20"/>
                <w:color w:val="auto"/>
              </w:rPr>
            </w:pPr>
            <w:r>
              <w:rPr>
                <w:rFonts w:ascii="Arial" w:cs="Arial" w:eastAsia="Arial" w:hAnsi="Arial"/>
                <w:sz w:val="18"/>
                <w:szCs w:val="18"/>
                <w:color w:val="auto"/>
                <w:w w:val="97"/>
              </w:rPr>
              <w:t>Foreign currency translation adjustments</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30</w:t>
            </w:r>
          </w:p>
        </w:tc>
        <w:tc>
          <w:tcPr>
            <w:tcW w:w="140" w:type="dxa"/>
            <w:vAlign w:val="bottom"/>
            <w:shd w:val="clear" w:color="auto" w:fill="CCFFCC"/>
          </w:tcPr>
          <w:p>
            <w:pPr>
              <w:spacing w:after="0"/>
              <w:rPr>
                <w:sz w:val="21"/>
                <w:szCs w:val="21"/>
                <w:color w:val="auto"/>
              </w:rPr>
            </w:pPr>
          </w:p>
        </w:tc>
        <w:tc>
          <w:tcPr>
            <w:tcW w:w="940" w:type="dxa"/>
            <w:vAlign w:val="bottom"/>
            <w:shd w:val="clear" w:color="auto" w:fill="CCFFCC"/>
          </w:tcPr>
          <w:p>
            <w:pPr>
              <w:spacing w:after="0"/>
              <w:rPr>
                <w:sz w:val="21"/>
                <w:szCs w:val="21"/>
                <w:color w:val="auto"/>
              </w:rPr>
            </w:pPr>
          </w:p>
        </w:tc>
        <w:tc>
          <w:tcPr>
            <w:tcW w:w="920" w:type="dxa"/>
            <w:vAlign w:val="bottom"/>
            <w:shd w:val="clear" w:color="auto" w:fill="CCFFCC"/>
          </w:tcPr>
          <w:p>
            <w:pPr>
              <w:spacing w:after="0"/>
              <w:rPr>
                <w:sz w:val="21"/>
                <w:szCs w:val="21"/>
                <w:color w:val="auto"/>
              </w:rPr>
            </w:pPr>
          </w:p>
        </w:tc>
        <w:tc>
          <w:tcPr>
            <w:tcW w:w="1280" w:type="dxa"/>
            <w:vAlign w:val="bottom"/>
            <w:shd w:val="clear" w:color="auto" w:fill="CCFFCC"/>
          </w:tcPr>
          <w:p>
            <w:pPr>
              <w:spacing w:after="0"/>
              <w:rPr>
                <w:sz w:val="21"/>
                <w:szCs w:val="21"/>
                <w:color w:val="auto"/>
              </w:rPr>
            </w:pPr>
          </w:p>
        </w:tc>
        <w:tc>
          <w:tcPr>
            <w:tcW w:w="138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30</w:t>
            </w:r>
          </w:p>
        </w:tc>
        <w:tc>
          <w:tcPr>
            <w:tcW w:w="122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30</w:t>
            </w:r>
          </w:p>
        </w:tc>
      </w:tr>
      <w:tr>
        <w:trPr>
          <w:trHeight w:val="237"/>
        </w:trPr>
        <w:tc>
          <w:tcPr>
            <w:tcW w:w="3440" w:type="dxa"/>
            <w:vAlign w:val="bottom"/>
          </w:tcPr>
          <w:p>
            <w:pPr>
              <w:ind w:left="220"/>
              <w:spacing w:after="0"/>
              <w:rPr>
                <w:sz w:val="20"/>
                <w:szCs w:val="20"/>
                <w:color w:val="auto"/>
              </w:rPr>
            </w:pPr>
            <w:r>
              <w:rPr>
                <w:rFonts w:ascii="Arial" w:cs="Arial" w:eastAsia="Arial" w:hAnsi="Arial"/>
                <w:sz w:val="18"/>
                <w:szCs w:val="18"/>
                <w:color w:val="auto"/>
              </w:rPr>
              <w:t>Available-for-sale securities</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(4 )</w:t>
            </w:r>
          </w:p>
        </w:tc>
        <w:tc>
          <w:tcPr>
            <w:tcW w:w="9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(4 )</w:t>
            </w:r>
          </w:p>
        </w:tc>
        <w:tc>
          <w:tcPr>
            <w:tcW w:w="1220" w:type="dxa"/>
            <w:vAlign w:val="bottom"/>
          </w:tcPr>
          <w:p>
            <w:pPr>
              <w:jc w:val="right"/>
              <w:spacing w:after="0"/>
              <w:rPr>
                <w:sz w:val="20"/>
                <w:szCs w:val="20"/>
                <w:color w:val="auto"/>
              </w:rPr>
            </w:pPr>
            <w:r>
              <w:rPr>
                <w:rFonts w:ascii="Arial" w:cs="Arial" w:eastAsia="Arial" w:hAnsi="Arial"/>
                <w:sz w:val="18"/>
                <w:szCs w:val="18"/>
                <w:color w:val="auto"/>
              </w:rPr>
              <w:t>(4 )</w:t>
            </w:r>
          </w:p>
        </w:tc>
      </w:tr>
      <w:tr>
        <w:trPr>
          <w:trHeight w:val="249"/>
        </w:trPr>
        <w:tc>
          <w:tcPr>
            <w:tcW w:w="3440" w:type="dxa"/>
            <w:vAlign w:val="bottom"/>
            <w:shd w:val="clear" w:color="auto" w:fill="CCFFCC"/>
          </w:tcPr>
          <w:p>
            <w:pPr>
              <w:ind w:left="240"/>
              <w:spacing w:after="0"/>
              <w:rPr>
                <w:sz w:val="20"/>
                <w:szCs w:val="20"/>
                <w:color w:val="auto"/>
              </w:rPr>
            </w:pPr>
            <w:r>
              <w:rPr>
                <w:rFonts w:ascii="Arial" w:cs="Arial" w:eastAsia="Arial" w:hAnsi="Arial"/>
                <w:sz w:val="18"/>
                <w:szCs w:val="18"/>
                <w:color w:val="auto"/>
              </w:rPr>
              <w:t>Financial instruments</w:t>
            </w:r>
          </w:p>
        </w:tc>
        <w:tc>
          <w:tcPr>
            <w:tcW w:w="13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(19 )</w:t>
            </w:r>
          </w:p>
        </w:tc>
        <w:tc>
          <w:tcPr>
            <w:tcW w:w="940" w:type="dxa"/>
            <w:vAlign w:val="bottom"/>
            <w:shd w:val="clear" w:color="auto" w:fill="CCFFCC"/>
          </w:tcPr>
          <w:p>
            <w:pPr>
              <w:spacing w:after="0"/>
              <w:rPr>
                <w:sz w:val="21"/>
                <w:szCs w:val="21"/>
                <w:color w:val="auto"/>
              </w:rPr>
            </w:pPr>
          </w:p>
        </w:tc>
        <w:tc>
          <w:tcPr>
            <w:tcW w:w="920" w:type="dxa"/>
            <w:vAlign w:val="bottom"/>
            <w:shd w:val="clear" w:color="auto" w:fill="CCFFCC"/>
          </w:tcPr>
          <w:p>
            <w:pPr>
              <w:spacing w:after="0"/>
              <w:rPr>
                <w:sz w:val="21"/>
                <w:szCs w:val="21"/>
                <w:color w:val="auto"/>
              </w:rPr>
            </w:pPr>
          </w:p>
        </w:tc>
        <w:tc>
          <w:tcPr>
            <w:tcW w:w="1280" w:type="dxa"/>
            <w:vAlign w:val="bottom"/>
            <w:shd w:val="clear" w:color="auto" w:fill="CCFFCC"/>
          </w:tcPr>
          <w:p>
            <w:pPr>
              <w:spacing w:after="0"/>
              <w:rPr>
                <w:sz w:val="21"/>
                <w:szCs w:val="21"/>
                <w:color w:val="auto"/>
              </w:rPr>
            </w:pP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(19 )</w:t>
            </w: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(19 )</w:t>
            </w:r>
          </w:p>
        </w:tc>
      </w:tr>
      <w:tr>
        <w:trPr>
          <w:trHeight w:val="237"/>
        </w:trPr>
        <w:tc>
          <w:tcPr>
            <w:tcW w:w="3440" w:type="dxa"/>
            <w:vAlign w:val="bottom"/>
            <w:tcBorders>
              <w:top w:val="single" w:sz="8" w:color="CCFFCC"/>
            </w:tcBorders>
          </w:tcPr>
          <w:p>
            <w:pPr>
              <w:spacing w:after="0"/>
              <w:rPr>
                <w:sz w:val="20"/>
                <w:szCs w:val="20"/>
                <w:color w:val="auto"/>
              </w:rPr>
            </w:pPr>
            <w:r>
              <w:rPr>
                <w:rFonts w:ascii="Arial" w:cs="Arial" w:eastAsia="Arial" w:hAnsi="Arial"/>
                <w:sz w:val="18"/>
                <w:szCs w:val="18"/>
                <w:color w:val="auto"/>
              </w:rPr>
              <w:t>Comprehensive income</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$ 927</w:t>
            </w:r>
          </w:p>
        </w:tc>
        <w:tc>
          <w:tcPr>
            <w:tcW w:w="140" w:type="dxa"/>
            <w:vAlign w:val="bottom"/>
            <w:tcBorders>
              <w:top w:val="single" w:sz="8" w:color="CCFFCC"/>
            </w:tcBorders>
          </w:tcPr>
          <w:p>
            <w:pPr>
              <w:spacing w:after="0"/>
              <w:rPr>
                <w:sz w:val="20"/>
                <w:szCs w:val="20"/>
                <w:color w:val="auto"/>
              </w:rPr>
            </w:pPr>
          </w:p>
        </w:tc>
        <w:tc>
          <w:tcPr>
            <w:tcW w:w="940" w:type="dxa"/>
            <w:vAlign w:val="bottom"/>
            <w:tcBorders>
              <w:top w:val="single" w:sz="8" w:color="CCFFCC"/>
            </w:tcBorders>
          </w:tcPr>
          <w:p>
            <w:pPr>
              <w:spacing w:after="0"/>
              <w:rPr>
                <w:sz w:val="20"/>
                <w:szCs w:val="20"/>
                <w:color w:val="auto"/>
              </w:rPr>
            </w:pPr>
          </w:p>
        </w:tc>
        <w:tc>
          <w:tcPr>
            <w:tcW w:w="920" w:type="dxa"/>
            <w:vAlign w:val="bottom"/>
            <w:tcBorders>
              <w:top w:val="single" w:sz="8" w:color="CCFFCC"/>
            </w:tcBorders>
          </w:tcPr>
          <w:p>
            <w:pPr>
              <w:spacing w:after="0"/>
              <w:rPr>
                <w:sz w:val="20"/>
                <w:szCs w:val="20"/>
                <w:color w:val="auto"/>
              </w:rPr>
            </w:pPr>
          </w:p>
        </w:tc>
        <w:tc>
          <w:tcPr>
            <w:tcW w:w="1280" w:type="dxa"/>
            <w:vAlign w:val="bottom"/>
            <w:tcBorders>
              <w:top w:val="single" w:sz="8" w:color="CCFFCC"/>
            </w:tcBorders>
          </w:tcPr>
          <w:p>
            <w:pPr>
              <w:spacing w:after="0"/>
              <w:rPr>
                <w:sz w:val="20"/>
                <w:szCs w:val="20"/>
                <w:color w:val="auto"/>
              </w:rPr>
            </w:pPr>
          </w:p>
        </w:tc>
        <w:tc>
          <w:tcPr>
            <w:tcW w:w="1380" w:type="dxa"/>
            <w:vAlign w:val="bottom"/>
            <w:tcBorders>
              <w:top w:val="single" w:sz="8" w:color="CCFFCC"/>
            </w:tcBorders>
          </w:tcPr>
          <w:p>
            <w:pPr>
              <w:spacing w:after="0"/>
              <w:rPr>
                <w:sz w:val="20"/>
                <w:szCs w:val="20"/>
                <w:color w:val="auto"/>
              </w:rPr>
            </w:pPr>
          </w:p>
        </w:tc>
        <w:tc>
          <w:tcPr>
            <w:tcW w:w="1220" w:type="dxa"/>
            <w:vAlign w:val="bottom"/>
            <w:tcBorders>
              <w:top w:val="single" w:sz="8" w:color="CCFFCC"/>
            </w:tcBorders>
          </w:tcPr>
          <w:p>
            <w:pPr>
              <w:spacing w:after="0"/>
              <w:rPr>
                <w:sz w:val="20"/>
                <w:szCs w:val="20"/>
                <w:color w:val="auto"/>
              </w:rPr>
            </w:pPr>
          </w:p>
        </w:tc>
      </w:tr>
      <w:tr>
        <w:trPr>
          <w:trHeight w:val="237"/>
        </w:trPr>
        <w:tc>
          <w:tcPr>
            <w:tcW w:w="3440" w:type="dxa"/>
            <w:vAlign w:val="bottom"/>
            <w:shd w:val="clear" w:color="auto" w:fill="CCFFCC"/>
          </w:tcPr>
          <w:p>
            <w:pPr>
              <w:spacing w:after="0"/>
              <w:rPr>
                <w:sz w:val="20"/>
                <w:szCs w:val="20"/>
                <w:color w:val="auto"/>
              </w:rPr>
            </w:pPr>
            <w:r>
              <w:rPr>
                <w:rFonts w:ascii="Arial" w:cs="Arial" w:eastAsia="Arial" w:hAnsi="Arial"/>
                <w:sz w:val="18"/>
                <w:szCs w:val="18"/>
                <w:color w:val="auto"/>
              </w:rPr>
              <w:t>Common stock dividends declared</w:t>
            </w:r>
          </w:p>
        </w:tc>
        <w:tc>
          <w:tcPr>
            <w:tcW w:w="116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940" w:type="dxa"/>
            <w:vAlign w:val="bottom"/>
            <w:shd w:val="clear" w:color="auto" w:fill="CCFFCC"/>
          </w:tcPr>
          <w:p>
            <w:pPr>
              <w:spacing w:after="0"/>
              <w:rPr>
                <w:sz w:val="20"/>
                <w:szCs w:val="20"/>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(293 )</w:t>
            </w:r>
          </w:p>
        </w:tc>
        <w:tc>
          <w:tcPr>
            <w:tcW w:w="1280" w:type="dxa"/>
            <w:vAlign w:val="bottom"/>
            <w:shd w:val="clear" w:color="auto" w:fill="CCFFCC"/>
          </w:tcPr>
          <w:p>
            <w:pPr>
              <w:spacing w:after="0"/>
              <w:rPr>
                <w:sz w:val="20"/>
                <w:szCs w:val="20"/>
                <w:color w:val="auto"/>
              </w:rPr>
            </w:pPr>
          </w:p>
        </w:tc>
        <w:tc>
          <w:tcPr>
            <w:tcW w:w="1380" w:type="dxa"/>
            <w:vAlign w:val="bottom"/>
            <w:shd w:val="clear" w:color="auto" w:fill="CCFFCC"/>
          </w:tcPr>
          <w:p>
            <w:pPr>
              <w:spacing w:after="0"/>
              <w:rPr>
                <w:sz w:val="20"/>
                <w:szCs w:val="20"/>
                <w:color w:val="auto"/>
              </w:rPr>
            </w:pP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(293 )</w:t>
            </w:r>
          </w:p>
        </w:tc>
      </w:tr>
      <w:tr>
        <w:trPr>
          <w:trHeight w:val="237"/>
        </w:trPr>
        <w:tc>
          <w:tcPr>
            <w:tcW w:w="3440" w:type="dxa"/>
            <w:vAlign w:val="bottom"/>
          </w:tcPr>
          <w:p>
            <w:pPr>
              <w:spacing w:after="0"/>
              <w:rPr>
                <w:sz w:val="20"/>
                <w:szCs w:val="20"/>
                <w:color w:val="auto"/>
              </w:rPr>
            </w:pPr>
            <w:r>
              <w:rPr>
                <w:rFonts w:ascii="Arial" w:cs="Arial" w:eastAsia="Arial" w:hAnsi="Arial"/>
                <w:sz w:val="18"/>
                <w:szCs w:val="18"/>
                <w:color w:val="auto"/>
              </w:rPr>
              <w:t>Issuance of common stock</w:t>
            </w: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720</w:t>
            </w:r>
          </w:p>
        </w:tc>
        <w:tc>
          <w:tcPr>
            <w:tcW w:w="9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720</w:t>
            </w:r>
          </w:p>
        </w:tc>
      </w:tr>
      <w:tr>
        <w:trPr>
          <w:trHeight w:val="249"/>
        </w:trPr>
        <w:tc>
          <w:tcPr>
            <w:tcW w:w="3440" w:type="dxa"/>
            <w:vAlign w:val="bottom"/>
            <w:shd w:val="clear" w:color="auto" w:fill="CCFFCC"/>
          </w:tcPr>
          <w:p>
            <w:pPr>
              <w:spacing w:after="0"/>
              <w:rPr>
                <w:sz w:val="20"/>
                <w:szCs w:val="20"/>
                <w:color w:val="auto"/>
              </w:rPr>
            </w:pPr>
            <w:r>
              <w:rPr>
                <w:rFonts w:ascii="Arial" w:cs="Arial" w:eastAsia="Arial" w:hAnsi="Arial"/>
                <w:sz w:val="18"/>
                <w:szCs w:val="18"/>
                <w:color w:val="auto"/>
                <w:w w:val="94"/>
              </w:rPr>
              <w:t>Tax benefit related to employee stock options</w:t>
            </w:r>
          </w:p>
        </w:tc>
        <w:tc>
          <w:tcPr>
            <w:tcW w:w="116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94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rPr>
              <w:t>26</w:t>
            </w:r>
          </w:p>
        </w:tc>
        <w:tc>
          <w:tcPr>
            <w:tcW w:w="920" w:type="dxa"/>
            <w:vAlign w:val="bottom"/>
            <w:shd w:val="clear" w:color="auto" w:fill="CCFFCC"/>
          </w:tcPr>
          <w:p>
            <w:pPr>
              <w:spacing w:after="0"/>
              <w:rPr>
                <w:sz w:val="21"/>
                <w:szCs w:val="21"/>
                <w:color w:val="auto"/>
              </w:rPr>
            </w:pPr>
          </w:p>
        </w:tc>
        <w:tc>
          <w:tcPr>
            <w:tcW w:w="1280" w:type="dxa"/>
            <w:vAlign w:val="bottom"/>
            <w:shd w:val="clear" w:color="auto" w:fill="CCFFCC"/>
          </w:tcPr>
          <w:p>
            <w:pPr>
              <w:spacing w:after="0"/>
              <w:rPr>
                <w:sz w:val="21"/>
                <w:szCs w:val="21"/>
                <w:color w:val="auto"/>
              </w:rPr>
            </w:pPr>
          </w:p>
        </w:tc>
        <w:tc>
          <w:tcPr>
            <w:tcW w:w="1380" w:type="dxa"/>
            <w:vAlign w:val="bottom"/>
            <w:shd w:val="clear" w:color="auto" w:fill="CCFFCC"/>
          </w:tcPr>
          <w:p>
            <w:pPr>
              <w:spacing w:after="0"/>
              <w:rPr>
                <w:sz w:val="21"/>
                <w:szCs w:val="21"/>
                <w:color w:val="auto"/>
              </w:rPr>
            </w:pPr>
          </w:p>
        </w:tc>
        <w:tc>
          <w:tcPr>
            <w:tcW w:w="122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26</w:t>
            </w:r>
          </w:p>
        </w:tc>
      </w:tr>
      <w:tr>
        <w:trPr>
          <w:trHeight w:val="237"/>
        </w:trPr>
        <w:tc>
          <w:tcPr>
            <w:tcW w:w="3440" w:type="dxa"/>
            <w:vAlign w:val="bottom"/>
          </w:tcPr>
          <w:p>
            <w:pPr>
              <w:spacing w:after="0"/>
              <w:rPr>
                <w:sz w:val="20"/>
                <w:szCs w:val="20"/>
                <w:color w:val="auto"/>
              </w:rPr>
            </w:pPr>
            <w:r>
              <w:rPr>
                <w:rFonts w:ascii="Arial" w:cs="Arial" w:eastAsia="Arial" w:hAnsi="Arial"/>
                <w:sz w:val="18"/>
                <w:szCs w:val="18"/>
                <w:color w:val="auto"/>
              </w:rPr>
              <w:t>Repurchase of common stock</w:t>
            </w: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(95 )</w:t>
            </w:r>
          </w:p>
        </w:tc>
        <w:tc>
          <w:tcPr>
            <w:tcW w:w="9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(95 )</w:t>
            </w:r>
          </w:p>
        </w:tc>
      </w:tr>
      <w:tr>
        <w:trPr>
          <w:trHeight w:val="249"/>
        </w:trPr>
        <w:tc>
          <w:tcPr>
            <w:tcW w:w="34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Common stock released from ESOP</w:t>
            </w:r>
          </w:p>
        </w:tc>
        <w:tc>
          <w:tcPr>
            <w:tcW w:w="116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940" w:type="dxa"/>
            <w:vAlign w:val="bottom"/>
            <w:tcBorders>
              <w:bottom w:val="single" w:sz="8" w:color="auto"/>
            </w:tcBorders>
            <w:shd w:val="clear" w:color="auto" w:fill="CCFFCC"/>
          </w:tcPr>
          <w:p>
            <w:pPr>
              <w:jc w:val="right"/>
              <w:ind w:right="130"/>
              <w:spacing w:after="0"/>
              <w:rPr>
                <w:sz w:val="20"/>
                <w:szCs w:val="20"/>
                <w:color w:val="auto"/>
              </w:rPr>
            </w:pPr>
            <w:r>
              <w:rPr>
                <w:rFonts w:ascii="Arial" w:cs="Arial" w:eastAsia="Arial" w:hAnsi="Arial"/>
                <w:sz w:val="18"/>
                <w:szCs w:val="18"/>
                <w:color w:val="auto"/>
              </w:rPr>
              <w:t>6</w:t>
            </w:r>
          </w:p>
        </w:tc>
        <w:tc>
          <w:tcPr>
            <w:tcW w:w="920" w:type="dxa"/>
            <w:vAlign w:val="bottom"/>
            <w:tcBorders>
              <w:bottom w:val="single" w:sz="8" w:color="auto"/>
            </w:tcBorders>
            <w:shd w:val="clear" w:color="auto" w:fill="CCFFCC"/>
          </w:tcPr>
          <w:p>
            <w:pPr>
              <w:spacing w:after="0"/>
              <w:rPr>
                <w:sz w:val="21"/>
                <w:szCs w:val="21"/>
                <w:color w:val="auto"/>
              </w:rPr>
            </w:pPr>
          </w:p>
        </w:tc>
        <w:tc>
          <w:tcPr>
            <w:tcW w:w="1280" w:type="dxa"/>
            <w:vAlign w:val="bottom"/>
            <w:tcBorders>
              <w:bottom w:val="single" w:sz="8" w:color="auto"/>
            </w:tcBorders>
            <w:shd w:val="clear" w:color="auto" w:fill="CCFFCC"/>
          </w:tcPr>
          <w:p>
            <w:pPr>
              <w:jc w:val="right"/>
              <w:ind w:right="70"/>
              <w:spacing w:after="0"/>
              <w:rPr>
                <w:sz w:val="20"/>
                <w:szCs w:val="20"/>
                <w:color w:val="auto"/>
              </w:rPr>
            </w:pPr>
            <w:r>
              <w:rPr>
                <w:rFonts w:ascii="Arial" w:cs="Arial" w:eastAsia="Arial" w:hAnsi="Arial"/>
                <w:sz w:val="18"/>
                <w:szCs w:val="18"/>
                <w:color w:val="auto"/>
              </w:rPr>
              <w:t>4</w:t>
            </w:r>
          </w:p>
        </w:tc>
        <w:tc>
          <w:tcPr>
            <w:tcW w:w="1380" w:type="dxa"/>
            <w:vAlign w:val="bottom"/>
            <w:tcBorders>
              <w:bottom w:val="single" w:sz="8" w:color="auto"/>
            </w:tcBorders>
            <w:shd w:val="clear" w:color="auto" w:fill="CCFFCC"/>
          </w:tcPr>
          <w:p>
            <w:pPr>
              <w:spacing w:after="0"/>
              <w:rPr>
                <w:sz w:val="21"/>
                <w:szCs w:val="21"/>
                <w:color w:val="auto"/>
              </w:rPr>
            </w:pPr>
          </w:p>
        </w:tc>
        <w:tc>
          <w:tcPr>
            <w:tcW w:w="1220" w:type="dxa"/>
            <w:vAlign w:val="bottom"/>
            <w:tcBorders>
              <w:bottom w:val="single" w:sz="8" w:color="auto"/>
            </w:tcBorders>
            <w:shd w:val="clear" w:color="auto" w:fill="CCFFCC"/>
          </w:tcPr>
          <w:p>
            <w:pPr>
              <w:jc w:val="right"/>
              <w:ind w:right="70"/>
              <w:spacing w:after="0"/>
              <w:rPr>
                <w:sz w:val="20"/>
                <w:szCs w:val="20"/>
                <w:color w:val="auto"/>
              </w:rPr>
            </w:pPr>
            <w:r>
              <w:rPr>
                <w:rFonts w:ascii="Arial" w:cs="Arial" w:eastAsia="Arial" w:hAnsi="Arial"/>
                <w:sz w:val="18"/>
                <w:szCs w:val="18"/>
                <w:color w:val="auto"/>
              </w:rPr>
              <w:t>10</w:t>
            </w: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Balance at December 31, 2005</w:t>
            </w: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2,958</w:t>
            </w: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3,588</w:t>
            </w:r>
          </w:p>
        </w:tc>
        <w:tc>
          <w:tcPr>
            <w:tcW w:w="1280" w:type="dxa"/>
            <w:vAlign w:val="bottom"/>
          </w:tcPr>
          <w:p>
            <w:pPr>
              <w:jc w:val="right"/>
              <w:spacing w:after="0"/>
              <w:rPr>
                <w:sz w:val="20"/>
                <w:szCs w:val="20"/>
                <w:color w:val="auto"/>
              </w:rPr>
            </w:pPr>
            <w:r>
              <w:rPr>
                <w:rFonts w:ascii="Arial" w:cs="Arial" w:eastAsia="Arial" w:hAnsi="Arial"/>
                <w:sz w:val="18"/>
                <w:szCs w:val="18"/>
                <w:color w:val="auto"/>
              </w:rPr>
              <w:t>(28 )</w:t>
            </w:r>
          </w:p>
        </w:tc>
        <w:tc>
          <w:tcPr>
            <w:tcW w:w="1380" w:type="dxa"/>
            <w:vAlign w:val="bottom"/>
          </w:tcPr>
          <w:p>
            <w:pPr>
              <w:jc w:val="right"/>
              <w:spacing w:after="0"/>
              <w:rPr>
                <w:sz w:val="20"/>
                <w:szCs w:val="20"/>
                <w:color w:val="auto"/>
              </w:rPr>
            </w:pPr>
            <w:r>
              <w:rPr>
                <w:rFonts w:ascii="Arial" w:cs="Arial" w:eastAsia="Arial" w:hAnsi="Arial"/>
                <w:sz w:val="18"/>
                <w:szCs w:val="18"/>
                <w:color w:val="auto"/>
              </w:rPr>
              <w:t>(358 )</w:t>
            </w: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6,160</w:t>
            </w:r>
          </w:p>
        </w:tc>
      </w:tr>
      <w:tr>
        <w:trPr>
          <w:trHeight w:val="249"/>
        </w:trPr>
        <w:tc>
          <w:tcPr>
            <w:tcW w:w="3440" w:type="dxa"/>
            <w:vAlign w:val="bottom"/>
            <w:shd w:val="clear" w:color="auto" w:fill="CCFFCC"/>
          </w:tcPr>
          <w:p>
            <w:pPr>
              <w:spacing w:after="0"/>
              <w:rPr>
                <w:sz w:val="20"/>
                <w:szCs w:val="20"/>
                <w:color w:val="auto"/>
              </w:rPr>
            </w:pPr>
            <w:r>
              <w:rPr>
                <w:rFonts w:ascii="Arial" w:cs="Arial" w:eastAsia="Arial" w:hAnsi="Arial"/>
                <w:sz w:val="18"/>
                <w:szCs w:val="18"/>
                <w:color w:val="auto"/>
              </w:rPr>
              <w:t>Net income</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$ 1,406</w:t>
            </w:r>
          </w:p>
        </w:tc>
        <w:tc>
          <w:tcPr>
            <w:tcW w:w="140" w:type="dxa"/>
            <w:vAlign w:val="bottom"/>
            <w:shd w:val="clear" w:color="auto" w:fill="CCFFCC"/>
          </w:tcPr>
          <w:p>
            <w:pPr>
              <w:spacing w:after="0"/>
              <w:rPr>
                <w:sz w:val="21"/>
                <w:szCs w:val="21"/>
                <w:color w:val="auto"/>
              </w:rPr>
            </w:pPr>
          </w:p>
        </w:tc>
        <w:tc>
          <w:tcPr>
            <w:tcW w:w="940" w:type="dxa"/>
            <w:vAlign w:val="bottom"/>
            <w:shd w:val="clear" w:color="auto" w:fill="CCFFCC"/>
          </w:tcPr>
          <w:p>
            <w:pPr>
              <w:spacing w:after="0"/>
              <w:rPr>
                <w:sz w:val="21"/>
                <w:szCs w:val="21"/>
                <w:color w:val="auto"/>
              </w:rPr>
            </w:pPr>
          </w:p>
        </w:tc>
        <w:tc>
          <w:tcPr>
            <w:tcW w:w="92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1,406</w:t>
            </w:r>
          </w:p>
        </w:tc>
        <w:tc>
          <w:tcPr>
            <w:tcW w:w="1280" w:type="dxa"/>
            <w:vAlign w:val="bottom"/>
            <w:shd w:val="clear" w:color="auto" w:fill="CCFFCC"/>
          </w:tcPr>
          <w:p>
            <w:pPr>
              <w:spacing w:after="0"/>
              <w:rPr>
                <w:sz w:val="21"/>
                <w:szCs w:val="21"/>
                <w:color w:val="auto"/>
              </w:rPr>
            </w:pPr>
          </w:p>
        </w:tc>
        <w:tc>
          <w:tcPr>
            <w:tcW w:w="1380" w:type="dxa"/>
            <w:vAlign w:val="bottom"/>
            <w:shd w:val="clear" w:color="auto" w:fill="CCFFCC"/>
          </w:tcPr>
          <w:p>
            <w:pPr>
              <w:spacing w:after="0"/>
              <w:rPr>
                <w:sz w:val="21"/>
                <w:szCs w:val="21"/>
                <w:color w:val="auto"/>
              </w:rPr>
            </w:pPr>
          </w:p>
        </w:tc>
        <w:tc>
          <w:tcPr>
            <w:tcW w:w="122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1,406</w:t>
            </w:r>
          </w:p>
        </w:tc>
      </w:tr>
      <w:tr>
        <w:trPr>
          <w:trHeight w:val="237"/>
        </w:trPr>
        <w:tc>
          <w:tcPr>
            <w:tcW w:w="3440" w:type="dxa"/>
            <w:vAlign w:val="bottom"/>
          </w:tcPr>
          <w:p>
            <w:pPr>
              <w:spacing w:after="0"/>
              <w:rPr>
                <w:sz w:val="20"/>
                <w:szCs w:val="20"/>
                <w:color w:val="auto"/>
              </w:rPr>
            </w:pPr>
            <w:r>
              <w:rPr>
                <w:rFonts w:ascii="Arial" w:cs="Arial" w:eastAsia="Arial" w:hAnsi="Arial"/>
                <w:sz w:val="18"/>
                <w:szCs w:val="18"/>
                <w:color w:val="auto"/>
              </w:rPr>
              <w:t>Comprehensive income adjustments:</w:t>
            </w: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49"/>
        </w:trPr>
        <w:tc>
          <w:tcPr>
            <w:tcW w:w="3440" w:type="dxa"/>
            <w:vAlign w:val="bottom"/>
            <w:shd w:val="clear" w:color="auto" w:fill="CCFFCC"/>
          </w:tcPr>
          <w:p>
            <w:pPr>
              <w:ind w:left="240"/>
              <w:spacing w:after="0"/>
              <w:rPr>
                <w:sz w:val="20"/>
                <w:szCs w:val="20"/>
                <w:color w:val="auto"/>
              </w:rPr>
            </w:pPr>
            <w:r>
              <w:rPr>
                <w:rFonts w:ascii="Arial" w:cs="Arial" w:eastAsia="Arial" w:hAnsi="Arial"/>
                <w:sz w:val="18"/>
                <w:szCs w:val="18"/>
                <w:color w:val="auto"/>
                <w:w w:val="97"/>
              </w:rPr>
              <w:t>Foreign currency translation adjustments</w:t>
            </w:r>
          </w:p>
        </w:tc>
        <w:tc>
          <w:tcPr>
            <w:tcW w:w="13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(12 )</w:t>
            </w:r>
          </w:p>
        </w:tc>
        <w:tc>
          <w:tcPr>
            <w:tcW w:w="940" w:type="dxa"/>
            <w:vAlign w:val="bottom"/>
            <w:shd w:val="clear" w:color="auto" w:fill="CCFFCC"/>
          </w:tcPr>
          <w:p>
            <w:pPr>
              <w:spacing w:after="0"/>
              <w:rPr>
                <w:sz w:val="21"/>
                <w:szCs w:val="21"/>
                <w:color w:val="auto"/>
              </w:rPr>
            </w:pPr>
          </w:p>
        </w:tc>
        <w:tc>
          <w:tcPr>
            <w:tcW w:w="920" w:type="dxa"/>
            <w:vAlign w:val="bottom"/>
            <w:shd w:val="clear" w:color="auto" w:fill="CCFFCC"/>
          </w:tcPr>
          <w:p>
            <w:pPr>
              <w:spacing w:after="0"/>
              <w:rPr>
                <w:sz w:val="21"/>
                <w:szCs w:val="21"/>
                <w:color w:val="auto"/>
              </w:rPr>
            </w:pPr>
          </w:p>
        </w:tc>
        <w:tc>
          <w:tcPr>
            <w:tcW w:w="1280" w:type="dxa"/>
            <w:vAlign w:val="bottom"/>
            <w:shd w:val="clear" w:color="auto" w:fill="CCFFCC"/>
          </w:tcPr>
          <w:p>
            <w:pPr>
              <w:spacing w:after="0"/>
              <w:rPr>
                <w:sz w:val="21"/>
                <w:szCs w:val="21"/>
                <w:color w:val="auto"/>
              </w:rPr>
            </w:pP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(12 )</w:t>
            </w: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(12 )</w:t>
            </w:r>
          </w:p>
        </w:tc>
      </w:tr>
      <w:tr>
        <w:trPr>
          <w:trHeight w:val="237"/>
        </w:trPr>
        <w:tc>
          <w:tcPr>
            <w:tcW w:w="3440" w:type="dxa"/>
            <w:vAlign w:val="bottom"/>
          </w:tcPr>
          <w:p>
            <w:pPr>
              <w:ind w:left="220"/>
              <w:spacing w:after="0"/>
              <w:rPr>
                <w:sz w:val="20"/>
                <w:szCs w:val="20"/>
                <w:color w:val="auto"/>
              </w:rPr>
            </w:pPr>
            <w:r>
              <w:rPr>
                <w:rFonts w:ascii="Arial" w:cs="Arial" w:eastAsia="Arial" w:hAnsi="Arial"/>
                <w:sz w:val="18"/>
                <w:szCs w:val="18"/>
                <w:color w:val="auto"/>
              </w:rPr>
              <w:t>Available-for-sale securities</w:t>
            </w:r>
          </w:p>
        </w:tc>
        <w:tc>
          <w:tcPr>
            <w:tcW w:w="1160" w:type="dxa"/>
            <w:vAlign w:val="bottom"/>
          </w:tcPr>
          <w:p>
            <w:pPr>
              <w:jc w:val="right"/>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18</w:t>
            </w: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18</w:t>
            </w:r>
          </w:p>
        </w:tc>
      </w:tr>
      <w:tr>
        <w:trPr>
          <w:trHeight w:val="249"/>
        </w:trPr>
        <w:tc>
          <w:tcPr>
            <w:tcW w:w="3440" w:type="dxa"/>
            <w:vAlign w:val="bottom"/>
            <w:shd w:val="clear" w:color="auto" w:fill="CCFFCC"/>
          </w:tcPr>
          <w:p>
            <w:pPr>
              <w:ind w:left="240"/>
              <w:spacing w:after="0"/>
              <w:rPr>
                <w:sz w:val="20"/>
                <w:szCs w:val="20"/>
                <w:color w:val="auto"/>
              </w:rPr>
            </w:pPr>
            <w:r>
              <w:rPr>
                <w:rFonts w:ascii="Arial" w:cs="Arial" w:eastAsia="Arial" w:hAnsi="Arial"/>
                <w:sz w:val="18"/>
                <w:szCs w:val="18"/>
                <w:color w:val="auto"/>
              </w:rPr>
              <w:t>Pension adjustment</w:t>
            </w:r>
          </w:p>
        </w:tc>
        <w:tc>
          <w:tcPr>
            <w:tcW w:w="13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(7 )</w:t>
            </w:r>
          </w:p>
        </w:tc>
        <w:tc>
          <w:tcPr>
            <w:tcW w:w="940" w:type="dxa"/>
            <w:vAlign w:val="bottom"/>
            <w:shd w:val="clear" w:color="auto" w:fill="CCFFCC"/>
          </w:tcPr>
          <w:p>
            <w:pPr>
              <w:spacing w:after="0"/>
              <w:rPr>
                <w:sz w:val="21"/>
                <w:szCs w:val="21"/>
                <w:color w:val="auto"/>
              </w:rPr>
            </w:pPr>
          </w:p>
        </w:tc>
        <w:tc>
          <w:tcPr>
            <w:tcW w:w="920" w:type="dxa"/>
            <w:vAlign w:val="bottom"/>
            <w:shd w:val="clear" w:color="auto" w:fill="CCFFCC"/>
          </w:tcPr>
          <w:p>
            <w:pPr>
              <w:spacing w:after="0"/>
              <w:rPr>
                <w:sz w:val="21"/>
                <w:szCs w:val="21"/>
                <w:color w:val="auto"/>
              </w:rPr>
            </w:pPr>
          </w:p>
        </w:tc>
        <w:tc>
          <w:tcPr>
            <w:tcW w:w="1280" w:type="dxa"/>
            <w:vAlign w:val="bottom"/>
            <w:shd w:val="clear" w:color="auto" w:fill="CCFFCC"/>
          </w:tcPr>
          <w:p>
            <w:pPr>
              <w:spacing w:after="0"/>
              <w:rPr>
                <w:sz w:val="21"/>
                <w:szCs w:val="21"/>
                <w:color w:val="auto"/>
              </w:rPr>
            </w:pP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(7 )</w:t>
            </w: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(7 )</w:t>
            </w:r>
          </w:p>
        </w:tc>
      </w:tr>
      <w:tr>
        <w:trPr>
          <w:trHeight w:val="243"/>
        </w:trPr>
        <w:tc>
          <w:tcPr>
            <w:tcW w:w="3440" w:type="dxa"/>
            <w:vAlign w:val="bottom"/>
          </w:tcPr>
          <w:p>
            <w:pPr>
              <w:ind w:left="240"/>
              <w:spacing w:after="0"/>
              <w:rPr>
                <w:sz w:val="20"/>
                <w:szCs w:val="20"/>
                <w:color w:val="auto"/>
              </w:rPr>
            </w:pPr>
            <w:r>
              <w:rPr>
                <w:rFonts w:ascii="Arial" w:cs="Arial" w:eastAsia="Arial" w:hAnsi="Arial"/>
                <w:sz w:val="18"/>
                <w:szCs w:val="18"/>
                <w:color w:val="auto"/>
              </w:rPr>
              <w:t>Financial instruments</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8</w:t>
            </w: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8</w:t>
            </w:r>
          </w:p>
        </w:tc>
      </w:tr>
      <w:tr>
        <w:trPr>
          <w:trHeight w:val="237"/>
        </w:trPr>
        <w:tc>
          <w:tcPr>
            <w:tcW w:w="34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Comprehensive income</w:t>
            </w:r>
          </w:p>
        </w:tc>
        <w:tc>
          <w:tcPr>
            <w:tcW w:w="11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$ 1,413</w:t>
            </w:r>
          </w:p>
        </w:tc>
        <w:tc>
          <w:tcPr>
            <w:tcW w:w="140" w:type="dxa"/>
            <w:vAlign w:val="bottom"/>
            <w:tcBorders>
              <w:bottom w:val="single" w:sz="8" w:color="CCFFCC"/>
            </w:tcBorders>
            <w:shd w:val="clear" w:color="auto" w:fill="CCFFCC"/>
          </w:tcPr>
          <w:p>
            <w:pPr>
              <w:spacing w:after="0"/>
              <w:rPr>
                <w:sz w:val="20"/>
                <w:szCs w:val="20"/>
                <w:color w:val="auto"/>
              </w:rPr>
            </w:pPr>
          </w:p>
        </w:tc>
        <w:tc>
          <w:tcPr>
            <w:tcW w:w="940" w:type="dxa"/>
            <w:vAlign w:val="bottom"/>
            <w:tcBorders>
              <w:bottom w:val="single" w:sz="8" w:color="CCFFCC"/>
            </w:tcBorders>
            <w:shd w:val="clear" w:color="auto" w:fill="CCFFCC"/>
          </w:tcPr>
          <w:p>
            <w:pPr>
              <w:spacing w:after="0"/>
              <w:rPr>
                <w:sz w:val="20"/>
                <w:szCs w:val="20"/>
                <w:color w:val="auto"/>
              </w:rPr>
            </w:pPr>
          </w:p>
        </w:tc>
        <w:tc>
          <w:tcPr>
            <w:tcW w:w="920" w:type="dxa"/>
            <w:vAlign w:val="bottom"/>
            <w:tcBorders>
              <w:bottom w:val="single" w:sz="8" w:color="CCFFCC"/>
            </w:tcBorders>
            <w:shd w:val="clear" w:color="auto" w:fill="CCFFCC"/>
          </w:tcPr>
          <w:p>
            <w:pPr>
              <w:spacing w:after="0"/>
              <w:rPr>
                <w:sz w:val="20"/>
                <w:szCs w:val="20"/>
                <w:color w:val="auto"/>
              </w:rPr>
            </w:pPr>
          </w:p>
        </w:tc>
        <w:tc>
          <w:tcPr>
            <w:tcW w:w="1280" w:type="dxa"/>
            <w:vAlign w:val="bottom"/>
            <w:tcBorders>
              <w:bottom w:val="single" w:sz="8" w:color="CCFFCC"/>
            </w:tcBorders>
            <w:shd w:val="clear" w:color="auto" w:fill="CCFFCC"/>
          </w:tcPr>
          <w:p>
            <w:pPr>
              <w:spacing w:after="0"/>
              <w:rPr>
                <w:sz w:val="20"/>
                <w:szCs w:val="20"/>
                <w:color w:val="auto"/>
              </w:rPr>
            </w:pPr>
          </w:p>
        </w:tc>
        <w:tc>
          <w:tcPr>
            <w:tcW w:w="1380" w:type="dxa"/>
            <w:vAlign w:val="bottom"/>
            <w:tcBorders>
              <w:bottom w:val="single" w:sz="8" w:color="CCFFCC"/>
            </w:tcBorders>
            <w:shd w:val="clear" w:color="auto" w:fill="CCFFCC"/>
          </w:tcPr>
          <w:p>
            <w:pPr>
              <w:spacing w:after="0"/>
              <w:rPr>
                <w:sz w:val="20"/>
                <w:szCs w:val="20"/>
                <w:color w:val="auto"/>
              </w:rPr>
            </w:pPr>
          </w:p>
        </w:tc>
        <w:tc>
          <w:tcPr>
            <w:tcW w:w="1220" w:type="dxa"/>
            <w:vAlign w:val="bottom"/>
            <w:tcBorders>
              <w:bottom w:val="single" w:sz="8" w:color="CCFFCC"/>
            </w:tcBorders>
            <w:shd w:val="clear" w:color="auto" w:fill="CCFFCC"/>
          </w:tcPr>
          <w:p>
            <w:pPr>
              <w:spacing w:after="0"/>
              <w:rPr>
                <w:sz w:val="20"/>
                <w:szCs w:val="20"/>
                <w:color w:val="auto"/>
              </w:rPr>
            </w:pP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Adoption of FASB Statement No. 158</w:t>
            </w: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(39 )</w:t>
            </w:r>
          </w:p>
        </w:tc>
        <w:tc>
          <w:tcPr>
            <w:tcW w:w="1220" w:type="dxa"/>
            <w:vAlign w:val="bottom"/>
          </w:tcPr>
          <w:p>
            <w:pPr>
              <w:jc w:val="right"/>
              <w:spacing w:after="0"/>
              <w:rPr>
                <w:sz w:val="20"/>
                <w:szCs w:val="20"/>
                <w:color w:val="auto"/>
              </w:rPr>
            </w:pPr>
            <w:r>
              <w:rPr>
                <w:rFonts w:ascii="Arial" w:cs="Arial" w:eastAsia="Arial" w:hAnsi="Arial"/>
                <w:sz w:val="18"/>
                <w:szCs w:val="18"/>
                <w:color w:val="auto"/>
              </w:rPr>
              <w:t>(39 )</w:t>
            </w:r>
          </w:p>
        </w:tc>
      </w:tr>
      <w:tr>
        <w:trPr>
          <w:trHeight w:val="249"/>
        </w:trPr>
        <w:tc>
          <w:tcPr>
            <w:tcW w:w="3440" w:type="dxa"/>
            <w:vAlign w:val="bottom"/>
            <w:shd w:val="clear" w:color="auto" w:fill="CCFFCC"/>
          </w:tcPr>
          <w:p>
            <w:pPr>
              <w:spacing w:after="0"/>
              <w:rPr>
                <w:sz w:val="20"/>
                <w:szCs w:val="20"/>
                <w:color w:val="auto"/>
              </w:rPr>
            </w:pPr>
            <w:r>
              <w:rPr>
                <w:rFonts w:ascii="Arial" w:cs="Arial" w:eastAsia="Arial" w:hAnsi="Arial"/>
                <w:sz w:val="18"/>
                <w:szCs w:val="18"/>
                <w:color w:val="auto"/>
              </w:rPr>
              <w:t>Adoption of FASB Statement No. 123(R)</w:t>
            </w:r>
          </w:p>
        </w:tc>
        <w:tc>
          <w:tcPr>
            <w:tcW w:w="116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94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rPr>
              <w:t>96</w:t>
            </w:r>
          </w:p>
        </w:tc>
        <w:tc>
          <w:tcPr>
            <w:tcW w:w="920" w:type="dxa"/>
            <w:vAlign w:val="bottom"/>
            <w:shd w:val="clear" w:color="auto" w:fill="CCFFCC"/>
          </w:tcPr>
          <w:p>
            <w:pPr>
              <w:spacing w:after="0"/>
              <w:rPr>
                <w:sz w:val="21"/>
                <w:szCs w:val="21"/>
                <w:color w:val="auto"/>
              </w:rPr>
            </w:pPr>
          </w:p>
        </w:tc>
        <w:tc>
          <w:tcPr>
            <w:tcW w:w="1280" w:type="dxa"/>
            <w:vAlign w:val="bottom"/>
            <w:shd w:val="clear" w:color="auto" w:fill="CCFFCC"/>
          </w:tcPr>
          <w:p>
            <w:pPr>
              <w:spacing w:after="0"/>
              <w:rPr>
                <w:sz w:val="21"/>
                <w:szCs w:val="21"/>
                <w:color w:val="auto"/>
              </w:rPr>
            </w:pPr>
          </w:p>
        </w:tc>
        <w:tc>
          <w:tcPr>
            <w:tcW w:w="1380" w:type="dxa"/>
            <w:vAlign w:val="bottom"/>
            <w:shd w:val="clear" w:color="auto" w:fill="CCFFCC"/>
          </w:tcPr>
          <w:p>
            <w:pPr>
              <w:spacing w:after="0"/>
              <w:rPr>
                <w:sz w:val="21"/>
                <w:szCs w:val="21"/>
                <w:color w:val="auto"/>
              </w:rPr>
            </w:pPr>
          </w:p>
        </w:tc>
        <w:tc>
          <w:tcPr>
            <w:tcW w:w="122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96</w:t>
            </w:r>
          </w:p>
        </w:tc>
      </w:tr>
      <w:tr>
        <w:trPr>
          <w:trHeight w:val="237"/>
        </w:trPr>
        <w:tc>
          <w:tcPr>
            <w:tcW w:w="3440" w:type="dxa"/>
            <w:vAlign w:val="bottom"/>
          </w:tcPr>
          <w:p>
            <w:pPr>
              <w:spacing w:after="0"/>
              <w:rPr>
                <w:sz w:val="20"/>
                <w:szCs w:val="20"/>
                <w:color w:val="auto"/>
              </w:rPr>
            </w:pPr>
            <w:r>
              <w:rPr>
                <w:rFonts w:ascii="Arial" w:cs="Arial" w:eastAsia="Arial" w:hAnsi="Arial"/>
                <w:sz w:val="18"/>
                <w:szCs w:val="18"/>
                <w:color w:val="auto"/>
              </w:rPr>
              <w:t>Common stock dividends declared</w:t>
            </w: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(313 )</w:t>
            </w:r>
          </w:p>
        </w:tc>
        <w:tc>
          <w:tcPr>
            <w:tcW w:w="1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(313 )</w:t>
            </w:r>
          </w:p>
        </w:tc>
      </w:tr>
      <w:tr>
        <w:trPr>
          <w:trHeight w:val="249"/>
        </w:trPr>
        <w:tc>
          <w:tcPr>
            <w:tcW w:w="3440" w:type="dxa"/>
            <w:vAlign w:val="bottom"/>
            <w:shd w:val="clear" w:color="auto" w:fill="CCFFCC"/>
          </w:tcPr>
          <w:p>
            <w:pPr>
              <w:spacing w:after="0"/>
              <w:rPr>
                <w:sz w:val="20"/>
                <w:szCs w:val="20"/>
                <w:color w:val="auto"/>
              </w:rPr>
            </w:pPr>
            <w:r>
              <w:rPr>
                <w:rFonts w:ascii="Arial" w:cs="Arial" w:eastAsia="Arial" w:hAnsi="Arial"/>
                <w:sz w:val="18"/>
                <w:szCs w:val="18"/>
                <w:color w:val="auto"/>
              </w:rPr>
              <w:t>Quasi-reorganization adjustment</w:t>
            </w:r>
          </w:p>
        </w:tc>
        <w:tc>
          <w:tcPr>
            <w:tcW w:w="116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94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rPr>
              <w:t>13</w:t>
            </w:r>
          </w:p>
        </w:tc>
        <w:tc>
          <w:tcPr>
            <w:tcW w:w="920" w:type="dxa"/>
            <w:vAlign w:val="bottom"/>
            <w:shd w:val="clear" w:color="auto" w:fill="CCFFCC"/>
          </w:tcPr>
          <w:p>
            <w:pPr>
              <w:spacing w:after="0"/>
              <w:rPr>
                <w:sz w:val="21"/>
                <w:szCs w:val="21"/>
                <w:color w:val="auto"/>
              </w:rPr>
            </w:pPr>
          </w:p>
        </w:tc>
        <w:tc>
          <w:tcPr>
            <w:tcW w:w="1280" w:type="dxa"/>
            <w:vAlign w:val="bottom"/>
            <w:shd w:val="clear" w:color="auto" w:fill="CCFFCC"/>
          </w:tcPr>
          <w:p>
            <w:pPr>
              <w:spacing w:after="0"/>
              <w:rPr>
                <w:sz w:val="21"/>
                <w:szCs w:val="21"/>
                <w:color w:val="auto"/>
              </w:rPr>
            </w:pPr>
          </w:p>
        </w:tc>
        <w:tc>
          <w:tcPr>
            <w:tcW w:w="1380" w:type="dxa"/>
            <w:vAlign w:val="bottom"/>
            <w:shd w:val="clear" w:color="auto" w:fill="CCFFCC"/>
          </w:tcPr>
          <w:p>
            <w:pPr>
              <w:spacing w:after="0"/>
              <w:rPr>
                <w:sz w:val="21"/>
                <w:szCs w:val="21"/>
                <w:color w:val="auto"/>
              </w:rPr>
            </w:pPr>
          </w:p>
        </w:tc>
        <w:tc>
          <w:tcPr>
            <w:tcW w:w="122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13</w:t>
            </w:r>
          </w:p>
        </w:tc>
      </w:tr>
      <w:tr>
        <w:trPr>
          <w:trHeight w:val="237"/>
        </w:trPr>
        <w:tc>
          <w:tcPr>
            <w:tcW w:w="3440" w:type="dxa"/>
            <w:vAlign w:val="bottom"/>
          </w:tcPr>
          <w:p>
            <w:pPr>
              <w:spacing w:after="0"/>
              <w:rPr>
                <w:sz w:val="20"/>
                <w:szCs w:val="20"/>
                <w:color w:val="auto"/>
              </w:rPr>
            </w:pPr>
            <w:r>
              <w:rPr>
                <w:rFonts w:ascii="Arial" w:cs="Arial" w:eastAsia="Arial" w:hAnsi="Arial"/>
                <w:sz w:val="18"/>
                <w:szCs w:val="18"/>
                <w:color w:val="auto"/>
              </w:rPr>
              <w:t>Issuance of common stock</w:t>
            </w: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175</w:t>
            </w:r>
          </w:p>
        </w:tc>
        <w:tc>
          <w:tcPr>
            <w:tcW w:w="9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175</w:t>
            </w:r>
          </w:p>
        </w:tc>
      </w:tr>
      <w:tr>
        <w:trPr>
          <w:trHeight w:val="249"/>
        </w:trPr>
        <w:tc>
          <w:tcPr>
            <w:tcW w:w="3440" w:type="dxa"/>
            <w:vAlign w:val="bottom"/>
            <w:shd w:val="clear" w:color="auto" w:fill="CCFFCC"/>
          </w:tcPr>
          <w:p>
            <w:pPr>
              <w:spacing w:after="0"/>
              <w:rPr>
                <w:sz w:val="20"/>
                <w:szCs w:val="20"/>
                <w:color w:val="auto"/>
              </w:rPr>
            </w:pPr>
            <w:r>
              <w:rPr>
                <w:rFonts w:ascii="Arial" w:cs="Arial" w:eastAsia="Arial" w:hAnsi="Arial"/>
                <w:sz w:val="18"/>
                <w:szCs w:val="18"/>
                <w:color w:val="auto"/>
                <w:w w:val="94"/>
              </w:rPr>
              <w:t>Tax benefit related to employee stock options</w:t>
            </w:r>
          </w:p>
        </w:tc>
        <w:tc>
          <w:tcPr>
            <w:tcW w:w="116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94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rPr>
              <w:t>32</w:t>
            </w:r>
          </w:p>
        </w:tc>
        <w:tc>
          <w:tcPr>
            <w:tcW w:w="920" w:type="dxa"/>
            <w:vAlign w:val="bottom"/>
            <w:shd w:val="clear" w:color="auto" w:fill="CCFFCC"/>
          </w:tcPr>
          <w:p>
            <w:pPr>
              <w:spacing w:after="0"/>
              <w:rPr>
                <w:sz w:val="21"/>
                <w:szCs w:val="21"/>
                <w:color w:val="auto"/>
              </w:rPr>
            </w:pPr>
          </w:p>
        </w:tc>
        <w:tc>
          <w:tcPr>
            <w:tcW w:w="1280" w:type="dxa"/>
            <w:vAlign w:val="bottom"/>
            <w:shd w:val="clear" w:color="auto" w:fill="CCFFCC"/>
          </w:tcPr>
          <w:p>
            <w:pPr>
              <w:spacing w:after="0"/>
              <w:rPr>
                <w:sz w:val="21"/>
                <w:szCs w:val="21"/>
                <w:color w:val="auto"/>
              </w:rPr>
            </w:pPr>
          </w:p>
        </w:tc>
        <w:tc>
          <w:tcPr>
            <w:tcW w:w="1380" w:type="dxa"/>
            <w:vAlign w:val="bottom"/>
            <w:shd w:val="clear" w:color="auto" w:fill="CCFFCC"/>
          </w:tcPr>
          <w:p>
            <w:pPr>
              <w:spacing w:after="0"/>
              <w:rPr>
                <w:sz w:val="21"/>
                <w:szCs w:val="21"/>
                <w:color w:val="auto"/>
              </w:rPr>
            </w:pPr>
          </w:p>
        </w:tc>
        <w:tc>
          <w:tcPr>
            <w:tcW w:w="122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32</w:t>
            </w:r>
          </w:p>
        </w:tc>
      </w:tr>
      <w:tr>
        <w:trPr>
          <w:trHeight w:val="237"/>
        </w:trPr>
        <w:tc>
          <w:tcPr>
            <w:tcW w:w="3440" w:type="dxa"/>
            <w:vAlign w:val="bottom"/>
          </w:tcPr>
          <w:p>
            <w:pPr>
              <w:spacing w:after="0"/>
              <w:rPr>
                <w:sz w:val="20"/>
                <w:szCs w:val="20"/>
                <w:color w:val="auto"/>
              </w:rPr>
            </w:pPr>
            <w:r>
              <w:rPr>
                <w:rFonts w:ascii="Arial" w:cs="Arial" w:eastAsia="Arial" w:hAnsi="Arial"/>
                <w:sz w:val="18"/>
                <w:szCs w:val="18"/>
                <w:color w:val="auto"/>
              </w:rPr>
              <w:t>Repurchase of common stock</w:t>
            </w: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(37 )</w:t>
            </w:r>
          </w:p>
        </w:tc>
        <w:tc>
          <w:tcPr>
            <w:tcW w:w="9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(37 )</w:t>
            </w:r>
          </w:p>
        </w:tc>
      </w:tr>
      <w:tr>
        <w:trPr>
          <w:trHeight w:val="249"/>
        </w:trPr>
        <w:tc>
          <w:tcPr>
            <w:tcW w:w="34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Common stock released from ESOP</w:t>
            </w:r>
          </w:p>
        </w:tc>
        <w:tc>
          <w:tcPr>
            <w:tcW w:w="116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940" w:type="dxa"/>
            <w:vAlign w:val="bottom"/>
            <w:tcBorders>
              <w:bottom w:val="single" w:sz="8" w:color="auto"/>
            </w:tcBorders>
            <w:shd w:val="clear" w:color="auto" w:fill="CCFFCC"/>
          </w:tcPr>
          <w:p>
            <w:pPr>
              <w:jc w:val="right"/>
              <w:ind w:right="130"/>
              <w:spacing w:after="0"/>
              <w:rPr>
                <w:sz w:val="20"/>
                <w:szCs w:val="20"/>
                <w:color w:val="auto"/>
              </w:rPr>
            </w:pPr>
            <w:r>
              <w:rPr>
                <w:rFonts w:ascii="Arial" w:cs="Arial" w:eastAsia="Arial" w:hAnsi="Arial"/>
                <w:sz w:val="18"/>
                <w:szCs w:val="18"/>
                <w:color w:val="auto"/>
              </w:rPr>
              <w:t>8</w:t>
            </w:r>
          </w:p>
        </w:tc>
        <w:tc>
          <w:tcPr>
            <w:tcW w:w="920" w:type="dxa"/>
            <w:vAlign w:val="bottom"/>
            <w:tcBorders>
              <w:bottom w:val="single" w:sz="8" w:color="auto"/>
            </w:tcBorders>
            <w:shd w:val="clear" w:color="auto" w:fill="CCFFCC"/>
          </w:tcPr>
          <w:p>
            <w:pPr>
              <w:spacing w:after="0"/>
              <w:rPr>
                <w:sz w:val="21"/>
                <w:szCs w:val="21"/>
                <w:color w:val="auto"/>
              </w:rPr>
            </w:pPr>
          </w:p>
        </w:tc>
        <w:tc>
          <w:tcPr>
            <w:tcW w:w="1280" w:type="dxa"/>
            <w:vAlign w:val="bottom"/>
            <w:tcBorders>
              <w:bottom w:val="single" w:sz="8" w:color="auto"/>
            </w:tcBorders>
            <w:shd w:val="clear" w:color="auto" w:fill="CCFFCC"/>
          </w:tcPr>
          <w:p>
            <w:pPr>
              <w:jc w:val="right"/>
              <w:ind w:right="70"/>
              <w:spacing w:after="0"/>
              <w:rPr>
                <w:sz w:val="20"/>
                <w:szCs w:val="20"/>
                <w:color w:val="auto"/>
              </w:rPr>
            </w:pPr>
            <w:r>
              <w:rPr>
                <w:rFonts w:ascii="Arial" w:cs="Arial" w:eastAsia="Arial" w:hAnsi="Arial"/>
                <w:sz w:val="18"/>
                <w:szCs w:val="18"/>
                <w:color w:val="auto"/>
              </w:rPr>
              <w:t>3</w:t>
            </w:r>
          </w:p>
        </w:tc>
        <w:tc>
          <w:tcPr>
            <w:tcW w:w="1380" w:type="dxa"/>
            <w:vAlign w:val="bottom"/>
            <w:tcBorders>
              <w:bottom w:val="single" w:sz="8" w:color="auto"/>
            </w:tcBorders>
            <w:shd w:val="clear" w:color="auto" w:fill="CCFFCC"/>
          </w:tcPr>
          <w:p>
            <w:pPr>
              <w:spacing w:after="0"/>
              <w:rPr>
                <w:sz w:val="21"/>
                <w:szCs w:val="21"/>
                <w:color w:val="auto"/>
              </w:rPr>
            </w:pPr>
          </w:p>
        </w:tc>
        <w:tc>
          <w:tcPr>
            <w:tcW w:w="1220" w:type="dxa"/>
            <w:vAlign w:val="bottom"/>
            <w:tcBorders>
              <w:bottom w:val="single" w:sz="8" w:color="auto"/>
            </w:tcBorders>
            <w:shd w:val="clear" w:color="auto" w:fill="CCFFCC"/>
          </w:tcPr>
          <w:p>
            <w:pPr>
              <w:jc w:val="right"/>
              <w:ind w:right="70"/>
              <w:spacing w:after="0"/>
              <w:rPr>
                <w:sz w:val="20"/>
                <w:szCs w:val="20"/>
                <w:color w:val="auto"/>
              </w:rPr>
            </w:pPr>
            <w:r>
              <w:rPr>
                <w:rFonts w:ascii="Arial" w:cs="Arial" w:eastAsia="Arial" w:hAnsi="Arial"/>
                <w:sz w:val="18"/>
                <w:szCs w:val="18"/>
                <w:color w:val="auto"/>
              </w:rPr>
              <w:t>11</w:t>
            </w: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Balance at December 31, 2006</w:t>
            </w: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3,245</w:t>
            </w: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4,681</w:t>
            </w:r>
          </w:p>
        </w:tc>
        <w:tc>
          <w:tcPr>
            <w:tcW w:w="1280" w:type="dxa"/>
            <w:vAlign w:val="bottom"/>
          </w:tcPr>
          <w:p>
            <w:pPr>
              <w:jc w:val="right"/>
              <w:spacing w:after="0"/>
              <w:rPr>
                <w:sz w:val="20"/>
                <w:szCs w:val="20"/>
                <w:color w:val="auto"/>
              </w:rPr>
            </w:pPr>
            <w:r>
              <w:rPr>
                <w:rFonts w:ascii="Arial" w:cs="Arial" w:eastAsia="Arial" w:hAnsi="Arial"/>
                <w:sz w:val="18"/>
                <w:szCs w:val="18"/>
                <w:color w:val="auto"/>
              </w:rPr>
              <w:t>(25 )</w:t>
            </w:r>
          </w:p>
        </w:tc>
        <w:tc>
          <w:tcPr>
            <w:tcW w:w="1380" w:type="dxa"/>
            <w:vAlign w:val="bottom"/>
          </w:tcPr>
          <w:p>
            <w:pPr>
              <w:jc w:val="right"/>
              <w:spacing w:after="0"/>
              <w:rPr>
                <w:sz w:val="20"/>
                <w:szCs w:val="20"/>
                <w:color w:val="auto"/>
              </w:rPr>
            </w:pPr>
            <w:r>
              <w:rPr>
                <w:rFonts w:ascii="Arial" w:cs="Arial" w:eastAsia="Arial" w:hAnsi="Arial"/>
                <w:sz w:val="18"/>
                <w:szCs w:val="18"/>
                <w:color w:val="auto"/>
              </w:rPr>
              <w:t>(390 )</w:t>
            </w: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7,511</w:t>
            </w:r>
          </w:p>
        </w:tc>
      </w:tr>
      <w:tr>
        <w:trPr>
          <w:trHeight w:val="249"/>
        </w:trPr>
        <w:tc>
          <w:tcPr>
            <w:tcW w:w="3440" w:type="dxa"/>
            <w:vAlign w:val="bottom"/>
            <w:shd w:val="clear" w:color="auto" w:fill="CCFFCC"/>
          </w:tcPr>
          <w:p>
            <w:pPr>
              <w:spacing w:after="0"/>
              <w:rPr>
                <w:sz w:val="20"/>
                <w:szCs w:val="20"/>
                <w:color w:val="auto"/>
              </w:rPr>
            </w:pPr>
            <w:r>
              <w:rPr>
                <w:rFonts w:ascii="Arial" w:cs="Arial" w:eastAsia="Arial" w:hAnsi="Arial"/>
                <w:sz w:val="18"/>
                <w:szCs w:val="18"/>
                <w:color w:val="auto"/>
              </w:rPr>
              <w:t>Adoption of FASB Statement No. 157</w:t>
            </w:r>
          </w:p>
        </w:tc>
        <w:tc>
          <w:tcPr>
            <w:tcW w:w="116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940" w:type="dxa"/>
            <w:vAlign w:val="bottom"/>
            <w:shd w:val="clear" w:color="auto" w:fill="CCFFCC"/>
          </w:tcPr>
          <w:p>
            <w:pPr>
              <w:spacing w:after="0"/>
              <w:rPr>
                <w:sz w:val="21"/>
                <w:szCs w:val="21"/>
                <w:color w:val="auto"/>
              </w:rPr>
            </w:pPr>
          </w:p>
        </w:tc>
        <w:tc>
          <w:tcPr>
            <w:tcW w:w="92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12</w:t>
            </w:r>
          </w:p>
        </w:tc>
        <w:tc>
          <w:tcPr>
            <w:tcW w:w="1280" w:type="dxa"/>
            <w:vAlign w:val="bottom"/>
            <w:shd w:val="clear" w:color="auto" w:fill="CCFFCC"/>
          </w:tcPr>
          <w:p>
            <w:pPr>
              <w:spacing w:after="0"/>
              <w:rPr>
                <w:sz w:val="21"/>
                <w:szCs w:val="21"/>
                <w:color w:val="auto"/>
              </w:rPr>
            </w:pPr>
          </w:p>
        </w:tc>
        <w:tc>
          <w:tcPr>
            <w:tcW w:w="1380" w:type="dxa"/>
            <w:vAlign w:val="bottom"/>
            <w:shd w:val="clear" w:color="auto" w:fill="CCFFCC"/>
          </w:tcPr>
          <w:p>
            <w:pPr>
              <w:spacing w:after="0"/>
              <w:rPr>
                <w:sz w:val="21"/>
                <w:szCs w:val="21"/>
                <w:color w:val="auto"/>
              </w:rPr>
            </w:pPr>
          </w:p>
        </w:tc>
        <w:tc>
          <w:tcPr>
            <w:tcW w:w="122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12</w:t>
            </w:r>
          </w:p>
        </w:tc>
      </w:tr>
      <w:tr>
        <w:trPr>
          <w:trHeight w:val="237"/>
        </w:trPr>
        <w:tc>
          <w:tcPr>
            <w:tcW w:w="3440" w:type="dxa"/>
            <w:vAlign w:val="bottom"/>
          </w:tcPr>
          <w:p>
            <w:pPr>
              <w:spacing w:after="0"/>
              <w:rPr>
                <w:sz w:val="20"/>
                <w:szCs w:val="20"/>
                <w:color w:val="auto"/>
              </w:rPr>
            </w:pPr>
            <w:r>
              <w:rPr>
                <w:rFonts w:ascii="Arial" w:cs="Arial" w:eastAsia="Arial" w:hAnsi="Arial"/>
                <w:sz w:val="18"/>
                <w:szCs w:val="18"/>
                <w:color w:val="auto"/>
              </w:rPr>
              <w:t>Adoption of FIN 48</w:t>
            </w: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(2 )</w:t>
            </w:r>
          </w:p>
        </w:tc>
        <w:tc>
          <w:tcPr>
            <w:tcW w:w="1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(2 )</w:t>
            </w:r>
          </w:p>
        </w:tc>
      </w:tr>
      <w:tr>
        <w:trPr>
          <w:trHeight w:val="249"/>
        </w:trPr>
        <w:tc>
          <w:tcPr>
            <w:tcW w:w="3440" w:type="dxa"/>
            <w:vAlign w:val="bottom"/>
            <w:shd w:val="clear" w:color="auto" w:fill="CCFFCC"/>
          </w:tcPr>
          <w:p>
            <w:pPr>
              <w:spacing w:after="0"/>
              <w:rPr>
                <w:sz w:val="20"/>
                <w:szCs w:val="20"/>
                <w:color w:val="auto"/>
              </w:rPr>
            </w:pPr>
            <w:r>
              <w:rPr>
                <w:rFonts w:ascii="Arial" w:cs="Arial" w:eastAsia="Arial" w:hAnsi="Arial"/>
                <w:sz w:val="18"/>
                <w:szCs w:val="18"/>
                <w:color w:val="auto"/>
              </w:rPr>
              <w:t>Net income</w:t>
            </w:r>
          </w:p>
        </w:tc>
        <w:tc>
          <w:tcPr>
            <w:tcW w:w="116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$ 1,099</w:t>
            </w:r>
          </w:p>
        </w:tc>
        <w:tc>
          <w:tcPr>
            <w:tcW w:w="140" w:type="dxa"/>
            <w:vAlign w:val="bottom"/>
            <w:shd w:val="clear" w:color="auto" w:fill="CCFFCC"/>
          </w:tcPr>
          <w:p>
            <w:pPr>
              <w:spacing w:after="0"/>
              <w:rPr>
                <w:sz w:val="21"/>
                <w:szCs w:val="21"/>
                <w:color w:val="auto"/>
              </w:rPr>
            </w:pPr>
          </w:p>
        </w:tc>
        <w:tc>
          <w:tcPr>
            <w:tcW w:w="940" w:type="dxa"/>
            <w:vAlign w:val="bottom"/>
            <w:shd w:val="clear" w:color="auto" w:fill="CCFFCC"/>
          </w:tcPr>
          <w:p>
            <w:pPr>
              <w:spacing w:after="0"/>
              <w:rPr>
                <w:sz w:val="21"/>
                <w:szCs w:val="21"/>
                <w:color w:val="auto"/>
              </w:rPr>
            </w:pPr>
          </w:p>
        </w:tc>
        <w:tc>
          <w:tcPr>
            <w:tcW w:w="92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1,099</w:t>
            </w:r>
          </w:p>
        </w:tc>
        <w:tc>
          <w:tcPr>
            <w:tcW w:w="1280" w:type="dxa"/>
            <w:vAlign w:val="bottom"/>
            <w:shd w:val="clear" w:color="auto" w:fill="CCFFCC"/>
          </w:tcPr>
          <w:p>
            <w:pPr>
              <w:spacing w:after="0"/>
              <w:rPr>
                <w:sz w:val="21"/>
                <w:szCs w:val="21"/>
                <w:color w:val="auto"/>
              </w:rPr>
            </w:pPr>
          </w:p>
        </w:tc>
        <w:tc>
          <w:tcPr>
            <w:tcW w:w="1380" w:type="dxa"/>
            <w:vAlign w:val="bottom"/>
            <w:shd w:val="clear" w:color="auto" w:fill="CCFFCC"/>
          </w:tcPr>
          <w:p>
            <w:pPr>
              <w:spacing w:after="0"/>
              <w:rPr>
                <w:sz w:val="21"/>
                <w:szCs w:val="21"/>
                <w:color w:val="auto"/>
              </w:rPr>
            </w:pPr>
          </w:p>
        </w:tc>
        <w:tc>
          <w:tcPr>
            <w:tcW w:w="122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1,099</w:t>
            </w:r>
          </w:p>
        </w:tc>
      </w:tr>
      <w:tr>
        <w:trPr>
          <w:trHeight w:val="237"/>
        </w:trPr>
        <w:tc>
          <w:tcPr>
            <w:tcW w:w="3440" w:type="dxa"/>
            <w:vAlign w:val="bottom"/>
          </w:tcPr>
          <w:p>
            <w:pPr>
              <w:spacing w:after="0"/>
              <w:rPr>
                <w:sz w:val="20"/>
                <w:szCs w:val="20"/>
                <w:color w:val="auto"/>
              </w:rPr>
            </w:pPr>
            <w:r>
              <w:rPr>
                <w:rFonts w:ascii="Arial" w:cs="Arial" w:eastAsia="Arial" w:hAnsi="Arial"/>
                <w:sz w:val="18"/>
                <w:szCs w:val="18"/>
                <w:color w:val="auto"/>
              </w:rPr>
              <w:t>Comprehensive income adjustments:</w:t>
            </w: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49"/>
        </w:trPr>
        <w:tc>
          <w:tcPr>
            <w:tcW w:w="3440" w:type="dxa"/>
            <w:vAlign w:val="bottom"/>
            <w:shd w:val="clear" w:color="auto" w:fill="CCFFCC"/>
          </w:tcPr>
          <w:p>
            <w:pPr>
              <w:ind w:left="240"/>
              <w:spacing w:after="0"/>
              <w:rPr>
                <w:sz w:val="20"/>
                <w:szCs w:val="20"/>
                <w:color w:val="auto"/>
              </w:rPr>
            </w:pPr>
            <w:r>
              <w:rPr>
                <w:rFonts w:ascii="Arial" w:cs="Arial" w:eastAsia="Arial" w:hAnsi="Arial"/>
                <w:sz w:val="18"/>
                <w:szCs w:val="18"/>
                <w:color w:val="auto"/>
                <w:w w:val="97"/>
              </w:rPr>
              <w:t>Foreign currency translation adjustments</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38</w:t>
            </w:r>
          </w:p>
        </w:tc>
        <w:tc>
          <w:tcPr>
            <w:tcW w:w="140" w:type="dxa"/>
            <w:vAlign w:val="bottom"/>
            <w:shd w:val="clear" w:color="auto" w:fill="CCFFCC"/>
          </w:tcPr>
          <w:p>
            <w:pPr>
              <w:spacing w:after="0"/>
              <w:rPr>
                <w:sz w:val="21"/>
                <w:szCs w:val="21"/>
                <w:color w:val="auto"/>
              </w:rPr>
            </w:pPr>
          </w:p>
        </w:tc>
        <w:tc>
          <w:tcPr>
            <w:tcW w:w="940" w:type="dxa"/>
            <w:vAlign w:val="bottom"/>
            <w:shd w:val="clear" w:color="auto" w:fill="CCFFCC"/>
          </w:tcPr>
          <w:p>
            <w:pPr>
              <w:spacing w:after="0"/>
              <w:rPr>
                <w:sz w:val="21"/>
                <w:szCs w:val="21"/>
                <w:color w:val="auto"/>
              </w:rPr>
            </w:pPr>
          </w:p>
        </w:tc>
        <w:tc>
          <w:tcPr>
            <w:tcW w:w="920" w:type="dxa"/>
            <w:vAlign w:val="bottom"/>
            <w:shd w:val="clear" w:color="auto" w:fill="CCFFCC"/>
          </w:tcPr>
          <w:p>
            <w:pPr>
              <w:spacing w:after="0"/>
              <w:rPr>
                <w:sz w:val="21"/>
                <w:szCs w:val="21"/>
                <w:color w:val="auto"/>
              </w:rPr>
            </w:pPr>
          </w:p>
        </w:tc>
        <w:tc>
          <w:tcPr>
            <w:tcW w:w="1280" w:type="dxa"/>
            <w:vAlign w:val="bottom"/>
            <w:shd w:val="clear" w:color="auto" w:fill="CCFFCC"/>
          </w:tcPr>
          <w:p>
            <w:pPr>
              <w:spacing w:after="0"/>
              <w:rPr>
                <w:sz w:val="21"/>
                <w:szCs w:val="21"/>
                <w:color w:val="auto"/>
              </w:rPr>
            </w:pPr>
          </w:p>
        </w:tc>
        <w:tc>
          <w:tcPr>
            <w:tcW w:w="138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38</w:t>
            </w:r>
          </w:p>
        </w:tc>
        <w:tc>
          <w:tcPr>
            <w:tcW w:w="122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38</w:t>
            </w:r>
          </w:p>
        </w:tc>
      </w:tr>
      <w:tr>
        <w:trPr>
          <w:trHeight w:val="237"/>
        </w:trPr>
        <w:tc>
          <w:tcPr>
            <w:tcW w:w="3440" w:type="dxa"/>
            <w:vAlign w:val="bottom"/>
          </w:tcPr>
          <w:p>
            <w:pPr>
              <w:ind w:left="220"/>
              <w:spacing w:after="0"/>
              <w:rPr>
                <w:sz w:val="20"/>
                <w:szCs w:val="20"/>
                <w:color w:val="auto"/>
              </w:rPr>
            </w:pPr>
            <w:r>
              <w:rPr>
                <w:rFonts w:ascii="Arial" w:cs="Arial" w:eastAsia="Arial" w:hAnsi="Arial"/>
                <w:sz w:val="18"/>
                <w:szCs w:val="18"/>
                <w:color w:val="auto"/>
              </w:rPr>
              <w:t>Available-for-sale securities</w:t>
            </w:r>
          </w:p>
        </w:tc>
        <w:tc>
          <w:tcPr>
            <w:tcW w:w="1160" w:type="dxa"/>
            <w:vAlign w:val="bottom"/>
          </w:tcPr>
          <w:p>
            <w:pPr>
              <w:jc w:val="right"/>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10</w:t>
            </w: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10</w:t>
            </w:r>
          </w:p>
        </w:tc>
      </w:tr>
      <w:tr>
        <w:trPr>
          <w:trHeight w:val="249"/>
        </w:trPr>
        <w:tc>
          <w:tcPr>
            <w:tcW w:w="3440" w:type="dxa"/>
            <w:vAlign w:val="bottom"/>
            <w:shd w:val="clear" w:color="auto" w:fill="CCFFCC"/>
          </w:tcPr>
          <w:p>
            <w:pPr>
              <w:ind w:left="240"/>
              <w:spacing w:after="0"/>
              <w:rPr>
                <w:sz w:val="20"/>
                <w:szCs w:val="20"/>
                <w:color w:val="auto"/>
              </w:rPr>
            </w:pPr>
            <w:r>
              <w:rPr>
                <w:rFonts w:ascii="Arial" w:cs="Arial" w:eastAsia="Arial" w:hAnsi="Arial"/>
                <w:sz w:val="18"/>
                <w:szCs w:val="18"/>
                <w:color w:val="auto"/>
                <w:w w:val="93"/>
              </w:rPr>
              <w:t>Pension and other post retirement benefits</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FFCC"/>
          </w:tcPr>
          <w:p>
            <w:pPr>
              <w:spacing w:after="0"/>
              <w:rPr>
                <w:sz w:val="21"/>
                <w:szCs w:val="21"/>
                <w:color w:val="auto"/>
              </w:rPr>
            </w:pPr>
          </w:p>
        </w:tc>
        <w:tc>
          <w:tcPr>
            <w:tcW w:w="940" w:type="dxa"/>
            <w:vAlign w:val="bottom"/>
            <w:shd w:val="clear" w:color="auto" w:fill="CCFFCC"/>
          </w:tcPr>
          <w:p>
            <w:pPr>
              <w:spacing w:after="0"/>
              <w:rPr>
                <w:sz w:val="21"/>
                <w:szCs w:val="21"/>
                <w:color w:val="auto"/>
              </w:rPr>
            </w:pPr>
          </w:p>
        </w:tc>
        <w:tc>
          <w:tcPr>
            <w:tcW w:w="920" w:type="dxa"/>
            <w:vAlign w:val="bottom"/>
            <w:shd w:val="clear" w:color="auto" w:fill="CCFFCC"/>
          </w:tcPr>
          <w:p>
            <w:pPr>
              <w:spacing w:after="0"/>
              <w:rPr>
                <w:sz w:val="21"/>
                <w:szCs w:val="21"/>
                <w:color w:val="auto"/>
              </w:rPr>
            </w:pPr>
          </w:p>
        </w:tc>
        <w:tc>
          <w:tcPr>
            <w:tcW w:w="1280" w:type="dxa"/>
            <w:vAlign w:val="bottom"/>
            <w:shd w:val="clear" w:color="auto" w:fill="CCFFCC"/>
          </w:tcPr>
          <w:p>
            <w:pPr>
              <w:spacing w:after="0"/>
              <w:rPr>
                <w:sz w:val="21"/>
                <w:szCs w:val="21"/>
                <w:color w:val="auto"/>
              </w:rPr>
            </w:pPr>
          </w:p>
        </w:tc>
        <w:tc>
          <w:tcPr>
            <w:tcW w:w="138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15</w:t>
            </w:r>
          </w:p>
        </w:tc>
        <w:tc>
          <w:tcPr>
            <w:tcW w:w="122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15</w:t>
            </w:r>
          </w:p>
        </w:tc>
      </w:tr>
      <w:tr>
        <w:trPr>
          <w:trHeight w:val="243"/>
        </w:trPr>
        <w:tc>
          <w:tcPr>
            <w:tcW w:w="3440" w:type="dxa"/>
            <w:vAlign w:val="bottom"/>
          </w:tcPr>
          <w:p>
            <w:pPr>
              <w:ind w:left="240"/>
              <w:spacing w:after="0"/>
              <w:rPr>
                <w:sz w:val="20"/>
                <w:szCs w:val="20"/>
                <w:color w:val="auto"/>
              </w:rPr>
            </w:pPr>
            <w:r>
              <w:rPr>
                <w:rFonts w:ascii="Arial" w:cs="Arial" w:eastAsia="Arial" w:hAnsi="Arial"/>
                <w:sz w:val="18"/>
                <w:szCs w:val="18"/>
                <w:color w:val="auto"/>
              </w:rPr>
              <w:t>Financial instruments</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26</w:t>
            </w: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26</w:t>
            </w:r>
          </w:p>
        </w:tc>
      </w:tr>
      <w:tr>
        <w:trPr>
          <w:trHeight w:val="237"/>
        </w:trPr>
        <w:tc>
          <w:tcPr>
            <w:tcW w:w="34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Comprehensive income</w:t>
            </w:r>
          </w:p>
        </w:tc>
        <w:tc>
          <w:tcPr>
            <w:tcW w:w="11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$ 1,188</w:t>
            </w:r>
          </w:p>
        </w:tc>
        <w:tc>
          <w:tcPr>
            <w:tcW w:w="140" w:type="dxa"/>
            <w:vAlign w:val="bottom"/>
            <w:tcBorders>
              <w:bottom w:val="single" w:sz="8" w:color="CCFFCC"/>
            </w:tcBorders>
            <w:shd w:val="clear" w:color="auto" w:fill="CCFFCC"/>
          </w:tcPr>
          <w:p>
            <w:pPr>
              <w:spacing w:after="0"/>
              <w:rPr>
                <w:sz w:val="20"/>
                <w:szCs w:val="20"/>
                <w:color w:val="auto"/>
              </w:rPr>
            </w:pPr>
          </w:p>
        </w:tc>
        <w:tc>
          <w:tcPr>
            <w:tcW w:w="940" w:type="dxa"/>
            <w:vAlign w:val="bottom"/>
            <w:tcBorders>
              <w:bottom w:val="single" w:sz="8" w:color="CCFFCC"/>
            </w:tcBorders>
            <w:shd w:val="clear" w:color="auto" w:fill="CCFFCC"/>
          </w:tcPr>
          <w:p>
            <w:pPr>
              <w:spacing w:after="0"/>
              <w:rPr>
                <w:sz w:val="20"/>
                <w:szCs w:val="20"/>
                <w:color w:val="auto"/>
              </w:rPr>
            </w:pPr>
          </w:p>
        </w:tc>
        <w:tc>
          <w:tcPr>
            <w:tcW w:w="920" w:type="dxa"/>
            <w:vAlign w:val="bottom"/>
            <w:tcBorders>
              <w:bottom w:val="single" w:sz="8" w:color="CCFFCC"/>
            </w:tcBorders>
            <w:shd w:val="clear" w:color="auto" w:fill="CCFFCC"/>
          </w:tcPr>
          <w:p>
            <w:pPr>
              <w:spacing w:after="0"/>
              <w:rPr>
                <w:sz w:val="20"/>
                <w:szCs w:val="20"/>
                <w:color w:val="auto"/>
              </w:rPr>
            </w:pPr>
          </w:p>
        </w:tc>
        <w:tc>
          <w:tcPr>
            <w:tcW w:w="1280" w:type="dxa"/>
            <w:vAlign w:val="bottom"/>
            <w:tcBorders>
              <w:bottom w:val="single" w:sz="8" w:color="CCFFCC"/>
            </w:tcBorders>
            <w:shd w:val="clear" w:color="auto" w:fill="CCFFCC"/>
          </w:tcPr>
          <w:p>
            <w:pPr>
              <w:spacing w:after="0"/>
              <w:rPr>
                <w:sz w:val="20"/>
                <w:szCs w:val="20"/>
                <w:color w:val="auto"/>
              </w:rPr>
            </w:pPr>
          </w:p>
        </w:tc>
        <w:tc>
          <w:tcPr>
            <w:tcW w:w="1380" w:type="dxa"/>
            <w:vAlign w:val="bottom"/>
            <w:tcBorders>
              <w:bottom w:val="single" w:sz="8" w:color="CCFFCC"/>
            </w:tcBorders>
            <w:shd w:val="clear" w:color="auto" w:fill="CCFFCC"/>
          </w:tcPr>
          <w:p>
            <w:pPr>
              <w:spacing w:after="0"/>
              <w:rPr>
                <w:sz w:val="20"/>
                <w:szCs w:val="20"/>
                <w:color w:val="auto"/>
              </w:rPr>
            </w:pPr>
          </w:p>
        </w:tc>
        <w:tc>
          <w:tcPr>
            <w:tcW w:w="1220" w:type="dxa"/>
            <w:vAlign w:val="bottom"/>
            <w:tcBorders>
              <w:bottom w:val="single" w:sz="8" w:color="CCFFCC"/>
            </w:tcBorders>
            <w:shd w:val="clear" w:color="auto" w:fill="CCFFCC"/>
          </w:tcPr>
          <w:p>
            <w:pPr>
              <w:spacing w:after="0"/>
              <w:rPr>
                <w:sz w:val="20"/>
                <w:szCs w:val="20"/>
                <w:color w:val="auto"/>
              </w:rPr>
            </w:pP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Share-based compensation expense</w:t>
            </w: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43</w:t>
            </w:r>
          </w:p>
        </w:tc>
        <w:tc>
          <w:tcPr>
            <w:tcW w:w="9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43</w:t>
            </w:r>
          </w:p>
        </w:tc>
      </w:tr>
      <w:tr>
        <w:trPr>
          <w:trHeight w:val="249"/>
        </w:trPr>
        <w:tc>
          <w:tcPr>
            <w:tcW w:w="3440" w:type="dxa"/>
            <w:vAlign w:val="bottom"/>
            <w:shd w:val="clear" w:color="auto" w:fill="CCFFCC"/>
          </w:tcPr>
          <w:p>
            <w:pPr>
              <w:spacing w:after="0"/>
              <w:rPr>
                <w:sz w:val="20"/>
                <w:szCs w:val="20"/>
                <w:color w:val="auto"/>
              </w:rPr>
            </w:pPr>
            <w:r>
              <w:rPr>
                <w:rFonts w:ascii="Arial" w:cs="Arial" w:eastAsia="Arial" w:hAnsi="Arial"/>
                <w:sz w:val="18"/>
                <w:szCs w:val="18"/>
                <w:color w:val="auto"/>
              </w:rPr>
              <w:t>Common stock dividends declared</w:t>
            </w:r>
          </w:p>
        </w:tc>
        <w:tc>
          <w:tcPr>
            <w:tcW w:w="116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940" w:type="dxa"/>
            <w:vAlign w:val="bottom"/>
            <w:shd w:val="clear" w:color="auto" w:fill="CCFFCC"/>
          </w:tcPr>
          <w:p>
            <w:pPr>
              <w:spacing w:after="0"/>
              <w:rPr>
                <w:sz w:val="21"/>
                <w:szCs w:val="21"/>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(326 )</w:t>
            </w:r>
          </w:p>
        </w:tc>
        <w:tc>
          <w:tcPr>
            <w:tcW w:w="1280" w:type="dxa"/>
            <w:vAlign w:val="bottom"/>
            <w:shd w:val="clear" w:color="auto" w:fill="CCFFCC"/>
          </w:tcPr>
          <w:p>
            <w:pPr>
              <w:spacing w:after="0"/>
              <w:rPr>
                <w:sz w:val="21"/>
                <w:szCs w:val="21"/>
                <w:color w:val="auto"/>
              </w:rPr>
            </w:pPr>
          </w:p>
        </w:tc>
        <w:tc>
          <w:tcPr>
            <w:tcW w:w="1380" w:type="dxa"/>
            <w:vAlign w:val="bottom"/>
            <w:shd w:val="clear" w:color="auto" w:fill="CCFFCC"/>
          </w:tcPr>
          <w:p>
            <w:pPr>
              <w:spacing w:after="0"/>
              <w:rPr>
                <w:sz w:val="21"/>
                <w:szCs w:val="21"/>
                <w:color w:val="auto"/>
              </w:rPr>
            </w:pP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(326 )</w:t>
            </w:r>
          </w:p>
        </w:tc>
      </w:tr>
      <w:tr>
        <w:trPr>
          <w:trHeight w:val="237"/>
        </w:trPr>
        <w:tc>
          <w:tcPr>
            <w:tcW w:w="3440" w:type="dxa"/>
            <w:vAlign w:val="bottom"/>
          </w:tcPr>
          <w:p>
            <w:pPr>
              <w:spacing w:after="0"/>
              <w:rPr>
                <w:sz w:val="20"/>
                <w:szCs w:val="20"/>
                <w:color w:val="auto"/>
              </w:rPr>
            </w:pPr>
            <w:r>
              <w:rPr>
                <w:rFonts w:ascii="Arial" w:cs="Arial" w:eastAsia="Arial" w:hAnsi="Arial"/>
                <w:sz w:val="18"/>
                <w:szCs w:val="18"/>
                <w:color w:val="auto"/>
              </w:rPr>
              <w:t>Quasi-reorganization adjustment</w:t>
            </w: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(2 )</w:t>
            </w:r>
          </w:p>
        </w:tc>
        <w:tc>
          <w:tcPr>
            <w:tcW w:w="9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(2 )</w:t>
            </w:r>
          </w:p>
        </w:tc>
      </w:tr>
      <w:tr>
        <w:trPr>
          <w:trHeight w:val="249"/>
        </w:trPr>
        <w:tc>
          <w:tcPr>
            <w:tcW w:w="3440" w:type="dxa"/>
            <w:vAlign w:val="bottom"/>
            <w:shd w:val="clear" w:color="auto" w:fill="CCFFCC"/>
          </w:tcPr>
          <w:p>
            <w:pPr>
              <w:spacing w:after="0"/>
              <w:rPr>
                <w:sz w:val="20"/>
                <w:szCs w:val="20"/>
                <w:color w:val="auto"/>
              </w:rPr>
            </w:pPr>
            <w:r>
              <w:rPr>
                <w:rFonts w:ascii="Arial" w:cs="Arial" w:eastAsia="Arial" w:hAnsi="Arial"/>
                <w:sz w:val="18"/>
                <w:szCs w:val="18"/>
                <w:color w:val="auto"/>
              </w:rPr>
              <w:t>Issuance of common stock</w:t>
            </w:r>
          </w:p>
        </w:tc>
        <w:tc>
          <w:tcPr>
            <w:tcW w:w="116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94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rPr>
              <w:t>62</w:t>
            </w:r>
          </w:p>
        </w:tc>
        <w:tc>
          <w:tcPr>
            <w:tcW w:w="920" w:type="dxa"/>
            <w:vAlign w:val="bottom"/>
            <w:shd w:val="clear" w:color="auto" w:fill="CCFFCC"/>
          </w:tcPr>
          <w:p>
            <w:pPr>
              <w:spacing w:after="0"/>
              <w:rPr>
                <w:sz w:val="21"/>
                <w:szCs w:val="21"/>
                <w:color w:val="auto"/>
              </w:rPr>
            </w:pPr>
          </w:p>
        </w:tc>
        <w:tc>
          <w:tcPr>
            <w:tcW w:w="1280" w:type="dxa"/>
            <w:vAlign w:val="bottom"/>
            <w:shd w:val="clear" w:color="auto" w:fill="CCFFCC"/>
          </w:tcPr>
          <w:p>
            <w:pPr>
              <w:spacing w:after="0"/>
              <w:rPr>
                <w:sz w:val="21"/>
                <w:szCs w:val="21"/>
                <w:color w:val="auto"/>
              </w:rPr>
            </w:pPr>
          </w:p>
        </w:tc>
        <w:tc>
          <w:tcPr>
            <w:tcW w:w="1380" w:type="dxa"/>
            <w:vAlign w:val="bottom"/>
            <w:shd w:val="clear" w:color="auto" w:fill="CCFFCC"/>
          </w:tcPr>
          <w:p>
            <w:pPr>
              <w:spacing w:after="0"/>
              <w:rPr>
                <w:sz w:val="21"/>
                <w:szCs w:val="21"/>
                <w:color w:val="auto"/>
              </w:rPr>
            </w:pPr>
          </w:p>
        </w:tc>
        <w:tc>
          <w:tcPr>
            <w:tcW w:w="122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62</w:t>
            </w:r>
          </w:p>
        </w:tc>
      </w:tr>
      <w:tr>
        <w:trPr>
          <w:trHeight w:val="237"/>
        </w:trPr>
        <w:tc>
          <w:tcPr>
            <w:tcW w:w="3440" w:type="dxa"/>
            <w:vAlign w:val="bottom"/>
          </w:tcPr>
          <w:p>
            <w:pPr>
              <w:spacing w:after="0"/>
              <w:rPr>
                <w:sz w:val="20"/>
                <w:szCs w:val="20"/>
                <w:color w:val="auto"/>
              </w:rPr>
            </w:pPr>
            <w:r>
              <w:rPr>
                <w:rFonts w:ascii="Arial" w:cs="Arial" w:eastAsia="Arial" w:hAnsi="Arial"/>
                <w:sz w:val="18"/>
                <w:szCs w:val="18"/>
                <w:color w:val="auto"/>
                <w:w w:val="94"/>
              </w:rPr>
              <w:t>Tax benefit related to employee stock options</w:t>
            </w: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26</w:t>
            </w:r>
          </w:p>
        </w:tc>
        <w:tc>
          <w:tcPr>
            <w:tcW w:w="9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26</w:t>
            </w:r>
          </w:p>
        </w:tc>
      </w:tr>
      <w:tr>
        <w:trPr>
          <w:trHeight w:val="249"/>
        </w:trPr>
        <w:tc>
          <w:tcPr>
            <w:tcW w:w="3440" w:type="dxa"/>
            <w:vAlign w:val="bottom"/>
            <w:shd w:val="clear" w:color="auto" w:fill="CCFFCC"/>
          </w:tcPr>
          <w:p>
            <w:pPr>
              <w:spacing w:after="0"/>
              <w:rPr>
                <w:sz w:val="20"/>
                <w:szCs w:val="20"/>
                <w:color w:val="auto"/>
              </w:rPr>
            </w:pPr>
            <w:r>
              <w:rPr>
                <w:rFonts w:ascii="Arial" w:cs="Arial" w:eastAsia="Arial" w:hAnsi="Arial"/>
                <w:sz w:val="18"/>
                <w:szCs w:val="18"/>
                <w:color w:val="auto"/>
              </w:rPr>
              <w:t>Repurchase of common stock</w:t>
            </w:r>
          </w:p>
        </w:tc>
        <w:tc>
          <w:tcPr>
            <w:tcW w:w="116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94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(185 )</w:t>
            </w:r>
          </w:p>
        </w:tc>
        <w:tc>
          <w:tcPr>
            <w:tcW w:w="920" w:type="dxa"/>
            <w:vAlign w:val="bottom"/>
            <w:shd w:val="clear" w:color="auto" w:fill="CCFFCC"/>
          </w:tcPr>
          <w:p>
            <w:pPr>
              <w:spacing w:after="0"/>
              <w:rPr>
                <w:sz w:val="21"/>
                <w:szCs w:val="21"/>
                <w:color w:val="auto"/>
              </w:rPr>
            </w:pPr>
          </w:p>
        </w:tc>
        <w:tc>
          <w:tcPr>
            <w:tcW w:w="1280" w:type="dxa"/>
            <w:vAlign w:val="bottom"/>
            <w:shd w:val="clear" w:color="auto" w:fill="CCFFCC"/>
          </w:tcPr>
          <w:p>
            <w:pPr>
              <w:spacing w:after="0"/>
              <w:rPr>
                <w:sz w:val="21"/>
                <w:szCs w:val="21"/>
                <w:color w:val="auto"/>
              </w:rPr>
            </w:pPr>
          </w:p>
        </w:tc>
        <w:tc>
          <w:tcPr>
            <w:tcW w:w="1380" w:type="dxa"/>
            <w:vAlign w:val="bottom"/>
            <w:shd w:val="clear" w:color="auto" w:fill="CCFFCC"/>
          </w:tcPr>
          <w:p>
            <w:pPr>
              <w:spacing w:after="0"/>
              <w:rPr>
                <w:sz w:val="21"/>
                <w:szCs w:val="21"/>
                <w:color w:val="auto"/>
              </w:rPr>
            </w:pP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(185 )</w:t>
            </w:r>
          </w:p>
        </w:tc>
      </w:tr>
      <w:tr>
        <w:trPr>
          <w:trHeight w:val="243"/>
        </w:trPr>
        <w:tc>
          <w:tcPr>
            <w:tcW w:w="3440" w:type="dxa"/>
            <w:vAlign w:val="bottom"/>
          </w:tcPr>
          <w:p>
            <w:pPr>
              <w:spacing w:after="0"/>
              <w:rPr>
                <w:sz w:val="20"/>
                <w:szCs w:val="20"/>
                <w:color w:val="auto"/>
              </w:rPr>
            </w:pPr>
            <w:r>
              <w:rPr>
                <w:rFonts w:ascii="Arial" w:cs="Arial" w:eastAsia="Arial" w:hAnsi="Arial"/>
                <w:sz w:val="18"/>
                <w:szCs w:val="18"/>
                <w:color w:val="auto"/>
              </w:rPr>
              <w:t>Common stock released from ESOP</w:t>
            </w:r>
          </w:p>
        </w:tc>
        <w:tc>
          <w:tcPr>
            <w:tcW w:w="1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9</w:t>
            </w:r>
          </w:p>
        </w:tc>
        <w:tc>
          <w:tcPr>
            <w:tcW w:w="9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w:t>
            </w:r>
          </w:p>
        </w:tc>
        <w:tc>
          <w:tcPr>
            <w:tcW w:w="1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12</w:t>
            </w:r>
          </w:p>
        </w:tc>
      </w:tr>
      <w:tr>
        <w:trPr>
          <w:trHeight w:val="257"/>
        </w:trPr>
        <w:tc>
          <w:tcPr>
            <w:tcW w:w="3440" w:type="dxa"/>
            <w:vAlign w:val="bottom"/>
            <w:tcBorders>
              <w:bottom w:val="single" w:sz="8" w:color="auto"/>
            </w:tcBorders>
            <w:shd w:val="clear" w:color="auto" w:fill="CCFFCC"/>
          </w:tcPr>
          <w:p>
            <w:pPr>
              <w:spacing w:after="0"/>
              <w:rPr>
                <w:sz w:val="20"/>
                <w:szCs w:val="20"/>
                <w:color w:val="auto"/>
              </w:rPr>
            </w:pPr>
            <w:r>
              <w:rPr>
                <w:rFonts w:ascii="Arial" w:cs="Arial" w:eastAsia="Arial" w:hAnsi="Arial"/>
                <w:sz w:val="18"/>
                <w:szCs w:val="18"/>
                <w:color w:val="auto"/>
              </w:rPr>
              <w:t>Balance at December 31, 2007</w:t>
            </w:r>
          </w:p>
        </w:tc>
        <w:tc>
          <w:tcPr>
            <w:tcW w:w="1160" w:type="dxa"/>
            <w:vAlign w:val="bottom"/>
            <w:tcBorders>
              <w:bottom w:val="single" w:sz="8" w:color="auto"/>
            </w:tcBorders>
            <w:shd w:val="clear" w:color="auto" w:fill="CCFFCC"/>
          </w:tcPr>
          <w:p>
            <w:pPr>
              <w:spacing w:after="0"/>
              <w:rPr>
                <w:sz w:val="22"/>
                <w:szCs w:val="22"/>
                <w:color w:val="auto"/>
              </w:rPr>
            </w:pPr>
          </w:p>
        </w:tc>
        <w:tc>
          <w:tcPr>
            <w:tcW w:w="140" w:type="dxa"/>
            <w:vAlign w:val="bottom"/>
            <w:tcBorders>
              <w:bottom w:val="single" w:sz="8" w:color="auto"/>
            </w:tcBorders>
            <w:shd w:val="clear" w:color="auto" w:fill="CCFFCC"/>
          </w:tcPr>
          <w:p>
            <w:pPr>
              <w:spacing w:after="0"/>
              <w:rPr>
                <w:sz w:val="22"/>
                <w:szCs w:val="22"/>
                <w:color w:val="auto"/>
              </w:rPr>
            </w:pPr>
          </w:p>
        </w:tc>
        <w:tc>
          <w:tcPr>
            <w:tcW w:w="940" w:type="dxa"/>
            <w:vAlign w:val="bottom"/>
            <w:tcBorders>
              <w:bottom w:val="single" w:sz="8" w:color="auto"/>
            </w:tcBorders>
            <w:shd w:val="clear" w:color="auto" w:fill="CCFFCC"/>
          </w:tcPr>
          <w:p>
            <w:pPr>
              <w:jc w:val="right"/>
              <w:ind w:right="130"/>
              <w:spacing w:after="0"/>
              <w:rPr>
                <w:sz w:val="20"/>
                <w:szCs w:val="20"/>
                <w:color w:val="auto"/>
              </w:rPr>
            </w:pPr>
            <w:r>
              <w:rPr>
                <w:rFonts w:ascii="Arial" w:cs="Arial" w:eastAsia="Arial" w:hAnsi="Arial"/>
                <w:sz w:val="18"/>
                <w:szCs w:val="18"/>
                <w:color w:val="auto"/>
              </w:rPr>
              <w:t>$ 3,198</w:t>
            </w:r>
          </w:p>
        </w:tc>
        <w:tc>
          <w:tcPr>
            <w:tcW w:w="920" w:type="dxa"/>
            <w:vAlign w:val="bottom"/>
            <w:tcBorders>
              <w:bottom w:val="single" w:sz="8" w:color="auto"/>
            </w:tcBorders>
            <w:shd w:val="clear" w:color="auto" w:fill="CCFFCC"/>
          </w:tcPr>
          <w:p>
            <w:pPr>
              <w:jc w:val="right"/>
              <w:ind w:right="70"/>
              <w:spacing w:after="0"/>
              <w:rPr>
                <w:sz w:val="20"/>
                <w:szCs w:val="20"/>
                <w:color w:val="auto"/>
              </w:rPr>
            </w:pPr>
            <w:r>
              <w:rPr>
                <w:rFonts w:ascii="Arial" w:cs="Arial" w:eastAsia="Arial" w:hAnsi="Arial"/>
                <w:sz w:val="18"/>
                <w:szCs w:val="18"/>
                <w:color w:val="auto"/>
              </w:rPr>
              <w:t>$ 5,464</w:t>
            </w:r>
          </w:p>
        </w:tc>
        <w:tc>
          <w:tcPr>
            <w:tcW w:w="12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 (22 )</w:t>
            </w:r>
          </w:p>
        </w:tc>
        <w:tc>
          <w:tcPr>
            <w:tcW w:w="13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 (301 )</w:t>
            </w:r>
          </w:p>
        </w:tc>
        <w:tc>
          <w:tcPr>
            <w:tcW w:w="1220" w:type="dxa"/>
            <w:vAlign w:val="bottom"/>
            <w:tcBorders>
              <w:bottom w:val="single" w:sz="8" w:color="auto"/>
            </w:tcBorders>
            <w:shd w:val="clear" w:color="auto" w:fill="CCFFCC"/>
          </w:tcPr>
          <w:p>
            <w:pPr>
              <w:jc w:val="right"/>
              <w:ind w:right="70"/>
              <w:spacing w:after="0"/>
              <w:rPr>
                <w:sz w:val="20"/>
                <w:szCs w:val="20"/>
                <w:color w:val="auto"/>
              </w:rPr>
            </w:pPr>
            <w:r>
              <w:rPr>
                <w:rFonts w:ascii="Arial" w:cs="Arial" w:eastAsia="Arial" w:hAnsi="Arial"/>
                <w:sz w:val="18"/>
                <w:szCs w:val="18"/>
                <w:color w:val="auto"/>
              </w:rPr>
              <w:t>$ 8,339</w:t>
            </w:r>
          </w:p>
        </w:tc>
      </w:tr>
    </w:tbl>
    <w:p>
      <w:pPr>
        <w:spacing w:after="0" w:line="24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0960"/>
          </w:cols>
          <w:pgMar w:left="240" w:top="895" w:right="699" w:bottom="773" w:gutter="0" w:footer="0" w:header="0"/>
        </w:sect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0960"/>
          </w:cols>
          <w:pgMar w:left="240" w:top="895" w:right="699" w:bottom="773" w:gutter="0" w:footer="0" w:header="0"/>
          <w:type w:val="continuous"/>
        </w:sectPr>
      </w:pPr>
    </w:p>
    <w:bookmarkStart w:id="121" w:name="page122"/>
    <w:bookmarkEnd w:id="121"/>
    <w:p>
      <w:pPr>
        <w:spacing w:after="0"/>
        <w:rPr>
          <w:sz w:val="20"/>
          <w:szCs w:val="20"/>
          <w:color w:val="auto"/>
        </w:rPr>
      </w:pPr>
      <w:r>
        <w:rPr>
          <w:rFonts w:ascii="Arial" w:cs="Arial" w:eastAsia="Arial" w:hAnsi="Arial"/>
          <w:sz w:val="20"/>
          <w:szCs w:val="20"/>
          <w:b w:val="1"/>
          <w:bCs w:val="1"/>
          <w:color w:val="auto"/>
        </w:rPr>
        <w:t>SEMPRA ENERGY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 SIGNIFICANT ACCOUNTING POLICIES AND OTHER FINANCIAL DATA</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Principles of Consolidation</w:t>
      </w:r>
    </w:p>
    <w:p>
      <w:pPr>
        <w:spacing w:after="0" w:line="249" w:lineRule="exact"/>
        <w:rPr>
          <w:sz w:val="20"/>
          <w:szCs w:val="20"/>
          <w:color w:val="auto"/>
        </w:rPr>
      </w:pPr>
    </w:p>
    <w:p>
      <w:pPr>
        <w:ind w:right="20"/>
        <w:spacing w:after="0" w:line="274" w:lineRule="auto"/>
        <w:rPr>
          <w:sz w:val="20"/>
          <w:szCs w:val="20"/>
          <w:color w:val="auto"/>
        </w:rPr>
      </w:pPr>
      <w:r>
        <w:rPr>
          <w:rFonts w:ascii="Arial" w:cs="Arial" w:eastAsia="Arial" w:hAnsi="Arial"/>
          <w:sz w:val="18"/>
          <w:szCs w:val="18"/>
          <w:color w:val="auto"/>
        </w:rPr>
        <w:t>The Consolidated Financial Statements include the accounts of Sempra Energy (the company), a California-based Fortune 500 holding company, its consolidated subsidiaries, and a variable interest entity of which it is the primary beneficiary. Sempra Energy’s principal subsidiaries are San Diego Gas &amp; Electric Company (SDG&amp;E) and Southern California Gas Company (SoCalGas) (collectively referred to herein as the Sempra Utilities) and Sempra Global, which is the holding company for Sempra Commodities, Sempra Generation, Sempra Pipelines &amp; Storage, Sempra LNG and other, smaller businesses. Investments in affiliated companies over which Sempra Energy has the ability to exercise significant influence, but not control, are accounted for using the equity method. Further discussion of investments in unconsolidated subsidiaries is provided in Note 4. All material intercompany accounts and transactions have been eliminated.</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Quasi-Reorganization</w:t>
      </w:r>
    </w:p>
    <w:p>
      <w:pPr>
        <w:spacing w:after="0" w:line="249" w:lineRule="exact"/>
        <w:rPr>
          <w:sz w:val="20"/>
          <w:szCs w:val="20"/>
          <w:color w:val="auto"/>
        </w:rPr>
      </w:pPr>
    </w:p>
    <w:p>
      <w:pPr>
        <w:ind w:right="20"/>
        <w:spacing w:after="0" w:line="243" w:lineRule="auto"/>
        <w:rPr>
          <w:sz w:val="20"/>
          <w:szCs w:val="20"/>
          <w:color w:val="auto"/>
        </w:rPr>
      </w:pPr>
      <w:r>
        <w:rPr>
          <w:rFonts w:ascii="Arial" w:cs="Arial" w:eastAsia="Arial" w:hAnsi="Arial"/>
          <w:sz w:val="20"/>
          <w:szCs w:val="20"/>
          <w:color w:val="auto"/>
        </w:rPr>
        <w:t>In 1993, Pacific Enterprises (PE), the holding company of SoCalGas, effected a quasi-reorganization for financial reporting purposes as of December 31, 1992. Certain of the liabilities established in connection with the quasi-reorganization were favorably resolved in 2006, resulting in increases in common equity. Cash received in 2006 from the resolution of an insurance claim related to quasi-reorganization issues was reported in Quasi-Reorganization Resolution on the Statements of Consolidated Cash Flows. An adjustment to the liabilities in 2007 resulted in a decrease to equity. The remaining liabilities of $16 million will be resolved in future years, and management believes the provisions established for these matters are adequate.</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Use of Estimates in the Preparation of the Financial Statements</w:t>
      </w:r>
    </w:p>
    <w:p>
      <w:pPr>
        <w:spacing w:after="0" w:line="249"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The preparation of financial statements in conformity with accounting principles generally accepted in the United States of America (GAAP) requires management to make estimates and assumptions that affect the reported amounts of revenues and expenses during the reporting period, and the reported amounts of assets and liabilities and the disclosure of contingent assets and liabilities at the date of the financial statements. Although management believes the estimates and assumptions are reasonable, actual amounts ultimately may differ significantly from those estimates.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Regulatory Matters</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Effects of Regulation</w:t>
      </w:r>
    </w:p>
    <w:p>
      <w:pPr>
        <w:spacing w:after="0" w:line="243" w:lineRule="exact"/>
        <w:rPr>
          <w:sz w:val="20"/>
          <w:szCs w:val="20"/>
          <w:color w:val="auto"/>
        </w:rPr>
      </w:pPr>
    </w:p>
    <w:p>
      <w:pPr>
        <w:ind w:right="300"/>
        <w:spacing w:after="0" w:line="250" w:lineRule="auto"/>
        <w:rPr>
          <w:sz w:val="20"/>
          <w:szCs w:val="20"/>
          <w:color w:val="auto"/>
        </w:rPr>
      </w:pPr>
      <w:r>
        <w:rPr>
          <w:rFonts w:ascii="Arial" w:cs="Arial" w:eastAsia="Arial" w:hAnsi="Arial"/>
          <w:sz w:val="20"/>
          <w:szCs w:val="20"/>
          <w:color w:val="auto"/>
        </w:rPr>
        <w:t>The accounting policies of the company's principal regulated utility subsidiaries, SDG&amp;E and SoCalGas, conform with GAAP for regulated enterprises and reflect the policies of the California Public Utilities Commission (CPUC) and the Federal Energy Regulatory Commission (FERC).</w:t>
      </w:r>
    </w:p>
    <w:p>
      <w:pPr>
        <w:spacing w:after="0" w:line="213" w:lineRule="exact"/>
        <w:rPr>
          <w:sz w:val="20"/>
          <w:szCs w:val="20"/>
          <w:color w:val="auto"/>
        </w:rPr>
      </w:pPr>
    </w:p>
    <w:p>
      <w:pPr>
        <w:ind w:right="100"/>
        <w:spacing w:after="0" w:line="244" w:lineRule="auto"/>
        <w:rPr>
          <w:sz w:val="20"/>
          <w:szCs w:val="20"/>
          <w:color w:val="auto"/>
        </w:rPr>
      </w:pPr>
      <w:r>
        <w:rPr>
          <w:rFonts w:ascii="Arial" w:cs="Arial" w:eastAsia="Arial" w:hAnsi="Arial"/>
          <w:sz w:val="20"/>
          <w:szCs w:val="20"/>
          <w:color w:val="auto"/>
        </w:rPr>
        <w:t>The Sempra Utilities prepare their financial statements in accordance with the provisions of Statement of Financial Accounting Standards (SFAS) 71</w:t>
      </w:r>
      <w:r>
        <w:rPr>
          <w:rFonts w:ascii="Arial" w:cs="Arial" w:eastAsia="Arial" w:hAnsi="Arial"/>
          <w:sz w:val="20"/>
          <w:szCs w:val="20"/>
          <w:i w:val="1"/>
          <w:iCs w:val="1"/>
          <w:color w:val="auto"/>
        </w:rPr>
        <w:t>, Accounting for the Effects of Certain Types of Regulation</w:t>
      </w:r>
      <w:r>
        <w:rPr>
          <w:rFonts w:ascii="Arial" w:cs="Arial" w:eastAsia="Arial" w:hAnsi="Arial"/>
          <w:sz w:val="20"/>
          <w:szCs w:val="20"/>
          <w:color w:val="auto"/>
        </w:rPr>
        <w:t xml:space="preserve"> (SFAS 71), under which a regulated utility records a regulatory asset if it is probable that, through the ratemaking process, the utility will recover that asset from customers. To the extent that recovery is no longer probable as a result of changes in regulation or the utility's competitive position, the related regulatory assets would be written off. Regulatory liabilities represent reductions in future rates for</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0"/>
          <w:szCs w:val="20"/>
          <w:color w:val="auto"/>
        </w:rPr>
        <w:t>54</w:t>
      </w:r>
    </w:p>
    <w:p>
      <w:pPr>
        <w:sectPr>
          <w:pgSz w:w="11900" w:h="16838" w:orient="portrait"/>
          <w:cols w:equalWidth="0" w:num="1">
            <w:col w:w="11400"/>
          </w:cols>
          <w:pgMar w:left="240" w:top="116" w:right="259" w:bottom="1440" w:gutter="0" w:footer="0" w:header="0"/>
        </w:sectPr>
      </w:pPr>
    </w:p>
    <w:bookmarkStart w:id="122" w:name="page123"/>
    <w:bookmarkEnd w:id="122"/>
    <w:p>
      <w:pPr>
        <w:ind w:right="320"/>
        <w:spacing w:after="0" w:line="262" w:lineRule="auto"/>
        <w:rPr>
          <w:sz w:val="20"/>
          <w:szCs w:val="20"/>
          <w:color w:val="auto"/>
        </w:rPr>
      </w:pPr>
      <w:r>
        <w:rPr>
          <w:rFonts w:ascii="Arial" w:cs="Arial" w:eastAsia="Arial" w:hAnsi="Arial"/>
          <w:sz w:val="20"/>
          <w:szCs w:val="20"/>
          <w:color w:val="auto"/>
        </w:rPr>
        <w:t>amounts due to customers. Information concerning regulatory assets and liabilities is provided below in "Revenues," "Regulatory Balancing Accounts" and "Regulatory Assets and Liabilities."</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Regulatory Balancing Accounts</w:t>
      </w:r>
    </w:p>
    <w:p>
      <w:pPr>
        <w:spacing w:after="0" w:line="243" w:lineRule="exact"/>
        <w:rPr>
          <w:sz w:val="20"/>
          <w:szCs w:val="20"/>
          <w:color w:val="auto"/>
        </w:rPr>
      </w:pPr>
    </w:p>
    <w:p>
      <w:pPr>
        <w:jc w:val="both"/>
        <w:ind w:right="400"/>
        <w:spacing w:after="0" w:line="291" w:lineRule="auto"/>
        <w:rPr>
          <w:sz w:val="20"/>
          <w:szCs w:val="20"/>
          <w:color w:val="auto"/>
        </w:rPr>
      </w:pPr>
      <w:r>
        <w:rPr>
          <w:rFonts w:ascii="Arial" w:cs="Arial" w:eastAsia="Arial" w:hAnsi="Arial"/>
          <w:sz w:val="18"/>
          <w:szCs w:val="18"/>
          <w:color w:val="auto"/>
        </w:rPr>
        <w:t>The amounts included in regulatory balancing accounts at December 31, 2007, represent net payables (payables net of receivables) of $183 million and $298 million for SoCalGas and SDG&amp;E, respectively. The corresponding amounts at December 31, 2006 were net payables of $167 million and $165 million, respectively. These amounts are returned to customers through the reduction of future rates.</w:t>
      </w:r>
    </w:p>
    <w:p>
      <w:pPr>
        <w:spacing w:after="0" w:line="165"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Except for certain costs subject to balancing account treatment, fluctuations in most operating and maintenance accounts from forecasted amounts approved by the CPUC in establishing rates affect utility earnings. Balancing accounts provide a mechanism for charging utility customers, over time, the amount actually incurred for certain costs, primarily commodity costs. The CPUC has also approved balancing account treatment for variances between forecast and actual for SoCalGas' and SDG&amp;E’s commodity volumes and costs, eliminating the impact on earnings from any throughput and revenue variances from adopted forecast levels. Additional information on regulatory matters is included in Notes 14 and 15.</w:t>
      </w: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Regulatory Assets and Liabilities</w:t>
      </w:r>
    </w:p>
    <w:p>
      <w:pPr>
        <w:spacing w:after="0" w:line="243" w:lineRule="exact"/>
        <w:rPr>
          <w:sz w:val="20"/>
          <w:szCs w:val="20"/>
          <w:color w:val="auto"/>
        </w:rPr>
      </w:pPr>
    </w:p>
    <w:p>
      <w:pPr>
        <w:ind w:right="760"/>
        <w:spacing w:after="0" w:line="260" w:lineRule="auto"/>
        <w:rPr>
          <w:sz w:val="20"/>
          <w:szCs w:val="20"/>
          <w:color w:val="auto"/>
        </w:rPr>
      </w:pPr>
      <w:r>
        <w:rPr>
          <w:rFonts w:ascii="Arial" w:cs="Arial" w:eastAsia="Arial" w:hAnsi="Arial"/>
          <w:sz w:val="20"/>
          <w:szCs w:val="20"/>
          <w:color w:val="auto"/>
        </w:rPr>
        <w:t>In accordance with the accounting principles of SFAS 71, the company records regulatory assets and regulatory liabilities as discussed above.</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Regulatory assets (liabilities) as of December 31 relate to the following matters:</w:t>
      </w:r>
    </w:p>
    <w:p>
      <w:pPr>
        <w:spacing w:after="0" w:line="286" w:lineRule="exact"/>
        <w:rPr>
          <w:sz w:val="20"/>
          <w:szCs w:val="20"/>
          <w:color w:val="auto"/>
        </w:rPr>
      </w:pPr>
    </w:p>
    <w:tbl>
      <w:tblPr>
        <w:tblLayout w:type="fixed"/>
        <w:tblInd w:w="1620" w:type="dxa"/>
        <w:tblCellMar>
          <w:top w:w="0" w:type="dxa"/>
          <w:left w:w="0" w:type="dxa"/>
          <w:bottom w:w="0" w:type="dxa"/>
          <w:right w:w="0" w:type="dxa"/>
        </w:tblCellMar>
      </w:tblPr>
      <w:tr>
        <w:trPr>
          <w:trHeight w:val="237"/>
        </w:trPr>
        <w:tc>
          <w:tcPr>
            <w:tcW w:w="498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(Dollars in millions)</w:t>
            </w: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rPr>
              <w:t>2007</w:t>
            </w:r>
          </w:p>
        </w:tc>
        <w:tc>
          <w:tcPr>
            <w:tcW w:w="6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2006</w:t>
            </w:r>
          </w:p>
        </w:tc>
      </w:tr>
      <w:tr>
        <w:trPr>
          <w:trHeight w:val="237"/>
        </w:trPr>
        <w:tc>
          <w:tcPr>
            <w:tcW w:w="4980" w:type="dxa"/>
            <w:vAlign w:val="bottom"/>
            <w:gridSpan w:val="3"/>
          </w:tcPr>
          <w:p>
            <w:pPr>
              <w:ind w:left="20"/>
              <w:spacing w:after="0"/>
              <w:rPr>
                <w:sz w:val="20"/>
                <w:szCs w:val="20"/>
                <w:color w:val="auto"/>
              </w:rPr>
            </w:pPr>
            <w:r>
              <w:rPr>
                <w:rFonts w:ascii="Arial" w:cs="Arial" w:eastAsia="Arial" w:hAnsi="Arial"/>
                <w:sz w:val="18"/>
                <w:szCs w:val="18"/>
                <w:color w:val="auto"/>
              </w:rPr>
              <w:t>SDG&amp;E</w:t>
            </w: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30"/>
        </w:trPr>
        <w:tc>
          <w:tcPr>
            <w:tcW w:w="8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87"/>
              </w:rPr>
              <w:t>Fixed-price</w:t>
            </w:r>
          </w:p>
        </w:tc>
        <w:tc>
          <w:tcPr>
            <w:tcW w:w="4160" w:type="dxa"/>
            <w:vAlign w:val="bottom"/>
            <w:gridSpan w:val="2"/>
          </w:tcPr>
          <w:p>
            <w:pPr>
              <w:jc w:val="right"/>
              <w:ind w:right="1790"/>
              <w:spacing w:after="0"/>
              <w:rPr>
                <w:sz w:val="20"/>
                <w:szCs w:val="20"/>
                <w:color w:val="auto"/>
              </w:rPr>
            </w:pPr>
            <w:r>
              <w:rPr>
                <w:rFonts w:ascii="Arial" w:cs="Arial" w:eastAsia="Arial" w:hAnsi="Arial"/>
                <w:sz w:val="18"/>
                <w:szCs w:val="18"/>
                <w:color w:val="auto"/>
                <w:w w:val="92"/>
              </w:rPr>
              <w:t>contracts and other derivatives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350"/>
              <w:spacing w:after="0"/>
              <w:rPr>
                <w:sz w:val="20"/>
                <w:szCs w:val="20"/>
                <w:color w:val="auto"/>
              </w:rPr>
            </w:pPr>
            <w:r>
              <w:rPr>
                <w:rFonts w:ascii="Arial" w:cs="Arial" w:eastAsia="Arial" w:hAnsi="Arial"/>
                <w:sz w:val="18"/>
                <w:szCs w:val="18"/>
                <w:color w:val="auto"/>
              </w:rPr>
              <w:t>361</w:t>
            </w:r>
          </w:p>
        </w:tc>
        <w:tc>
          <w:tcPr>
            <w:tcW w:w="6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429</w:t>
            </w:r>
          </w:p>
        </w:tc>
      </w:tr>
      <w:tr>
        <w:trPr>
          <w:trHeight w:val="242"/>
        </w:trPr>
        <w:tc>
          <w:tcPr>
            <w:tcW w:w="4980" w:type="dxa"/>
            <w:vAlign w:val="bottom"/>
            <w:gridSpan w:val="3"/>
          </w:tcPr>
          <w:p>
            <w:pPr>
              <w:ind w:left="20"/>
              <w:spacing w:after="0"/>
              <w:rPr>
                <w:sz w:val="20"/>
                <w:szCs w:val="20"/>
                <w:color w:val="auto"/>
              </w:rPr>
            </w:pPr>
            <w:r>
              <w:rPr>
                <w:rFonts w:ascii="Arial" w:cs="Arial" w:eastAsia="Arial" w:hAnsi="Arial"/>
                <w:sz w:val="18"/>
                <w:szCs w:val="18"/>
                <w:color w:val="auto"/>
              </w:rPr>
              <w:t>Recapture of temporary rate reduction*</w:t>
            </w:r>
          </w:p>
        </w:tc>
        <w:tc>
          <w:tcPr>
            <w:tcW w:w="240" w:type="dxa"/>
            <w:vAlign w:val="bottom"/>
          </w:tcPr>
          <w:p>
            <w:pPr>
              <w:spacing w:after="0"/>
              <w:rPr>
                <w:sz w:val="21"/>
                <w:szCs w:val="21"/>
                <w:color w:val="auto"/>
              </w:rPr>
            </w:pPr>
          </w:p>
        </w:tc>
        <w:tc>
          <w:tcPr>
            <w:tcW w:w="12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1"/>
                <w:szCs w:val="21"/>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56</w:t>
            </w:r>
          </w:p>
        </w:tc>
      </w:tr>
      <w:tr>
        <w:trPr>
          <w:trHeight w:val="243"/>
        </w:trPr>
        <w:tc>
          <w:tcPr>
            <w:tcW w:w="4980" w:type="dxa"/>
            <w:vAlign w:val="bottom"/>
            <w:gridSpan w:val="3"/>
          </w:tcPr>
          <w:p>
            <w:pPr>
              <w:ind w:left="20"/>
              <w:spacing w:after="0"/>
              <w:rPr>
                <w:sz w:val="20"/>
                <w:szCs w:val="20"/>
                <w:color w:val="auto"/>
              </w:rPr>
            </w:pPr>
            <w:r>
              <w:rPr>
                <w:rFonts w:ascii="Arial" w:cs="Arial" w:eastAsia="Arial" w:hAnsi="Arial"/>
                <w:sz w:val="18"/>
                <w:szCs w:val="18"/>
                <w:color w:val="auto"/>
              </w:rPr>
              <w:t>Deferred taxes recoverable in rates</w:t>
            </w:r>
          </w:p>
        </w:tc>
        <w:tc>
          <w:tcPr>
            <w:tcW w:w="240" w:type="dxa"/>
            <w:vAlign w:val="bottom"/>
          </w:tcPr>
          <w:p>
            <w:pPr>
              <w:spacing w:after="0"/>
              <w:rPr>
                <w:sz w:val="21"/>
                <w:szCs w:val="21"/>
                <w:color w:val="auto"/>
              </w:rPr>
            </w:pPr>
          </w:p>
        </w:tc>
        <w:tc>
          <w:tcPr>
            <w:tcW w:w="1280" w:type="dxa"/>
            <w:vAlign w:val="bottom"/>
          </w:tcPr>
          <w:p>
            <w:pPr>
              <w:jc w:val="right"/>
              <w:ind w:right="350"/>
              <w:spacing w:after="0"/>
              <w:rPr>
                <w:sz w:val="20"/>
                <w:szCs w:val="20"/>
                <w:color w:val="auto"/>
              </w:rPr>
            </w:pPr>
            <w:r>
              <w:rPr>
                <w:rFonts w:ascii="Arial" w:cs="Arial" w:eastAsia="Arial" w:hAnsi="Arial"/>
                <w:sz w:val="18"/>
                <w:szCs w:val="18"/>
                <w:color w:val="auto"/>
              </w:rPr>
              <w:t>312</w:t>
            </w:r>
          </w:p>
        </w:tc>
        <w:tc>
          <w:tcPr>
            <w:tcW w:w="620" w:type="dxa"/>
            <w:vAlign w:val="bottom"/>
          </w:tcPr>
          <w:p>
            <w:pPr>
              <w:spacing w:after="0"/>
              <w:rPr>
                <w:sz w:val="21"/>
                <w:szCs w:val="21"/>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318</w:t>
            </w:r>
          </w:p>
        </w:tc>
      </w:tr>
      <w:tr>
        <w:trPr>
          <w:trHeight w:val="243"/>
        </w:trPr>
        <w:tc>
          <w:tcPr>
            <w:tcW w:w="4980" w:type="dxa"/>
            <w:vAlign w:val="bottom"/>
            <w:gridSpan w:val="3"/>
          </w:tcPr>
          <w:p>
            <w:pPr>
              <w:ind w:left="20"/>
              <w:spacing w:after="0"/>
              <w:rPr>
                <w:sz w:val="20"/>
                <w:szCs w:val="20"/>
                <w:color w:val="auto"/>
              </w:rPr>
            </w:pPr>
            <w:r>
              <w:rPr>
                <w:rFonts w:ascii="Arial" w:cs="Arial" w:eastAsia="Arial" w:hAnsi="Arial"/>
                <w:sz w:val="18"/>
                <w:szCs w:val="18"/>
                <w:color w:val="auto"/>
              </w:rPr>
              <w:t>Unamortized loss on reacquired debt, net</w:t>
            </w:r>
          </w:p>
        </w:tc>
        <w:tc>
          <w:tcPr>
            <w:tcW w:w="240" w:type="dxa"/>
            <w:vAlign w:val="bottom"/>
          </w:tcPr>
          <w:p>
            <w:pPr>
              <w:spacing w:after="0"/>
              <w:rPr>
                <w:sz w:val="21"/>
                <w:szCs w:val="21"/>
                <w:color w:val="auto"/>
              </w:rPr>
            </w:pPr>
          </w:p>
        </w:tc>
        <w:tc>
          <w:tcPr>
            <w:tcW w:w="1280" w:type="dxa"/>
            <w:vAlign w:val="bottom"/>
          </w:tcPr>
          <w:p>
            <w:pPr>
              <w:jc w:val="right"/>
              <w:ind w:right="350"/>
              <w:spacing w:after="0"/>
              <w:rPr>
                <w:sz w:val="20"/>
                <w:szCs w:val="20"/>
                <w:color w:val="auto"/>
              </w:rPr>
            </w:pPr>
            <w:r>
              <w:rPr>
                <w:rFonts w:ascii="Arial" w:cs="Arial" w:eastAsia="Arial" w:hAnsi="Arial"/>
                <w:sz w:val="18"/>
                <w:szCs w:val="18"/>
                <w:color w:val="auto"/>
              </w:rPr>
              <w:t>34</w:t>
            </w:r>
          </w:p>
        </w:tc>
        <w:tc>
          <w:tcPr>
            <w:tcW w:w="620" w:type="dxa"/>
            <w:vAlign w:val="bottom"/>
          </w:tcPr>
          <w:p>
            <w:pPr>
              <w:spacing w:after="0"/>
              <w:rPr>
                <w:sz w:val="21"/>
                <w:szCs w:val="21"/>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38</w:t>
            </w:r>
          </w:p>
        </w:tc>
      </w:tr>
      <w:tr>
        <w:trPr>
          <w:trHeight w:val="243"/>
        </w:trPr>
        <w:tc>
          <w:tcPr>
            <w:tcW w:w="4980" w:type="dxa"/>
            <w:vAlign w:val="bottom"/>
            <w:gridSpan w:val="3"/>
          </w:tcPr>
          <w:p>
            <w:pPr>
              <w:ind w:left="20"/>
              <w:spacing w:after="0"/>
              <w:rPr>
                <w:sz w:val="20"/>
                <w:szCs w:val="20"/>
                <w:color w:val="auto"/>
              </w:rPr>
            </w:pPr>
            <w:r>
              <w:rPr>
                <w:rFonts w:ascii="Arial" w:cs="Arial" w:eastAsia="Arial" w:hAnsi="Arial"/>
                <w:sz w:val="18"/>
                <w:szCs w:val="18"/>
                <w:color w:val="auto"/>
              </w:rPr>
              <w:t>Pension and other postretirement benefit obligations</w:t>
            </w:r>
          </w:p>
        </w:tc>
        <w:tc>
          <w:tcPr>
            <w:tcW w:w="240" w:type="dxa"/>
            <w:vAlign w:val="bottom"/>
          </w:tcPr>
          <w:p>
            <w:pPr>
              <w:spacing w:after="0"/>
              <w:rPr>
                <w:sz w:val="21"/>
                <w:szCs w:val="21"/>
                <w:color w:val="auto"/>
              </w:rPr>
            </w:pPr>
          </w:p>
        </w:tc>
        <w:tc>
          <w:tcPr>
            <w:tcW w:w="1280" w:type="dxa"/>
            <w:vAlign w:val="bottom"/>
          </w:tcPr>
          <w:p>
            <w:pPr>
              <w:jc w:val="right"/>
              <w:ind w:right="350"/>
              <w:spacing w:after="0"/>
              <w:rPr>
                <w:sz w:val="20"/>
                <w:szCs w:val="20"/>
                <w:color w:val="auto"/>
              </w:rPr>
            </w:pPr>
            <w:r>
              <w:rPr>
                <w:rFonts w:ascii="Arial" w:cs="Arial" w:eastAsia="Arial" w:hAnsi="Arial"/>
                <w:sz w:val="18"/>
                <w:szCs w:val="18"/>
                <w:color w:val="auto"/>
              </w:rPr>
              <w:t>162</w:t>
            </w:r>
          </w:p>
        </w:tc>
        <w:tc>
          <w:tcPr>
            <w:tcW w:w="620" w:type="dxa"/>
            <w:vAlign w:val="bottom"/>
          </w:tcPr>
          <w:p>
            <w:pPr>
              <w:spacing w:after="0"/>
              <w:rPr>
                <w:sz w:val="21"/>
                <w:szCs w:val="21"/>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220</w:t>
            </w:r>
          </w:p>
        </w:tc>
      </w:tr>
      <w:tr>
        <w:trPr>
          <w:trHeight w:val="243"/>
        </w:trPr>
        <w:tc>
          <w:tcPr>
            <w:tcW w:w="4980" w:type="dxa"/>
            <w:vAlign w:val="bottom"/>
            <w:gridSpan w:val="3"/>
          </w:tcPr>
          <w:p>
            <w:pPr>
              <w:ind w:left="20"/>
              <w:spacing w:after="0"/>
              <w:rPr>
                <w:sz w:val="20"/>
                <w:szCs w:val="20"/>
                <w:color w:val="auto"/>
              </w:rPr>
            </w:pPr>
            <w:r>
              <w:rPr>
                <w:rFonts w:ascii="Arial" w:cs="Arial" w:eastAsia="Arial" w:hAnsi="Arial"/>
                <w:sz w:val="18"/>
                <w:szCs w:val="18"/>
                <w:color w:val="auto"/>
              </w:rPr>
              <w:t>Removal obligations**</w:t>
            </w:r>
          </w:p>
        </w:tc>
        <w:tc>
          <w:tcPr>
            <w:tcW w:w="240" w:type="dxa"/>
            <w:vAlign w:val="bottom"/>
          </w:tcPr>
          <w:p>
            <w:pPr>
              <w:spacing w:after="0"/>
              <w:rPr>
                <w:sz w:val="21"/>
                <w:szCs w:val="21"/>
                <w:color w:val="auto"/>
              </w:rPr>
            </w:pPr>
          </w:p>
        </w:tc>
        <w:tc>
          <w:tcPr>
            <w:tcW w:w="1280" w:type="dxa"/>
            <w:vAlign w:val="bottom"/>
          </w:tcPr>
          <w:p>
            <w:pPr>
              <w:jc w:val="right"/>
              <w:ind w:right="250"/>
              <w:spacing w:after="0"/>
              <w:rPr>
                <w:sz w:val="20"/>
                <w:szCs w:val="20"/>
                <w:color w:val="auto"/>
              </w:rPr>
            </w:pPr>
            <w:r>
              <w:rPr>
                <w:rFonts w:ascii="Arial" w:cs="Arial" w:eastAsia="Arial" w:hAnsi="Arial"/>
                <w:sz w:val="18"/>
                <w:szCs w:val="18"/>
                <w:color w:val="auto"/>
              </w:rPr>
              <w:t>(1,335 )</w:t>
            </w:r>
          </w:p>
        </w:tc>
        <w:tc>
          <w:tcPr>
            <w:tcW w:w="620" w:type="dxa"/>
            <w:vAlign w:val="bottom"/>
          </w:tcPr>
          <w:p>
            <w:pPr>
              <w:spacing w:after="0"/>
              <w:rPr>
                <w:sz w:val="21"/>
                <w:szCs w:val="21"/>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(1,311 )</w:t>
            </w:r>
          </w:p>
        </w:tc>
      </w:tr>
      <w:tr>
        <w:trPr>
          <w:trHeight w:val="243"/>
        </w:trPr>
        <w:tc>
          <w:tcPr>
            <w:tcW w:w="4980" w:type="dxa"/>
            <w:vAlign w:val="bottom"/>
            <w:gridSpan w:val="3"/>
          </w:tcPr>
          <w:p>
            <w:pPr>
              <w:ind w:left="20"/>
              <w:spacing w:after="0"/>
              <w:rPr>
                <w:sz w:val="20"/>
                <w:szCs w:val="20"/>
                <w:color w:val="auto"/>
              </w:rPr>
            </w:pPr>
            <w:r>
              <w:rPr>
                <w:rFonts w:ascii="Arial" w:cs="Arial" w:eastAsia="Arial" w:hAnsi="Arial"/>
                <w:sz w:val="18"/>
                <w:szCs w:val="18"/>
                <w:color w:val="auto"/>
              </w:rPr>
              <w:t>Environmental costs</w:t>
            </w:r>
          </w:p>
        </w:tc>
        <w:tc>
          <w:tcPr>
            <w:tcW w:w="240" w:type="dxa"/>
            <w:vAlign w:val="bottom"/>
          </w:tcPr>
          <w:p>
            <w:pPr>
              <w:spacing w:after="0"/>
              <w:rPr>
                <w:sz w:val="21"/>
                <w:szCs w:val="21"/>
                <w:color w:val="auto"/>
              </w:rPr>
            </w:pPr>
          </w:p>
        </w:tc>
        <w:tc>
          <w:tcPr>
            <w:tcW w:w="1280" w:type="dxa"/>
            <w:vAlign w:val="bottom"/>
          </w:tcPr>
          <w:p>
            <w:pPr>
              <w:jc w:val="right"/>
              <w:ind w:right="350"/>
              <w:spacing w:after="0"/>
              <w:rPr>
                <w:sz w:val="20"/>
                <w:szCs w:val="20"/>
                <w:color w:val="auto"/>
              </w:rPr>
            </w:pPr>
            <w:r>
              <w:rPr>
                <w:rFonts w:ascii="Arial" w:cs="Arial" w:eastAsia="Arial" w:hAnsi="Arial"/>
                <w:sz w:val="18"/>
                <w:szCs w:val="18"/>
                <w:color w:val="auto"/>
              </w:rPr>
              <w:t>11</w:t>
            </w:r>
          </w:p>
        </w:tc>
        <w:tc>
          <w:tcPr>
            <w:tcW w:w="620" w:type="dxa"/>
            <w:vAlign w:val="bottom"/>
          </w:tcPr>
          <w:p>
            <w:pPr>
              <w:spacing w:after="0"/>
              <w:rPr>
                <w:sz w:val="21"/>
                <w:szCs w:val="21"/>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16</w:t>
            </w:r>
          </w:p>
        </w:tc>
      </w:tr>
      <w:tr>
        <w:trPr>
          <w:trHeight w:val="250"/>
        </w:trPr>
        <w:tc>
          <w:tcPr>
            <w:tcW w:w="4980" w:type="dxa"/>
            <w:vAlign w:val="bottom"/>
            <w:gridSpan w:val="3"/>
          </w:tcPr>
          <w:p>
            <w:pPr>
              <w:ind w:left="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17</w:t>
            </w:r>
          </w:p>
        </w:tc>
        <w:tc>
          <w:tcPr>
            <w:tcW w:w="6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18</w:t>
            </w:r>
          </w:p>
        </w:tc>
      </w:tr>
      <w:tr>
        <w:trPr>
          <w:trHeight w:val="237"/>
        </w:trPr>
        <w:tc>
          <w:tcPr>
            <w:tcW w:w="4980" w:type="dxa"/>
            <w:vAlign w:val="bottom"/>
            <w:gridSpan w:val="3"/>
          </w:tcPr>
          <w:p>
            <w:pPr>
              <w:ind w:left="3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(438 )</w:t>
            </w:r>
          </w:p>
        </w:tc>
        <w:tc>
          <w:tcPr>
            <w:tcW w:w="6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(216 )</w:t>
            </w:r>
          </w:p>
        </w:tc>
      </w:tr>
      <w:tr>
        <w:trPr>
          <w:trHeight w:val="480"/>
        </w:trPr>
        <w:tc>
          <w:tcPr>
            <w:tcW w:w="4980" w:type="dxa"/>
            <w:vAlign w:val="bottom"/>
            <w:gridSpan w:val="3"/>
          </w:tcPr>
          <w:p>
            <w:pPr>
              <w:ind w:left="20"/>
              <w:spacing w:after="0"/>
              <w:rPr>
                <w:sz w:val="20"/>
                <w:szCs w:val="20"/>
                <w:color w:val="auto"/>
              </w:rPr>
            </w:pPr>
            <w:r>
              <w:rPr>
                <w:rFonts w:ascii="Arial" w:cs="Arial" w:eastAsia="Arial" w:hAnsi="Arial"/>
                <w:sz w:val="18"/>
                <w:szCs w:val="18"/>
                <w:color w:val="auto"/>
              </w:rPr>
              <w:t>SoCalGas</w:t>
            </w: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30"/>
        </w:trPr>
        <w:tc>
          <w:tcPr>
            <w:tcW w:w="92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w w:val="98"/>
              </w:rPr>
              <w:t>Fixed-price</w:t>
            </w:r>
          </w:p>
        </w:tc>
        <w:tc>
          <w:tcPr>
            <w:tcW w:w="4060" w:type="dxa"/>
            <w:vAlign w:val="bottom"/>
          </w:tcPr>
          <w:p>
            <w:pPr>
              <w:jc w:val="right"/>
              <w:ind w:right="1790"/>
              <w:spacing w:after="0"/>
              <w:rPr>
                <w:sz w:val="20"/>
                <w:szCs w:val="20"/>
                <w:color w:val="auto"/>
              </w:rPr>
            </w:pPr>
            <w:r>
              <w:rPr>
                <w:rFonts w:ascii="Arial" w:cs="Arial" w:eastAsia="Arial" w:hAnsi="Arial"/>
                <w:sz w:val="18"/>
                <w:szCs w:val="18"/>
                <w:color w:val="auto"/>
                <w:w w:val="88"/>
              </w:rPr>
              <w:t>contracts and other derivatives</w:t>
            </w:r>
          </w:p>
        </w:tc>
        <w:tc>
          <w:tcPr>
            <w:tcW w:w="240" w:type="dxa"/>
            <w:vAlign w:val="bottom"/>
          </w:tcPr>
          <w:p>
            <w:pPr>
              <w:spacing w:after="0"/>
              <w:rPr>
                <w:sz w:val="20"/>
                <w:szCs w:val="20"/>
                <w:color w:val="auto"/>
              </w:rPr>
            </w:pPr>
          </w:p>
        </w:tc>
        <w:tc>
          <w:tcPr>
            <w:tcW w:w="1280" w:type="dxa"/>
            <w:vAlign w:val="bottom"/>
          </w:tcPr>
          <w:p>
            <w:pPr>
              <w:jc w:val="right"/>
              <w:ind w:right="250"/>
              <w:spacing w:after="0"/>
              <w:rPr>
                <w:sz w:val="20"/>
                <w:szCs w:val="20"/>
                <w:color w:val="auto"/>
              </w:rPr>
            </w:pPr>
            <w:r>
              <w:rPr>
                <w:rFonts w:ascii="Arial" w:cs="Arial" w:eastAsia="Arial" w:hAnsi="Arial"/>
                <w:sz w:val="18"/>
                <w:szCs w:val="18"/>
                <w:color w:val="auto"/>
              </w:rPr>
              <w:t>(1 )</w:t>
            </w:r>
          </w:p>
        </w:tc>
        <w:tc>
          <w:tcPr>
            <w:tcW w:w="620" w:type="dxa"/>
            <w:vAlign w:val="bottom"/>
          </w:tcPr>
          <w:p>
            <w:pPr>
              <w:spacing w:after="0"/>
              <w:rPr>
                <w:sz w:val="20"/>
                <w:szCs w:val="20"/>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(1 )</w:t>
            </w:r>
          </w:p>
        </w:tc>
      </w:tr>
      <w:tr>
        <w:trPr>
          <w:trHeight w:val="242"/>
        </w:trPr>
        <w:tc>
          <w:tcPr>
            <w:tcW w:w="4980" w:type="dxa"/>
            <w:vAlign w:val="bottom"/>
            <w:gridSpan w:val="3"/>
          </w:tcPr>
          <w:p>
            <w:pPr>
              <w:ind w:left="20"/>
              <w:spacing w:after="0"/>
              <w:rPr>
                <w:sz w:val="20"/>
                <w:szCs w:val="20"/>
                <w:color w:val="auto"/>
              </w:rPr>
            </w:pPr>
            <w:r>
              <w:rPr>
                <w:rFonts w:ascii="Arial" w:cs="Arial" w:eastAsia="Arial" w:hAnsi="Arial"/>
                <w:sz w:val="18"/>
                <w:szCs w:val="18"/>
                <w:color w:val="auto"/>
              </w:rPr>
              <w:t>Environmental costs</w:t>
            </w:r>
          </w:p>
        </w:tc>
        <w:tc>
          <w:tcPr>
            <w:tcW w:w="240" w:type="dxa"/>
            <w:vAlign w:val="bottom"/>
          </w:tcPr>
          <w:p>
            <w:pPr>
              <w:spacing w:after="0"/>
              <w:rPr>
                <w:sz w:val="21"/>
                <w:szCs w:val="21"/>
                <w:color w:val="auto"/>
              </w:rPr>
            </w:pPr>
          </w:p>
        </w:tc>
        <w:tc>
          <w:tcPr>
            <w:tcW w:w="1280" w:type="dxa"/>
            <w:vAlign w:val="bottom"/>
          </w:tcPr>
          <w:p>
            <w:pPr>
              <w:jc w:val="right"/>
              <w:ind w:right="350"/>
              <w:spacing w:after="0"/>
              <w:rPr>
                <w:sz w:val="20"/>
                <w:szCs w:val="20"/>
                <w:color w:val="auto"/>
              </w:rPr>
            </w:pPr>
            <w:r>
              <w:rPr>
                <w:rFonts w:ascii="Arial" w:cs="Arial" w:eastAsia="Arial" w:hAnsi="Arial"/>
                <w:sz w:val="18"/>
                <w:szCs w:val="18"/>
                <w:color w:val="auto"/>
              </w:rPr>
              <w:t>43</w:t>
            </w:r>
          </w:p>
        </w:tc>
        <w:tc>
          <w:tcPr>
            <w:tcW w:w="620" w:type="dxa"/>
            <w:vAlign w:val="bottom"/>
          </w:tcPr>
          <w:p>
            <w:pPr>
              <w:spacing w:after="0"/>
              <w:rPr>
                <w:sz w:val="21"/>
                <w:szCs w:val="21"/>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39</w:t>
            </w:r>
          </w:p>
        </w:tc>
      </w:tr>
      <w:tr>
        <w:trPr>
          <w:trHeight w:val="243"/>
        </w:trPr>
        <w:tc>
          <w:tcPr>
            <w:tcW w:w="4980" w:type="dxa"/>
            <w:vAlign w:val="bottom"/>
            <w:gridSpan w:val="3"/>
          </w:tcPr>
          <w:p>
            <w:pPr>
              <w:ind w:left="20"/>
              <w:spacing w:after="0"/>
              <w:rPr>
                <w:sz w:val="20"/>
                <w:szCs w:val="20"/>
                <w:color w:val="auto"/>
              </w:rPr>
            </w:pPr>
            <w:r>
              <w:rPr>
                <w:rFonts w:ascii="Arial" w:cs="Arial" w:eastAsia="Arial" w:hAnsi="Arial"/>
                <w:sz w:val="18"/>
                <w:szCs w:val="18"/>
                <w:color w:val="auto"/>
              </w:rPr>
              <w:t>Unamortized loss on reacquired debt, net</w:t>
            </w:r>
          </w:p>
        </w:tc>
        <w:tc>
          <w:tcPr>
            <w:tcW w:w="240" w:type="dxa"/>
            <w:vAlign w:val="bottom"/>
          </w:tcPr>
          <w:p>
            <w:pPr>
              <w:spacing w:after="0"/>
              <w:rPr>
                <w:sz w:val="21"/>
                <w:szCs w:val="21"/>
                <w:color w:val="auto"/>
              </w:rPr>
            </w:pPr>
          </w:p>
        </w:tc>
        <w:tc>
          <w:tcPr>
            <w:tcW w:w="1280" w:type="dxa"/>
            <w:vAlign w:val="bottom"/>
          </w:tcPr>
          <w:p>
            <w:pPr>
              <w:jc w:val="right"/>
              <w:ind w:right="350"/>
              <w:spacing w:after="0"/>
              <w:rPr>
                <w:sz w:val="20"/>
                <w:szCs w:val="20"/>
                <w:color w:val="auto"/>
              </w:rPr>
            </w:pPr>
            <w:r>
              <w:rPr>
                <w:rFonts w:ascii="Arial" w:cs="Arial" w:eastAsia="Arial" w:hAnsi="Arial"/>
                <w:sz w:val="18"/>
                <w:szCs w:val="18"/>
                <w:color w:val="auto"/>
              </w:rPr>
              <w:t>34</w:t>
            </w:r>
          </w:p>
        </w:tc>
        <w:tc>
          <w:tcPr>
            <w:tcW w:w="620" w:type="dxa"/>
            <w:vAlign w:val="bottom"/>
          </w:tcPr>
          <w:p>
            <w:pPr>
              <w:spacing w:after="0"/>
              <w:rPr>
                <w:sz w:val="21"/>
                <w:szCs w:val="21"/>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37</w:t>
            </w:r>
          </w:p>
        </w:tc>
      </w:tr>
      <w:tr>
        <w:trPr>
          <w:trHeight w:val="243"/>
        </w:trPr>
        <w:tc>
          <w:tcPr>
            <w:tcW w:w="4980" w:type="dxa"/>
            <w:vAlign w:val="bottom"/>
            <w:gridSpan w:val="3"/>
          </w:tcPr>
          <w:p>
            <w:pPr>
              <w:ind w:left="20"/>
              <w:spacing w:after="0"/>
              <w:rPr>
                <w:sz w:val="20"/>
                <w:szCs w:val="20"/>
                <w:color w:val="auto"/>
              </w:rPr>
            </w:pPr>
            <w:r>
              <w:rPr>
                <w:rFonts w:ascii="Arial" w:cs="Arial" w:eastAsia="Arial" w:hAnsi="Arial"/>
                <w:sz w:val="18"/>
                <w:szCs w:val="18"/>
                <w:color w:val="auto"/>
              </w:rPr>
              <w:t>Removal obligations**</w:t>
            </w:r>
          </w:p>
        </w:tc>
        <w:tc>
          <w:tcPr>
            <w:tcW w:w="240" w:type="dxa"/>
            <w:vAlign w:val="bottom"/>
          </w:tcPr>
          <w:p>
            <w:pPr>
              <w:spacing w:after="0"/>
              <w:rPr>
                <w:sz w:val="21"/>
                <w:szCs w:val="21"/>
                <w:color w:val="auto"/>
              </w:rPr>
            </w:pPr>
          </w:p>
        </w:tc>
        <w:tc>
          <w:tcPr>
            <w:tcW w:w="1280" w:type="dxa"/>
            <w:vAlign w:val="bottom"/>
          </w:tcPr>
          <w:p>
            <w:pPr>
              <w:jc w:val="right"/>
              <w:ind w:right="250"/>
              <w:spacing w:after="0"/>
              <w:rPr>
                <w:sz w:val="20"/>
                <w:szCs w:val="20"/>
                <w:color w:val="auto"/>
              </w:rPr>
            </w:pPr>
            <w:r>
              <w:rPr>
                <w:rFonts w:ascii="Arial" w:cs="Arial" w:eastAsia="Arial" w:hAnsi="Arial"/>
                <w:sz w:val="18"/>
                <w:szCs w:val="18"/>
                <w:color w:val="auto"/>
              </w:rPr>
              <w:t>(1,187 )</w:t>
            </w:r>
          </w:p>
        </w:tc>
        <w:tc>
          <w:tcPr>
            <w:tcW w:w="620" w:type="dxa"/>
            <w:vAlign w:val="bottom"/>
          </w:tcPr>
          <w:p>
            <w:pPr>
              <w:spacing w:after="0"/>
              <w:rPr>
                <w:sz w:val="21"/>
                <w:szCs w:val="21"/>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(1,019 )</w:t>
            </w:r>
          </w:p>
        </w:tc>
      </w:tr>
      <w:tr>
        <w:trPr>
          <w:trHeight w:val="243"/>
        </w:trPr>
        <w:tc>
          <w:tcPr>
            <w:tcW w:w="4980" w:type="dxa"/>
            <w:vAlign w:val="bottom"/>
            <w:gridSpan w:val="3"/>
          </w:tcPr>
          <w:p>
            <w:pPr>
              <w:ind w:left="20"/>
              <w:spacing w:after="0"/>
              <w:rPr>
                <w:sz w:val="20"/>
                <w:szCs w:val="20"/>
                <w:color w:val="auto"/>
              </w:rPr>
            </w:pPr>
            <w:r>
              <w:rPr>
                <w:rFonts w:ascii="Arial" w:cs="Arial" w:eastAsia="Arial" w:hAnsi="Arial"/>
                <w:sz w:val="18"/>
                <w:szCs w:val="18"/>
                <w:color w:val="auto"/>
              </w:rPr>
              <w:t>Deferred taxes refundable in rates</w:t>
            </w:r>
          </w:p>
        </w:tc>
        <w:tc>
          <w:tcPr>
            <w:tcW w:w="240" w:type="dxa"/>
            <w:vAlign w:val="bottom"/>
          </w:tcPr>
          <w:p>
            <w:pPr>
              <w:spacing w:after="0"/>
              <w:rPr>
                <w:sz w:val="21"/>
                <w:szCs w:val="21"/>
                <w:color w:val="auto"/>
              </w:rPr>
            </w:pPr>
          </w:p>
        </w:tc>
        <w:tc>
          <w:tcPr>
            <w:tcW w:w="1280" w:type="dxa"/>
            <w:vAlign w:val="bottom"/>
          </w:tcPr>
          <w:p>
            <w:pPr>
              <w:jc w:val="right"/>
              <w:ind w:right="250"/>
              <w:spacing w:after="0"/>
              <w:rPr>
                <w:sz w:val="20"/>
                <w:szCs w:val="20"/>
                <w:color w:val="auto"/>
              </w:rPr>
            </w:pPr>
            <w:r>
              <w:rPr>
                <w:rFonts w:ascii="Arial" w:cs="Arial" w:eastAsia="Arial" w:hAnsi="Arial"/>
                <w:sz w:val="18"/>
                <w:szCs w:val="18"/>
                <w:color w:val="auto"/>
              </w:rPr>
              <w:t>(231 )</w:t>
            </w:r>
          </w:p>
        </w:tc>
        <w:tc>
          <w:tcPr>
            <w:tcW w:w="620" w:type="dxa"/>
            <w:vAlign w:val="bottom"/>
          </w:tcPr>
          <w:p>
            <w:pPr>
              <w:spacing w:after="0"/>
              <w:rPr>
                <w:sz w:val="21"/>
                <w:szCs w:val="21"/>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(221 )</w:t>
            </w:r>
          </w:p>
        </w:tc>
      </w:tr>
      <w:tr>
        <w:trPr>
          <w:trHeight w:val="243"/>
        </w:trPr>
        <w:tc>
          <w:tcPr>
            <w:tcW w:w="4980" w:type="dxa"/>
            <w:vAlign w:val="bottom"/>
            <w:gridSpan w:val="3"/>
          </w:tcPr>
          <w:p>
            <w:pPr>
              <w:ind w:left="20"/>
              <w:spacing w:after="0"/>
              <w:rPr>
                <w:sz w:val="20"/>
                <w:szCs w:val="20"/>
                <w:color w:val="auto"/>
              </w:rPr>
            </w:pPr>
            <w:r>
              <w:rPr>
                <w:rFonts w:ascii="Arial" w:cs="Arial" w:eastAsia="Arial" w:hAnsi="Arial"/>
                <w:sz w:val="18"/>
                <w:szCs w:val="18"/>
                <w:color w:val="auto"/>
              </w:rPr>
              <w:t>Employee benefit costs</w:t>
            </w:r>
          </w:p>
        </w:tc>
        <w:tc>
          <w:tcPr>
            <w:tcW w:w="240" w:type="dxa"/>
            <w:vAlign w:val="bottom"/>
          </w:tcPr>
          <w:p>
            <w:pPr>
              <w:spacing w:after="0"/>
              <w:rPr>
                <w:sz w:val="21"/>
                <w:szCs w:val="21"/>
                <w:color w:val="auto"/>
              </w:rPr>
            </w:pPr>
          </w:p>
        </w:tc>
        <w:tc>
          <w:tcPr>
            <w:tcW w:w="1280" w:type="dxa"/>
            <w:vAlign w:val="bottom"/>
          </w:tcPr>
          <w:p>
            <w:pPr>
              <w:jc w:val="right"/>
              <w:ind w:right="350"/>
              <w:spacing w:after="0"/>
              <w:rPr>
                <w:sz w:val="20"/>
                <w:szCs w:val="20"/>
                <w:color w:val="auto"/>
              </w:rPr>
            </w:pPr>
            <w:r>
              <w:rPr>
                <w:rFonts w:ascii="Arial" w:cs="Arial" w:eastAsia="Arial" w:hAnsi="Arial"/>
                <w:sz w:val="18"/>
                <w:szCs w:val="18"/>
                <w:color w:val="auto"/>
              </w:rPr>
              <w:t>41</w:t>
            </w:r>
          </w:p>
        </w:tc>
        <w:tc>
          <w:tcPr>
            <w:tcW w:w="620" w:type="dxa"/>
            <w:vAlign w:val="bottom"/>
          </w:tcPr>
          <w:p>
            <w:pPr>
              <w:spacing w:after="0"/>
              <w:rPr>
                <w:sz w:val="21"/>
                <w:szCs w:val="21"/>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36</w:t>
            </w:r>
          </w:p>
        </w:tc>
      </w:tr>
      <w:tr>
        <w:trPr>
          <w:trHeight w:val="243"/>
        </w:trPr>
        <w:tc>
          <w:tcPr>
            <w:tcW w:w="4980" w:type="dxa"/>
            <w:vAlign w:val="bottom"/>
            <w:gridSpan w:val="3"/>
          </w:tcPr>
          <w:p>
            <w:pPr>
              <w:ind w:left="20"/>
              <w:spacing w:after="0"/>
              <w:rPr>
                <w:sz w:val="20"/>
                <w:szCs w:val="20"/>
                <w:color w:val="auto"/>
              </w:rPr>
            </w:pPr>
            <w:r>
              <w:rPr>
                <w:rFonts w:ascii="Arial" w:cs="Arial" w:eastAsia="Arial" w:hAnsi="Arial"/>
                <w:sz w:val="18"/>
                <w:szCs w:val="18"/>
                <w:color w:val="auto"/>
              </w:rPr>
              <w:t>Pension and other postretirement benefit obligations</w:t>
            </w:r>
          </w:p>
        </w:tc>
        <w:tc>
          <w:tcPr>
            <w:tcW w:w="240" w:type="dxa"/>
            <w:vAlign w:val="bottom"/>
          </w:tcPr>
          <w:p>
            <w:pPr>
              <w:spacing w:after="0"/>
              <w:rPr>
                <w:sz w:val="21"/>
                <w:szCs w:val="21"/>
                <w:color w:val="auto"/>
              </w:rPr>
            </w:pPr>
          </w:p>
        </w:tc>
        <w:tc>
          <w:tcPr>
            <w:tcW w:w="1280" w:type="dxa"/>
            <w:vAlign w:val="bottom"/>
          </w:tcPr>
          <w:p>
            <w:pPr>
              <w:jc w:val="right"/>
              <w:ind w:right="250"/>
              <w:spacing w:after="0"/>
              <w:rPr>
                <w:sz w:val="20"/>
                <w:szCs w:val="20"/>
                <w:color w:val="auto"/>
              </w:rPr>
            </w:pPr>
            <w:r>
              <w:rPr>
                <w:rFonts w:ascii="Arial" w:cs="Arial" w:eastAsia="Arial" w:hAnsi="Arial"/>
                <w:sz w:val="18"/>
                <w:szCs w:val="18"/>
                <w:color w:val="auto"/>
              </w:rPr>
              <w:t>(34 )</w:t>
            </w:r>
          </w:p>
        </w:tc>
        <w:tc>
          <w:tcPr>
            <w:tcW w:w="620" w:type="dxa"/>
            <w:vAlign w:val="bottom"/>
          </w:tcPr>
          <w:p>
            <w:pPr>
              <w:spacing w:after="0"/>
              <w:rPr>
                <w:sz w:val="21"/>
                <w:szCs w:val="21"/>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136</w:t>
            </w:r>
          </w:p>
        </w:tc>
      </w:tr>
      <w:tr>
        <w:trPr>
          <w:trHeight w:val="250"/>
        </w:trPr>
        <w:tc>
          <w:tcPr>
            <w:tcW w:w="4980" w:type="dxa"/>
            <w:vAlign w:val="bottom"/>
            <w:gridSpan w:val="3"/>
          </w:tcPr>
          <w:p>
            <w:pPr>
              <w:ind w:left="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22</w:t>
            </w:r>
          </w:p>
        </w:tc>
        <w:tc>
          <w:tcPr>
            <w:tcW w:w="6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24</w:t>
            </w:r>
          </w:p>
        </w:tc>
      </w:tr>
      <w:tr>
        <w:trPr>
          <w:trHeight w:val="237"/>
        </w:trPr>
        <w:tc>
          <w:tcPr>
            <w:tcW w:w="4980" w:type="dxa"/>
            <w:vAlign w:val="bottom"/>
            <w:gridSpan w:val="3"/>
          </w:tcPr>
          <w:p>
            <w:pPr>
              <w:ind w:left="3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(1,313 )</w:t>
            </w:r>
          </w:p>
        </w:tc>
        <w:tc>
          <w:tcPr>
            <w:tcW w:w="6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(969 )</w:t>
            </w:r>
          </w:p>
        </w:tc>
      </w:tr>
      <w:tr>
        <w:trPr>
          <w:trHeight w:val="473"/>
        </w:trPr>
        <w:tc>
          <w:tcPr>
            <w:tcW w:w="4980" w:type="dxa"/>
            <w:vAlign w:val="bottom"/>
            <w:gridSpan w:val="3"/>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250"/>
              <w:spacing w:after="0"/>
              <w:rPr>
                <w:sz w:val="20"/>
                <w:szCs w:val="20"/>
                <w:color w:val="auto"/>
              </w:rPr>
            </w:pPr>
            <w:r>
              <w:rPr>
                <w:rFonts w:ascii="Arial" w:cs="Arial" w:eastAsia="Arial" w:hAnsi="Arial"/>
                <w:sz w:val="18"/>
                <w:szCs w:val="18"/>
                <w:color w:val="auto"/>
              </w:rPr>
              <w:t>(1,751 )</w:t>
            </w:r>
          </w:p>
        </w:tc>
        <w:tc>
          <w:tcPr>
            <w:tcW w:w="6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(1,185 )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8890</wp:posOffset>
            </wp:positionV>
            <wp:extent cx="519684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196840" cy="26035"/>
                    </a:xfrm>
                    <a:prstGeom prst="rect">
                      <a:avLst/>
                    </a:prstGeom>
                    <a:noFill/>
                  </pic:spPr>
                </pic:pic>
              </a:graphicData>
            </a:graphic>
          </wp:anchor>
        </w:drawing>
      </w:r>
    </w:p>
    <w:p>
      <w:pPr>
        <w:spacing w:after="0" w:line="33" w:lineRule="exact"/>
        <w:rPr>
          <w:sz w:val="20"/>
          <w:szCs w:val="20"/>
          <w:color w:val="auto"/>
        </w:rPr>
      </w:pPr>
    </w:p>
    <w:p>
      <w:pPr>
        <w:ind w:left="1940" w:right="2140" w:hanging="205"/>
        <w:spacing w:after="0" w:line="299" w:lineRule="auto"/>
        <w:tabs>
          <w:tab w:leader="none" w:pos="19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 connection with electric industry restructuring, which is described in Note 14, SDG&amp;E temporarily reduced rates to its small-usage customers. That reduction was recovered in rates through 2007.</w:t>
      </w:r>
    </w:p>
    <w:p>
      <w:pPr>
        <w:spacing w:after="0" w:line="1" w:lineRule="exact"/>
        <w:rPr>
          <w:sz w:val="20"/>
          <w:szCs w:val="20"/>
          <w:color w:val="auto"/>
        </w:rPr>
      </w:pPr>
    </w:p>
    <w:p>
      <w:pPr>
        <w:ind w:left="1940" w:right="2100" w:hanging="296"/>
        <w:spacing w:after="0" w:line="277" w:lineRule="auto"/>
        <w:tabs>
          <w:tab w:leader="none" w:pos="19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This is related to SFAS 143, </w:t>
      </w:r>
      <w:r>
        <w:rPr>
          <w:rFonts w:ascii="Arial" w:cs="Arial" w:eastAsia="Arial" w:hAnsi="Arial"/>
          <w:sz w:val="18"/>
          <w:szCs w:val="18"/>
          <w:i w:val="1"/>
          <w:iCs w:val="1"/>
          <w:color w:val="auto"/>
        </w:rPr>
        <w:t>Accounting for Asset Retirement Obligations,</w:t>
      </w:r>
      <w:r>
        <w:rPr>
          <w:rFonts w:ascii="Arial" w:cs="Arial" w:eastAsia="Arial" w:hAnsi="Arial"/>
          <w:sz w:val="18"/>
          <w:szCs w:val="18"/>
          <w:color w:val="auto"/>
        </w:rPr>
        <w:t xml:space="preserve"> which is discussed below in "Asset Retirement Obligations."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20"/>
          <w:szCs w:val="20"/>
          <w:color w:val="auto"/>
        </w:rPr>
        <w:t>55</w:t>
      </w:r>
    </w:p>
    <w:p>
      <w:pPr>
        <w:sectPr>
          <w:pgSz w:w="11900" w:h="16838" w:orient="portrait"/>
          <w:cols w:equalWidth="0" w:num="1">
            <w:col w:w="11420"/>
          </w:cols>
          <w:pgMar w:left="240" w:top="122" w:right="239" w:bottom="1440" w:gutter="0" w:footer="0" w:header="0"/>
        </w:sectPr>
      </w:pPr>
    </w:p>
    <w:bookmarkStart w:id="123" w:name="page124"/>
    <w:bookmarkEnd w:id="123"/>
    <w:p>
      <w:pPr>
        <w:spacing w:after="0"/>
        <w:rPr>
          <w:sz w:val="20"/>
          <w:szCs w:val="20"/>
          <w:color w:val="auto"/>
        </w:rPr>
      </w:pPr>
      <w:r>
        <w:rPr>
          <w:rFonts w:ascii="Arial" w:cs="Arial" w:eastAsia="Arial" w:hAnsi="Arial"/>
          <w:sz w:val="20"/>
          <w:szCs w:val="20"/>
          <w:color w:val="auto"/>
        </w:rPr>
        <w:t>Net regulatory assets (liabilities) are recorded on the Consolidated Balance Sheets at December 31 as follows:</w:t>
      </w:r>
    </w:p>
    <w:p>
      <w:pPr>
        <w:spacing w:after="0" w:line="287" w:lineRule="exact"/>
        <w:rPr>
          <w:sz w:val="20"/>
          <w:szCs w:val="20"/>
          <w:color w:val="auto"/>
        </w:rPr>
      </w:pPr>
    </w:p>
    <w:tbl>
      <w:tblPr>
        <w:tblLayout w:type="fixed"/>
        <w:tblInd w:w="1660" w:type="dxa"/>
        <w:tblCellMar>
          <w:top w:w="0" w:type="dxa"/>
          <w:left w:w="0" w:type="dxa"/>
          <w:bottom w:w="0" w:type="dxa"/>
          <w:right w:w="0" w:type="dxa"/>
        </w:tblCellMar>
      </w:tblPr>
      <w:tr>
        <w:trPr>
          <w:trHeight w:val="237"/>
        </w:trPr>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(Dollars in millions)</w:t>
            </w: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rPr>
              <w:t>2007</w:t>
            </w:r>
          </w:p>
        </w:tc>
        <w:tc>
          <w:tcPr>
            <w:tcW w:w="6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2006</w:t>
            </w:r>
          </w:p>
        </w:tc>
      </w:tr>
      <w:tr>
        <w:trPr>
          <w:trHeight w:val="230"/>
        </w:trPr>
        <w:tc>
          <w:tcPr>
            <w:tcW w:w="4920" w:type="dxa"/>
            <w:vAlign w:val="bottom"/>
          </w:tcPr>
          <w:p>
            <w:pPr>
              <w:ind w:left="20"/>
              <w:spacing w:after="0"/>
              <w:rPr>
                <w:sz w:val="20"/>
                <w:szCs w:val="20"/>
                <w:color w:val="auto"/>
              </w:rPr>
            </w:pPr>
            <w:r>
              <w:rPr>
                <w:rFonts w:ascii="Arial" w:cs="Arial" w:eastAsia="Arial" w:hAnsi="Arial"/>
                <w:sz w:val="18"/>
                <w:szCs w:val="18"/>
                <w:color w:val="auto"/>
              </w:rPr>
              <w:t>Current regulatory assets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350"/>
              <w:spacing w:after="0"/>
              <w:rPr>
                <w:sz w:val="20"/>
                <w:szCs w:val="20"/>
                <w:color w:val="auto"/>
              </w:rPr>
            </w:pPr>
            <w:r>
              <w:rPr>
                <w:rFonts w:ascii="Arial" w:cs="Arial" w:eastAsia="Arial" w:hAnsi="Arial"/>
                <w:sz w:val="18"/>
                <w:szCs w:val="18"/>
                <w:color w:val="auto"/>
              </w:rPr>
              <w:t>106</w:t>
            </w:r>
          </w:p>
        </w:tc>
        <w:tc>
          <w:tcPr>
            <w:tcW w:w="6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193</w:t>
            </w:r>
          </w:p>
        </w:tc>
      </w:tr>
      <w:tr>
        <w:trPr>
          <w:trHeight w:val="242"/>
        </w:trPr>
        <w:tc>
          <w:tcPr>
            <w:tcW w:w="4920" w:type="dxa"/>
            <w:vAlign w:val="bottom"/>
          </w:tcPr>
          <w:p>
            <w:pPr>
              <w:ind w:left="20"/>
              <w:spacing w:after="0"/>
              <w:rPr>
                <w:sz w:val="20"/>
                <w:szCs w:val="20"/>
                <w:color w:val="auto"/>
              </w:rPr>
            </w:pPr>
            <w:r>
              <w:rPr>
                <w:rFonts w:ascii="Arial" w:cs="Arial" w:eastAsia="Arial" w:hAnsi="Arial"/>
                <w:sz w:val="18"/>
                <w:szCs w:val="18"/>
                <w:color w:val="auto"/>
              </w:rPr>
              <w:t>Noncurrent regulatory assets</w:t>
            </w:r>
          </w:p>
        </w:tc>
        <w:tc>
          <w:tcPr>
            <w:tcW w:w="280" w:type="dxa"/>
            <w:vAlign w:val="bottom"/>
          </w:tcPr>
          <w:p>
            <w:pPr>
              <w:spacing w:after="0"/>
              <w:rPr>
                <w:sz w:val="21"/>
                <w:szCs w:val="21"/>
                <w:color w:val="auto"/>
              </w:rPr>
            </w:pPr>
          </w:p>
        </w:tc>
        <w:tc>
          <w:tcPr>
            <w:tcW w:w="1260" w:type="dxa"/>
            <w:vAlign w:val="bottom"/>
          </w:tcPr>
          <w:p>
            <w:pPr>
              <w:jc w:val="right"/>
              <w:ind w:right="350"/>
              <w:spacing w:after="0"/>
              <w:rPr>
                <w:sz w:val="20"/>
                <w:szCs w:val="20"/>
                <w:color w:val="auto"/>
              </w:rPr>
            </w:pPr>
            <w:r>
              <w:rPr>
                <w:rFonts w:ascii="Arial" w:cs="Arial" w:eastAsia="Arial" w:hAnsi="Arial"/>
                <w:sz w:val="18"/>
                <w:szCs w:val="18"/>
                <w:color w:val="auto"/>
              </w:rPr>
              <w:t>931</w:t>
            </w:r>
          </w:p>
        </w:tc>
        <w:tc>
          <w:tcPr>
            <w:tcW w:w="620" w:type="dxa"/>
            <w:vAlign w:val="bottom"/>
          </w:tcPr>
          <w:p>
            <w:pPr>
              <w:spacing w:after="0"/>
              <w:rPr>
                <w:sz w:val="21"/>
                <w:szCs w:val="21"/>
                <w:color w:val="auto"/>
              </w:rPr>
            </w:pP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1,181</w:t>
            </w:r>
          </w:p>
        </w:tc>
      </w:tr>
      <w:tr>
        <w:trPr>
          <w:trHeight w:val="243"/>
        </w:trPr>
        <w:tc>
          <w:tcPr>
            <w:tcW w:w="4920" w:type="dxa"/>
            <w:vAlign w:val="bottom"/>
          </w:tcPr>
          <w:p>
            <w:pPr>
              <w:ind w:left="20"/>
              <w:spacing w:after="0"/>
              <w:rPr>
                <w:sz w:val="20"/>
                <w:szCs w:val="20"/>
                <w:color w:val="auto"/>
              </w:rPr>
            </w:pPr>
            <w:r>
              <w:rPr>
                <w:rFonts w:ascii="Arial" w:cs="Arial" w:eastAsia="Arial" w:hAnsi="Arial"/>
                <w:sz w:val="18"/>
                <w:szCs w:val="18"/>
                <w:color w:val="auto"/>
              </w:rPr>
              <w:t>Current regulatory liabilities*</w:t>
            </w:r>
          </w:p>
        </w:tc>
        <w:tc>
          <w:tcPr>
            <w:tcW w:w="280" w:type="dxa"/>
            <w:vAlign w:val="bottom"/>
          </w:tcPr>
          <w:p>
            <w:pPr>
              <w:spacing w:after="0"/>
              <w:rPr>
                <w:sz w:val="21"/>
                <w:szCs w:val="21"/>
                <w:color w:val="auto"/>
              </w:rPr>
            </w:pPr>
          </w:p>
        </w:tc>
        <w:tc>
          <w:tcPr>
            <w:tcW w:w="1260" w:type="dxa"/>
            <w:vAlign w:val="bottom"/>
          </w:tcPr>
          <w:p>
            <w:pPr>
              <w:jc w:val="right"/>
              <w:ind w:right="270"/>
              <w:spacing w:after="0"/>
              <w:rPr>
                <w:sz w:val="20"/>
                <w:szCs w:val="20"/>
                <w:color w:val="auto"/>
              </w:rPr>
            </w:pPr>
            <w:r>
              <w:rPr>
                <w:rFonts w:ascii="Arial" w:cs="Arial" w:eastAsia="Arial" w:hAnsi="Arial"/>
                <w:sz w:val="18"/>
                <w:szCs w:val="18"/>
                <w:color w:val="auto"/>
              </w:rPr>
              <w:t>(1 )</w:t>
            </w:r>
          </w:p>
        </w:tc>
        <w:tc>
          <w:tcPr>
            <w:tcW w:w="6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(8 )</w:t>
            </w:r>
          </w:p>
        </w:tc>
      </w:tr>
      <w:tr>
        <w:trPr>
          <w:trHeight w:val="250"/>
        </w:trPr>
        <w:tc>
          <w:tcPr>
            <w:tcW w:w="4920" w:type="dxa"/>
            <w:vAlign w:val="bottom"/>
          </w:tcPr>
          <w:p>
            <w:pPr>
              <w:ind w:left="20"/>
              <w:spacing w:after="0"/>
              <w:rPr>
                <w:sz w:val="20"/>
                <w:szCs w:val="20"/>
                <w:color w:val="auto"/>
              </w:rPr>
            </w:pPr>
            <w:r>
              <w:rPr>
                <w:rFonts w:ascii="Arial" w:cs="Arial" w:eastAsia="Arial" w:hAnsi="Arial"/>
                <w:sz w:val="18"/>
                <w:szCs w:val="18"/>
                <w:color w:val="auto"/>
              </w:rPr>
              <w:t>Noncurrent regulatory liabilities</w:t>
            </w:r>
          </w:p>
        </w:tc>
        <w:tc>
          <w:tcPr>
            <w:tcW w:w="2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(2,787 )</w:t>
            </w:r>
          </w:p>
        </w:tc>
        <w:tc>
          <w:tcPr>
            <w:tcW w:w="6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(2,551 )</w:t>
            </w:r>
          </w:p>
        </w:tc>
      </w:tr>
      <w:tr>
        <w:trPr>
          <w:trHeight w:val="264"/>
        </w:trPr>
        <w:tc>
          <w:tcPr>
            <w:tcW w:w="49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(1,751 )</w:t>
            </w:r>
          </w:p>
        </w:tc>
        <w:tc>
          <w:tcPr>
            <w:tcW w:w="6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(1,185 )</w:t>
            </w:r>
          </w:p>
        </w:tc>
      </w:tr>
      <w:tr>
        <w:trPr>
          <w:trHeight w:val="230"/>
        </w:trPr>
        <w:tc>
          <w:tcPr>
            <w:tcW w:w="4920" w:type="dxa"/>
            <w:vAlign w:val="bottom"/>
          </w:tcPr>
          <w:p>
            <w:pPr>
              <w:ind w:left="20"/>
              <w:spacing w:after="0"/>
              <w:rPr>
                <w:sz w:val="20"/>
                <w:szCs w:val="20"/>
                <w:color w:val="auto"/>
              </w:rPr>
            </w:pPr>
            <w:r>
              <w:rPr>
                <w:rFonts w:ascii="Arial" w:cs="Arial" w:eastAsia="Arial" w:hAnsi="Arial"/>
                <w:sz w:val="18"/>
                <w:szCs w:val="18"/>
                <w:color w:val="auto"/>
              </w:rPr>
              <w:t>* Included in Other Current Liabilities.</w:t>
            </w: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40" w:type="dxa"/>
            <w:vAlign w:val="bottom"/>
          </w:tcPr>
          <w:p>
            <w:pPr>
              <w:spacing w:after="0"/>
              <w:rPr>
                <w:sz w:val="20"/>
                <w:szCs w:val="20"/>
                <w:color w:val="auto"/>
              </w:rPr>
            </w:pPr>
          </w:p>
        </w:tc>
      </w:tr>
    </w:tbl>
    <w:p>
      <w:pPr>
        <w:spacing w:after="0" w:line="200" w:lineRule="exact"/>
        <w:rPr>
          <w:sz w:val="20"/>
          <w:szCs w:val="20"/>
          <w:color w:val="auto"/>
        </w:rPr>
      </w:pPr>
    </w:p>
    <w:p>
      <w:pPr>
        <w:spacing w:after="0" w:line="282"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Regulatory assets arising from fixed-price contracts and other derivatives are offset by corresponding liabilities arising from purchased power and natural gas transportation contracts. The regulatory asset is reduced as payments are made for services under these contracts. Deferred taxes recoverable in rates are based on current regulatory ratemaking and income tax laws. SoCalGas and SDG&amp;E expect to recover net regulatory assets related to deferred income taxes over the lives of the assets that give rise to the accumulated deferred income taxes. The regulatory asset related to the recapture of a temporary rate reduction was amortized simultaneously with the amortization of the related rate-reduction bond liability and was fully recovered by the end of 2007. The regulatory assets related to unamortized losses on reacquired debt are being recovered over the remaining original amortization periods of the loss on reacquired debt over peri ods ranging from four months to 20 years. Regulatory assets related to environmental costs represent the portion of the company’s environmental liability recognized at the end of the period in excess of the amount that has been recovered through rates charged to customers. This amount is expected to be recovered in future rates as expenditures are made. Regulatory assets related to pension and other postretirement benefit obligations are offset by corresponding liabilities and are being recovered in rates as the costs are incurred.</w:t>
      </w:r>
    </w:p>
    <w:p>
      <w:pPr>
        <w:spacing w:after="0" w:line="198" w:lineRule="exact"/>
        <w:rPr>
          <w:sz w:val="20"/>
          <w:szCs w:val="20"/>
          <w:color w:val="auto"/>
        </w:rPr>
      </w:pPr>
    </w:p>
    <w:p>
      <w:pPr>
        <w:ind w:right="40"/>
        <w:spacing w:after="0" w:line="260" w:lineRule="auto"/>
        <w:rPr>
          <w:sz w:val="20"/>
          <w:szCs w:val="20"/>
          <w:color w:val="auto"/>
        </w:rPr>
      </w:pPr>
      <w:r>
        <w:rPr>
          <w:rFonts w:ascii="Arial" w:cs="Arial" w:eastAsia="Arial" w:hAnsi="Arial"/>
          <w:sz w:val="20"/>
          <w:szCs w:val="20"/>
          <w:color w:val="auto"/>
        </w:rPr>
        <w:t>All of these assets either earn a return, generally at short-term rates, or the cash has not yet been expended and the assets are offset by liabilities that do not incur a carrying cost.</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Cash and Cash Equivalents</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Cash equivalents are highly liquid investments with maturities of three months or less at the date of purchase.</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Restricted cash</w:t>
      </w:r>
    </w:p>
    <w:p>
      <w:pPr>
        <w:spacing w:after="0" w:line="249" w:lineRule="exact"/>
        <w:rPr>
          <w:sz w:val="20"/>
          <w:szCs w:val="20"/>
          <w:color w:val="auto"/>
        </w:rPr>
      </w:pPr>
    </w:p>
    <w:p>
      <w:pPr>
        <w:ind w:right="180"/>
        <w:spacing w:after="0" w:line="260" w:lineRule="auto"/>
        <w:rPr>
          <w:sz w:val="20"/>
          <w:szCs w:val="20"/>
          <w:color w:val="auto"/>
        </w:rPr>
      </w:pPr>
      <w:r>
        <w:rPr>
          <w:rFonts w:ascii="Arial" w:cs="Arial" w:eastAsia="Arial" w:hAnsi="Arial"/>
          <w:sz w:val="20"/>
          <w:szCs w:val="20"/>
          <w:color w:val="auto"/>
        </w:rPr>
        <w:t>Restricted cash was $1 million and $4 million at December 31, 2007 and 2006, respectively. The amounts are included in current assets under the caption Restricted Cash and primarily serve as cash collateral for certain debt agreements.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Collection Allowances</w:t>
      </w:r>
    </w:p>
    <w:p>
      <w:pPr>
        <w:spacing w:after="0" w:line="249" w:lineRule="exact"/>
        <w:rPr>
          <w:sz w:val="20"/>
          <w:szCs w:val="20"/>
          <w:color w:val="auto"/>
        </w:rPr>
      </w:pPr>
    </w:p>
    <w:p>
      <w:pPr>
        <w:jc w:val="both"/>
        <w:ind w:right="460"/>
        <w:spacing w:after="0" w:line="291" w:lineRule="auto"/>
        <w:rPr>
          <w:sz w:val="20"/>
          <w:szCs w:val="20"/>
          <w:color w:val="auto"/>
        </w:rPr>
      </w:pPr>
      <w:r>
        <w:rPr>
          <w:rFonts w:ascii="Arial" w:cs="Arial" w:eastAsia="Arial" w:hAnsi="Arial"/>
          <w:sz w:val="18"/>
          <w:szCs w:val="18"/>
          <w:color w:val="auto"/>
        </w:rPr>
        <w:t>The allowance for doubtful accounts was $9 million, $8 million and $10 million at December 31, 2007, 2006 and 2005, respectively. The company recorded provisions for doubtful accounts of $15 million, $13 million and $13 million in 2007, 2006 and 2005, respectively. The company wrote off doubtful accounts of $14 million, $15 million and $11 million in 2007, 2006 and 2005, respectively.</w:t>
      </w:r>
    </w:p>
    <w:p>
      <w:pPr>
        <w:spacing w:after="0" w:line="179" w:lineRule="exact"/>
        <w:rPr>
          <w:sz w:val="20"/>
          <w:szCs w:val="20"/>
          <w:color w:val="auto"/>
        </w:rPr>
      </w:pPr>
    </w:p>
    <w:p>
      <w:pPr>
        <w:ind w:right="980"/>
        <w:spacing w:after="0" w:line="260" w:lineRule="auto"/>
        <w:rPr>
          <w:sz w:val="20"/>
          <w:szCs w:val="20"/>
          <w:color w:val="auto"/>
        </w:rPr>
      </w:pPr>
      <w:r>
        <w:rPr>
          <w:rFonts w:ascii="Arial" w:cs="Arial" w:eastAsia="Arial" w:hAnsi="Arial"/>
          <w:sz w:val="20"/>
          <w:szCs w:val="20"/>
          <w:color w:val="auto"/>
        </w:rPr>
        <w:t>The allowance for realization of trading assets was $48 million, $53 million and $64 million at December 31, 2007, 2006 and 2005, respectively. The company recorded provisions for trading assets of $(2)</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color w:val="auto"/>
        </w:rPr>
        <w:t>56</w:t>
      </w:r>
    </w:p>
    <w:p>
      <w:pPr>
        <w:sectPr>
          <w:pgSz w:w="11900" w:h="16838" w:orient="portrait"/>
          <w:cols w:equalWidth="0" w:num="1">
            <w:col w:w="11420"/>
          </w:cols>
          <w:pgMar w:left="240" w:top="121" w:right="239" w:bottom="1440" w:gutter="0" w:footer="0" w:header="0"/>
        </w:sectPr>
      </w:pPr>
    </w:p>
    <w:bookmarkStart w:id="124" w:name="page125"/>
    <w:bookmarkEnd w:id="124"/>
    <w:p>
      <w:pPr>
        <w:spacing w:after="0" w:line="262" w:lineRule="auto"/>
        <w:rPr>
          <w:sz w:val="20"/>
          <w:szCs w:val="20"/>
          <w:color w:val="auto"/>
        </w:rPr>
      </w:pPr>
      <w:r>
        <w:rPr>
          <w:rFonts w:ascii="Arial" w:cs="Arial" w:eastAsia="Arial" w:hAnsi="Arial"/>
          <w:sz w:val="20"/>
          <w:szCs w:val="20"/>
          <w:color w:val="auto"/>
        </w:rPr>
        <w:t>million, $15 million and $30 million in 2007, 2006 and 2005, respectively. The company wrote off doubtful accounts of $3 million, $26 million and $22 million in 2007, 2006 and 2005, respectively.</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Trading Instruments</w:t>
      </w:r>
    </w:p>
    <w:p>
      <w:pPr>
        <w:spacing w:after="0" w:line="249" w:lineRule="exact"/>
        <w:rPr>
          <w:sz w:val="20"/>
          <w:szCs w:val="20"/>
          <w:color w:val="auto"/>
        </w:rPr>
      </w:pPr>
    </w:p>
    <w:p>
      <w:pPr>
        <w:ind w:right="180"/>
        <w:spacing w:after="0" w:line="259" w:lineRule="auto"/>
        <w:rPr>
          <w:sz w:val="20"/>
          <w:szCs w:val="20"/>
          <w:color w:val="auto"/>
        </w:rPr>
      </w:pPr>
      <w:r>
        <w:rPr>
          <w:rFonts w:ascii="Arial" w:cs="Arial" w:eastAsia="Arial" w:hAnsi="Arial"/>
          <w:sz w:val="19"/>
          <w:szCs w:val="19"/>
          <w:color w:val="auto"/>
        </w:rPr>
        <w:t>Trading assets and trading liabilities (described further in Note 11) include option premiums paid and received, unrealized gains and losses from exchange-traded futures and options, and over-the-counter (OTC) swaps, forwards, options and physical commodities. Trading instruments are recorded by Sempra Commodities on a trade-date basis and the majority of such derivative instruments are adjusted daily to current market value. Unrealized gains and losses on OTC transactions reflect amounts which would be received from or paid to a third party upon net settlement of the contracts. Unrealized gains and losses on OTC transactions are reported separately as assets and liabilities unless a legal right of setoff exists under an enforceable netting arrangement.</w:t>
      </w:r>
    </w:p>
    <w:p>
      <w:pPr>
        <w:spacing w:after="0" w:line="206" w:lineRule="exact"/>
        <w:rPr>
          <w:sz w:val="20"/>
          <w:szCs w:val="20"/>
          <w:color w:val="auto"/>
        </w:rPr>
      </w:pPr>
    </w:p>
    <w:p>
      <w:pPr>
        <w:ind w:right="80"/>
        <w:spacing w:after="0" w:line="263" w:lineRule="auto"/>
        <w:rPr>
          <w:sz w:val="20"/>
          <w:szCs w:val="20"/>
          <w:color w:val="auto"/>
        </w:rPr>
      </w:pPr>
      <w:r>
        <w:rPr>
          <w:rFonts w:ascii="Arial" w:cs="Arial" w:eastAsia="Arial" w:hAnsi="Arial"/>
          <w:sz w:val="19"/>
          <w:szCs w:val="19"/>
          <w:color w:val="auto"/>
        </w:rPr>
        <w:t>The valuation of trading derivatives and commodity trading inventories is discussed in Note 11. Given the nature, size and timing of transactions, estimated values may differ significantly from realized values. Changes in fair values are reflected in net income. Although trading instruments may have scheduled maturities in excess of one year, the actual settlement of these transactions can occur sooner, resulting in the current classification of trading assets and liabilities on the Consolidated Balance Sheets.</w:t>
      </w:r>
    </w:p>
    <w:p>
      <w:pPr>
        <w:spacing w:after="0" w:line="204" w:lineRule="exact"/>
        <w:rPr>
          <w:sz w:val="20"/>
          <w:szCs w:val="20"/>
          <w:color w:val="auto"/>
        </w:rPr>
      </w:pPr>
    </w:p>
    <w:p>
      <w:pPr>
        <w:ind w:right="140"/>
        <w:spacing w:after="0" w:line="316" w:lineRule="auto"/>
        <w:rPr>
          <w:sz w:val="20"/>
          <w:szCs w:val="20"/>
          <w:color w:val="auto"/>
        </w:rPr>
      </w:pPr>
      <w:r>
        <w:rPr>
          <w:rFonts w:ascii="Arial" w:cs="Arial" w:eastAsia="Arial" w:hAnsi="Arial"/>
          <w:sz w:val="18"/>
          <w:szCs w:val="18"/>
          <w:color w:val="auto"/>
        </w:rPr>
        <w:t>Energy transportation and storage contracts are recorded on an accrual basis, and energy commodity inventory is recorded at the lower of cost or market. Fair value hedge accounting may be applied to a portion of these inventories. Metals inventories are recorded at fair value.</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Inventories</w:t>
      </w:r>
    </w:p>
    <w:p>
      <w:pPr>
        <w:spacing w:after="0" w:line="249" w:lineRule="exact"/>
        <w:rPr>
          <w:sz w:val="20"/>
          <w:szCs w:val="20"/>
          <w:color w:val="auto"/>
        </w:rPr>
      </w:pPr>
    </w:p>
    <w:p>
      <w:pPr>
        <w:ind w:right="40"/>
        <w:spacing w:after="0" w:line="259" w:lineRule="auto"/>
        <w:rPr>
          <w:sz w:val="20"/>
          <w:szCs w:val="20"/>
          <w:color w:val="auto"/>
        </w:rPr>
      </w:pPr>
      <w:r>
        <w:rPr>
          <w:rFonts w:ascii="Arial" w:cs="Arial" w:eastAsia="Arial" w:hAnsi="Arial"/>
          <w:sz w:val="19"/>
          <w:szCs w:val="19"/>
          <w:color w:val="auto"/>
        </w:rPr>
        <w:t>At December 31, 2007, inventory shown on the Consolidated Balance Sheets, which does not include Commodities Owned (which is shown as a separate caption on the Consolidated Balance Sheets), included natural gas of $130 million, and materials and supplies of $94 million. The corresponding balances at December 31, 2006 were $134 million and $81 million, respectively. Natural gas at the Sempra Utilities ($129 million and $132 million at December 31, 2007 and 2006, respectively) is valued by the last-in first-out (LIFO) method. When the Sempra Utilities' inventory is consumed, differences between the LIFO valuation and replacement cost are reflected in customer rates. Materials and supplies at the Sempra Utilities are generally valued at the lower of average cost or market.</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Income Taxes</w:t>
      </w:r>
    </w:p>
    <w:p>
      <w:pPr>
        <w:spacing w:after="0" w:line="249" w:lineRule="exact"/>
        <w:rPr>
          <w:sz w:val="20"/>
          <w:szCs w:val="20"/>
          <w:color w:val="auto"/>
        </w:rPr>
      </w:pPr>
    </w:p>
    <w:p>
      <w:pPr>
        <w:jc w:val="both"/>
        <w:ind w:right="20"/>
        <w:spacing w:after="0" w:line="276" w:lineRule="auto"/>
        <w:rPr>
          <w:sz w:val="20"/>
          <w:szCs w:val="20"/>
          <w:color w:val="auto"/>
        </w:rPr>
      </w:pPr>
      <w:r>
        <w:rPr>
          <w:rFonts w:ascii="Arial" w:cs="Arial" w:eastAsia="Arial" w:hAnsi="Arial"/>
          <w:sz w:val="18"/>
          <w:szCs w:val="18"/>
          <w:color w:val="auto"/>
        </w:rPr>
        <w:t xml:space="preserve">Income tax expense includes current and deferred income taxes from operations during the year. In accordance with SFAS 109, </w:t>
      </w:r>
      <w:r>
        <w:rPr>
          <w:rFonts w:ascii="Arial" w:cs="Arial" w:eastAsia="Arial" w:hAnsi="Arial"/>
          <w:sz w:val="18"/>
          <w:szCs w:val="18"/>
          <w:i w:val="1"/>
          <w:iCs w:val="1"/>
          <w:color w:val="auto"/>
        </w:rPr>
        <w:t>Accounting for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(SFAS 109), the company records deferred income taxes for temporary differences between the book and tax bases of assets and</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Investment tax credits from prior years are being amortized to income by the Sempra Utilities over the estimated service lives of the properties. Other credits, mainly low-income housing and synthetic fuels tax credits, are recognized in income as earned. The company follows certain provisions of SFAS 109 that require regulated enterprises to recognize regulatory assets or liabilities to offset deferred tax liabilities and assets, respectively, if it is probable that such amounts will be recovered from, or returned to, customers.</w:t>
      </w:r>
    </w:p>
    <w:p>
      <w:pPr>
        <w:spacing w:after="0" w:line="192" w:lineRule="exact"/>
        <w:rPr>
          <w:sz w:val="20"/>
          <w:szCs w:val="20"/>
          <w:color w:val="auto"/>
        </w:rPr>
      </w:pPr>
    </w:p>
    <w:p>
      <w:pPr>
        <w:jc w:val="both"/>
        <w:ind w:right="80"/>
        <w:spacing w:after="0" w:line="250" w:lineRule="auto"/>
        <w:rPr>
          <w:sz w:val="20"/>
          <w:szCs w:val="20"/>
          <w:color w:val="auto"/>
        </w:rPr>
      </w:pPr>
      <w:r>
        <w:rPr>
          <w:rFonts w:ascii="Arial" w:cs="Arial" w:eastAsia="Arial" w:hAnsi="Arial"/>
          <w:sz w:val="20"/>
          <w:szCs w:val="20"/>
          <w:color w:val="auto"/>
        </w:rPr>
        <w:t xml:space="preserve">The company follows Accounting Principles Board Opinion (APBO) 23, </w:t>
      </w:r>
      <w:r>
        <w:rPr>
          <w:rFonts w:ascii="Arial" w:cs="Arial" w:eastAsia="Arial" w:hAnsi="Arial"/>
          <w:sz w:val="20"/>
          <w:szCs w:val="20"/>
          <w:i w:val="1"/>
          <w:iCs w:val="1"/>
          <w:color w:val="auto"/>
        </w:rPr>
        <w:t>Accounting for Income Taxes -- Special Areas</w:t>
      </w:r>
      <w:r>
        <w:rPr>
          <w:rFonts w:ascii="Arial" w:cs="Arial" w:eastAsia="Arial" w:hAnsi="Arial"/>
          <w:sz w:val="20"/>
          <w:szCs w:val="20"/>
          <w:color w:val="auto"/>
        </w:rPr>
        <w:t>, in recording deferred taxes for investments in foreign subsidiaries and the undistributed earnings of foreign subsidiaries. Note 2 describes the impact of the adoption of Financial Accounting</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color w:val="auto"/>
        </w:rPr>
        <w:t>57</w:t>
      </w:r>
    </w:p>
    <w:p>
      <w:pPr>
        <w:sectPr>
          <w:pgSz w:w="11900" w:h="16838" w:orient="portrait"/>
          <w:cols w:equalWidth="0" w:num="1">
            <w:col w:w="11380"/>
          </w:cols>
          <w:pgMar w:left="240" w:top="121" w:right="27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color w:val="auto"/>
        </w:rPr>
        <w:t xml:space="preserve">Standards Board (FASB) Interpretation (FIN) No. 48, </w:t>
      </w:r>
      <w:r>
        <w:rPr>
          <w:rFonts w:ascii="Arial" w:cs="Arial" w:eastAsia="Arial" w:hAnsi="Arial"/>
          <w:sz w:val="18"/>
          <w:szCs w:val="18"/>
          <w:i w:val="1"/>
          <w:iCs w:val="1"/>
          <w:color w:val="auto"/>
        </w:rPr>
        <w:t>Accounting for Uncertainty in Income Taxes - an interpretation of FASB Statement No.</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109</w:t>
      </w:r>
      <w:r>
        <w:rPr>
          <w:rFonts w:ascii="Arial" w:cs="Arial" w:eastAsia="Arial" w:hAnsi="Arial"/>
          <w:sz w:val="20"/>
          <w:szCs w:val="20"/>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Property, Plant and Equipment</w:t>
      </w:r>
    </w:p>
    <w:p>
      <w:pPr>
        <w:spacing w:after="0" w:line="249"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Property, plant and equipment primarily represents the buildings, equipment and other facilities used by the Sempra Utilities to provide natural gas and electric utility services, and by Sempra Generation and Sempra Pipelines &amp; Storage. It also reflects projects included in construction work in progress at Sempra Pipelines &amp; Storage and Sempra LNG.</w:t>
      </w:r>
    </w:p>
    <w:p>
      <w:pPr>
        <w:spacing w:after="0" w:line="213" w:lineRule="exact"/>
        <w:rPr>
          <w:sz w:val="20"/>
          <w:szCs w:val="20"/>
          <w:color w:val="auto"/>
        </w:rPr>
      </w:pPr>
    </w:p>
    <w:p>
      <w:pPr>
        <w:ind w:right="60"/>
        <w:spacing w:after="0" w:line="246" w:lineRule="auto"/>
        <w:rPr>
          <w:sz w:val="20"/>
          <w:szCs w:val="20"/>
          <w:color w:val="auto"/>
        </w:rPr>
      </w:pPr>
      <w:r>
        <w:rPr>
          <w:rFonts w:ascii="Arial" w:cs="Arial" w:eastAsia="Arial" w:hAnsi="Arial"/>
          <w:sz w:val="20"/>
          <w:szCs w:val="20"/>
          <w:color w:val="auto"/>
        </w:rPr>
        <w:t>The cost of plant includes labor, materials, contract services, and certain expenditures incurred during a major maintenance outage of a generating plant. Maintenance costs are expensed as incurred. In addition, the cost of utility plant includes an allowance for funds used during construction (AFUDC), as discussed below. The cost of non-utility plant includes capitalized interest. The cost of most retired depreciable utility plant minus salvage value is charged to accumulated depreciation.</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color w:val="auto"/>
        </w:rPr>
        <w:t>Property, plant and equipment balances by major functional categories are as follows:</w:t>
      </w:r>
    </w:p>
    <w:p>
      <w:pPr>
        <w:spacing w:after="0" w:line="286" w:lineRule="exact"/>
        <w:rPr>
          <w:sz w:val="20"/>
          <w:szCs w:val="20"/>
          <w:color w:val="auto"/>
        </w:rPr>
      </w:pPr>
    </w:p>
    <w:tbl>
      <w:tblPr>
        <w:tblLayout w:type="fixed"/>
        <w:tblInd w:w="1260" w:type="dxa"/>
        <w:tblCellMar>
          <w:top w:w="0" w:type="dxa"/>
          <w:left w:w="0" w:type="dxa"/>
          <w:bottom w:w="0" w:type="dxa"/>
          <w:right w:w="0" w:type="dxa"/>
        </w:tblCellMar>
      </w:tblPr>
      <w:tr>
        <w:trPr>
          <w:trHeight w:val="230"/>
        </w:trPr>
        <w:tc>
          <w:tcPr>
            <w:tcW w:w="3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Property, Plant</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3"/>
          </w:tcPr>
          <w:p>
            <w:pPr>
              <w:jc w:val="center"/>
              <w:spacing w:after="0"/>
              <w:rPr>
                <w:sz w:val="20"/>
                <w:szCs w:val="20"/>
                <w:color w:val="auto"/>
              </w:rPr>
            </w:pPr>
            <w:r>
              <w:rPr>
                <w:rFonts w:ascii="Arial" w:cs="Arial" w:eastAsia="Arial" w:hAnsi="Arial"/>
                <w:sz w:val="18"/>
                <w:szCs w:val="18"/>
                <w:color w:val="auto"/>
                <w:w w:val="90"/>
              </w:rPr>
              <w:t>and Equipment at</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140" w:type="dxa"/>
            <w:vAlign w:val="bottom"/>
            <w:gridSpan w:val="3"/>
          </w:tcPr>
          <w:p>
            <w:pPr>
              <w:jc w:val="center"/>
              <w:spacing w:after="0"/>
              <w:rPr>
                <w:sz w:val="20"/>
                <w:szCs w:val="20"/>
                <w:color w:val="auto"/>
              </w:rPr>
            </w:pPr>
            <w:r>
              <w:rPr>
                <w:rFonts w:ascii="Arial" w:cs="Arial" w:eastAsia="Arial" w:hAnsi="Arial"/>
                <w:sz w:val="18"/>
                <w:szCs w:val="18"/>
                <w:color w:val="auto"/>
                <w:w w:val="89"/>
              </w:rPr>
              <w:t>Depreciation rates for years ended</w:t>
            </w:r>
          </w:p>
        </w:tc>
        <w:tc>
          <w:tcPr>
            <w:tcW w:w="0" w:type="dxa"/>
            <w:vAlign w:val="bottom"/>
          </w:tcPr>
          <w:p>
            <w:pPr>
              <w:spacing w:after="0"/>
              <w:rPr>
                <w:sz w:val="1"/>
                <w:szCs w:val="1"/>
                <w:color w:val="auto"/>
              </w:rPr>
            </w:pPr>
          </w:p>
        </w:tc>
      </w:tr>
      <w:tr>
        <w:trPr>
          <w:trHeight w:val="250"/>
        </w:trPr>
        <w:tc>
          <w:tcPr>
            <w:tcW w:w="36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2"/>
          </w:tcPr>
          <w:p>
            <w:pPr>
              <w:jc w:val="center"/>
              <w:ind w:left="10"/>
              <w:spacing w:after="0"/>
              <w:rPr>
                <w:sz w:val="20"/>
                <w:szCs w:val="20"/>
                <w:color w:val="auto"/>
              </w:rPr>
            </w:pPr>
            <w:r>
              <w:rPr>
                <w:rFonts w:ascii="Arial" w:cs="Arial" w:eastAsia="Arial" w:hAnsi="Arial"/>
                <w:sz w:val="18"/>
                <w:szCs w:val="18"/>
                <w:color w:val="auto"/>
                <w:w w:val="88"/>
              </w:rPr>
              <w:t>December 31,</w:t>
            </w:r>
          </w:p>
        </w:tc>
        <w:tc>
          <w:tcPr>
            <w:tcW w:w="1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90"/>
              </w:rPr>
              <w:t>December 31,</w:t>
            </w:r>
          </w:p>
        </w:tc>
        <w:tc>
          <w:tcPr>
            <w:tcW w:w="7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(Dollars in billions)</w:t>
            </w:r>
          </w:p>
        </w:tc>
        <w:tc>
          <w:tcPr>
            <w:tcW w:w="2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4"/>
              </w:rPr>
              <w:t>2007</w:t>
            </w: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2006</w:t>
            </w:r>
          </w:p>
        </w:tc>
        <w:tc>
          <w:tcPr>
            <w:tcW w:w="2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2007</w:t>
            </w:r>
          </w:p>
        </w:tc>
        <w:tc>
          <w:tcPr>
            <w:tcW w:w="14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2006</w:t>
            </w:r>
          </w:p>
        </w:tc>
        <w:tc>
          <w:tcPr>
            <w:tcW w:w="7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2005</w:t>
            </w:r>
          </w:p>
        </w:tc>
        <w:tc>
          <w:tcPr>
            <w:tcW w:w="0" w:type="dxa"/>
            <w:vAlign w:val="bottom"/>
          </w:tcPr>
          <w:p>
            <w:pPr>
              <w:spacing w:after="0"/>
              <w:rPr>
                <w:sz w:val="1"/>
                <w:szCs w:val="1"/>
                <w:color w:val="auto"/>
              </w:rPr>
            </w:pPr>
          </w:p>
        </w:tc>
      </w:tr>
      <w:tr>
        <w:trPr>
          <w:trHeight w:val="230"/>
        </w:trPr>
        <w:tc>
          <w:tcPr>
            <w:tcW w:w="3680" w:type="dxa"/>
            <w:vAlign w:val="bottom"/>
          </w:tcPr>
          <w:p>
            <w:pPr>
              <w:ind w:left="20"/>
              <w:spacing w:after="0"/>
              <w:rPr>
                <w:sz w:val="20"/>
                <w:szCs w:val="20"/>
                <w:color w:val="auto"/>
              </w:rPr>
            </w:pPr>
            <w:r>
              <w:rPr>
                <w:rFonts w:ascii="Arial" w:cs="Arial" w:eastAsia="Arial" w:hAnsi="Arial"/>
                <w:sz w:val="18"/>
                <w:szCs w:val="18"/>
                <w:color w:val="auto"/>
              </w:rPr>
              <w:t>Sempra Utilities:</w:t>
            </w: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3680" w:type="dxa"/>
            <w:vAlign w:val="bottom"/>
          </w:tcPr>
          <w:p>
            <w:pPr>
              <w:ind w:left="260"/>
              <w:spacing w:after="0"/>
              <w:rPr>
                <w:sz w:val="20"/>
                <w:szCs w:val="20"/>
                <w:color w:val="auto"/>
              </w:rPr>
            </w:pPr>
            <w:r>
              <w:rPr>
                <w:rFonts w:ascii="Arial" w:cs="Arial" w:eastAsia="Arial" w:hAnsi="Arial"/>
                <w:sz w:val="18"/>
                <w:szCs w:val="18"/>
                <w:color w:val="auto"/>
              </w:rPr>
              <w:t>Natural gas operations</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9.3</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87"/>
              </w:rPr>
              <w:t>9.1</w:t>
            </w:r>
          </w:p>
        </w:tc>
        <w:tc>
          <w:tcPr>
            <w:tcW w:w="1200" w:type="dxa"/>
            <w:vAlign w:val="bottom"/>
            <w:gridSpan w:val="2"/>
          </w:tcPr>
          <w:p>
            <w:pPr>
              <w:ind w:left="620"/>
              <w:spacing w:after="0"/>
              <w:rPr>
                <w:sz w:val="20"/>
                <w:szCs w:val="20"/>
                <w:color w:val="auto"/>
              </w:rPr>
            </w:pPr>
            <w:r>
              <w:rPr>
                <w:rFonts w:ascii="Arial" w:cs="Arial" w:eastAsia="Arial" w:hAnsi="Arial"/>
                <w:sz w:val="18"/>
                <w:szCs w:val="18"/>
                <w:color w:val="auto"/>
                <w:w w:val="99"/>
              </w:rPr>
              <w:t>3.60 %</w:t>
            </w:r>
          </w:p>
        </w:tc>
        <w:tc>
          <w:tcPr>
            <w:tcW w:w="1480" w:type="dxa"/>
            <w:vAlign w:val="bottom"/>
          </w:tcPr>
          <w:p>
            <w:pPr>
              <w:jc w:val="right"/>
              <w:ind w:right="450"/>
              <w:spacing w:after="0"/>
              <w:rPr>
                <w:sz w:val="20"/>
                <w:szCs w:val="20"/>
                <w:color w:val="auto"/>
              </w:rPr>
            </w:pPr>
            <w:r>
              <w:rPr>
                <w:rFonts w:ascii="Arial" w:cs="Arial" w:eastAsia="Arial" w:hAnsi="Arial"/>
                <w:sz w:val="18"/>
                <w:szCs w:val="18"/>
                <w:color w:val="auto"/>
              </w:rPr>
              <w:t>3.56 %</w:t>
            </w:r>
          </w:p>
        </w:tc>
        <w:tc>
          <w:tcPr>
            <w:tcW w:w="700" w:type="dxa"/>
            <w:vAlign w:val="bottom"/>
          </w:tcPr>
          <w:p>
            <w:pPr>
              <w:jc w:val="right"/>
              <w:ind w:right="90"/>
              <w:spacing w:after="0"/>
              <w:rPr>
                <w:sz w:val="20"/>
                <w:szCs w:val="20"/>
                <w:color w:val="auto"/>
              </w:rPr>
            </w:pPr>
            <w:r>
              <w:rPr>
                <w:rFonts w:ascii="Arial" w:cs="Arial" w:eastAsia="Arial" w:hAnsi="Arial"/>
                <w:sz w:val="18"/>
                <w:szCs w:val="18"/>
                <w:color w:val="auto"/>
                <w:w w:val="89"/>
              </w:rPr>
              <w:t>3.66 %</w:t>
            </w:r>
          </w:p>
        </w:tc>
        <w:tc>
          <w:tcPr>
            <w:tcW w:w="0" w:type="dxa"/>
            <w:vAlign w:val="bottom"/>
          </w:tcPr>
          <w:p>
            <w:pPr>
              <w:spacing w:after="0"/>
              <w:rPr>
                <w:sz w:val="1"/>
                <w:szCs w:val="1"/>
                <w:color w:val="auto"/>
              </w:rPr>
            </w:pPr>
          </w:p>
        </w:tc>
      </w:tr>
      <w:tr>
        <w:trPr>
          <w:trHeight w:val="243"/>
        </w:trPr>
        <w:tc>
          <w:tcPr>
            <w:tcW w:w="3680" w:type="dxa"/>
            <w:vAlign w:val="bottom"/>
          </w:tcPr>
          <w:p>
            <w:pPr>
              <w:ind w:left="260"/>
              <w:spacing w:after="0"/>
              <w:rPr>
                <w:sz w:val="20"/>
                <w:szCs w:val="20"/>
                <w:color w:val="auto"/>
              </w:rPr>
            </w:pPr>
            <w:r>
              <w:rPr>
                <w:rFonts w:ascii="Arial" w:cs="Arial" w:eastAsia="Arial" w:hAnsi="Arial"/>
                <w:sz w:val="18"/>
                <w:szCs w:val="18"/>
                <w:color w:val="auto"/>
              </w:rPr>
              <w:t>Electric distribution</w:t>
            </w:r>
          </w:p>
        </w:tc>
        <w:tc>
          <w:tcPr>
            <w:tcW w:w="2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4.0</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87"/>
              </w:rPr>
              <w:t>3.7</w:t>
            </w:r>
          </w:p>
        </w:tc>
        <w:tc>
          <w:tcPr>
            <w:tcW w:w="1200" w:type="dxa"/>
            <w:vAlign w:val="bottom"/>
            <w:gridSpan w:val="2"/>
          </w:tcPr>
          <w:p>
            <w:pPr>
              <w:ind w:left="620"/>
              <w:spacing w:after="0"/>
              <w:rPr>
                <w:sz w:val="20"/>
                <w:szCs w:val="20"/>
                <w:color w:val="auto"/>
              </w:rPr>
            </w:pPr>
            <w:r>
              <w:rPr>
                <w:rFonts w:ascii="Arial" w:cs="Arial" w:eastAsia="Arial" w:hAnsi="Arial"/>
                <w:sz w:val="18"/>
                <w:szCs w:val="18"/>
                <w:color w:val="auto"/>
                <w:w w:val="99"/>
              </w:rPr>
              <w:t>4.15 %</w:t>
            </w:r>
          </w:p>
        </w:tc>
        <w:tc>
          <w:tcPr>
            <w:tcW w:w="1480" w:type="dxa"/>
            <w:vAlign w:val="bottom"/>
          </w:tcPr>
          <w:p>
            <w:pPr>
              <w:jc w:val="right"/>
              <w:ind w:right="450"/>
              <w:spacing w:after="0"/>
              <w:rPr>
                <w:sz w:val="20"/>
                <w:szCs w:val="20"/>
                <w:color w:val="auto"/>
              </w:rPr>
            </w:pPr>
            <w:r>
              <w:rPr>
                <w:rFonts w:ascii="Arial" w:cs="Arial" w:eastAsia="Arial" w:hAnsi="Arial"/>
                <w:sz w:val="18"/>
                <w:szCs w:val="18"/>
                <w:color w:val="auto"/>
              </w:rPr>
              <w:t>4.13 %</w:t>
            </w:r>
          </w:p>
        </w:tc>
        <w:tc>
          <w:tcPr>
            <w:tcW w:w="700" w:type="dxa"/>
            <w:vAlign w:val="bottom"/>
          </w:tcPr>
          <w:p>
            <w:pPr>
              <w:jc w:val="right"/>
              <w:ind w:right="90"/>
              <w:spacing w:after="0"/>
              <w:rPr>
                <w:sz w:val="20"/>
                <w:szCs w:val="20"/>
                <w:color w:val="auto"/>
              </w:rPr>
            </w:pPr>
            <w:r>
              <w:rPr>
                <w:rFonts w:ascii="Arial" w:cs="Arial" w:eastAsia="Arial" w:hAnsi="Arial"/>
                <w:sz w:val="18"/>
                <w:szCs w:val="18"/>
                <w:color w:val="auto"/>
                <w:w w:val="89"/>
              </w:rPr>
              <w:t>4.13 %</w:t>
            </w:r>
          </w:p>
        </w:tc>
        <w:tc>
          <w:tcPr>
            <w:tcW w:w="0" w:type="dxa"/>
            <w:vAlign w:val="bottom"/>
          </w:tcPr>
          <w:p>
            <w:pPr>
              <w:spacing w:after="0"/>
              <w:rPr>
                <w:sz w:val="1"/>
                <w:szCs w:val="1"/>
                <w:color w:val="auto"/>
              </w:rPr>
            </w:pPr>
          </w:p>
        </w:tc>
      </w:tr>
      <w:tr>
        <w:trPr>
          <w:trHeight w:val="243"/>
        </w:trPr>
        <w:tc>
          <w:tcPr>
            <w:tcW w:w="3680" w:type="dxa"/>
            <w:vAlign w:val="bottom"/>
          </w:tcPr>
          <w:p>
            <w:pPr>
              <w:ind w:left="260"/>
              <w:spacing w:after="0"/>
              <w:rPr>
                <w:sz w:val="20"/>
                <w:szCs w:val="20"/>
                <w:color w:val="auto"/>
              </w:rPr>
            </w:pPr>
            <w:r>
              <w:rPr>
                <w:rFonts w:ascii="Arial" w:cs="Arial" w:eastAsia="Arial" w:hAnsi="Arial"/>
                <w:sz w:val="18"/>
                <w:szCs w:val="18"/>
                <w:color w:val="auto"/>
              </w:rPr>
              <w:t>Electric transmission</w:t>
            </w:r>
          </w:p>
        </w:tc>
        <w:tc>
          <w:tcPr>
            <w:tcW w:w="2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87"/>
              </w:rPr>
              <w:t>1.2</w:t>
            </w:r>
          </w:p>
        </w:tc>
        <w:tc>
          <w:tcPr>
            <w:tcW w:w="1200" w:type="dxa"/>
            <w:vAlign w:val="bottom"/>
            <w:gridSpan w:val="2"/>
          </w:tcPr>
          <w:p>
            <w:pPr>
              <w:ind w:left="620"/>
              <w:spacing w:after="0"/>
              <w:rPr>
                <w:sz w:val="20"/>
                <w:szCs w:val="20"/>
                <w:color w:val="auto"/>
              </w:rPr>
            </w:pPr>
            <w:r>
              <w:rPr>
                <w:rFonts w:ascii="Arial" w:cs="Arial" w:eastAsia="Arial" w:hAnsi="Arial"/>
                <w:sz w:val="18"/>
                <w:szCs w:val="18"/>
                <w:color w:val="auto"/>
                <w:w w:val="99"/>
              </w:rPr>
              <w:t>2.84 %</w:t>
            </w:r>
          </w:p>
        </w:tc>
        <w:tc>
          <w:tcPr>
            <w:tcW w:w="1480" w:type="dxa"/>
            <w:vAlign w:val="bottom"/>
          </w:tcPr>
          <w:p>
            <w:pPr>
              <w:jc w:val="right"/>
              <w:ind w:right="450"/>
              <w:spacing w:after="0"/>
              <w:rPr>
                <w:sz w:val="20"/>
                <w:szCs w:val="20"/>
                <w:color w:val="auto"/>
              </w:rPr>
            </w:pPr>
            <w:r>
              <w:rPr>
                <w:rFonts w:ascii="Arial" w:cs="Arial" w:eastAsia="Arial" w:hAnsi="Arial"/>
                <w:sz w:val="18"/>
                <w:szCs w:val="18"/>
                <w:color w:val="auto"/>
              </w:rPr>
              <w:t>3.07 %</w:t>
            </w:r>
          </w:p>
        </w:tc>
        <w:tc>
          <w:tcPr>
            <w:tcW w:w="700" w:type="dxa"/>
            <w:vAlign w:val="bottom"/>
          </w:tcPr>
          <w:p>
            <w:pPr>
              <w:jc w:val="right"/>
              <w:ind w:right="90"/>
              <w:spacing w:after="0"/>
              <w:rPr>
                <w:sz w:val="20"/>
                <w:szCs w:val="20"/>
                <w:color w:val="auto"/>
              </w:rPr>
            </w:pPr>
            <w:r>
              <w:rPr>
                <w:rFonts w:ascii="Arial" w:cs="Arial" w:eastAsia="Arial" w:hAnsi="Arial"/>
                <w:sz w:val="18"/>
                <w:szCs w:val="18"/>
                <w:color w:val="auto"/>
                <w:w w:val="89"/>
              </w:rPr>
              <w:t>3.05 %</w:t>
            </w:r>
          </w:p>
        </w:tc>
        <w:tc>
          <w:tcPr>
            <w:tcW w:w="0" w:type="dxa"/>
            <w:vAlign w:val="bottom"/>
          </w:tcPr>
          <w:p>
            <w:pPr>
              <w:spacing w:after="0"/>
              <w:rPr>
                <w:sz w:val="1"/>
                <w:szCs w:val="1"/>
                <w:color w:val="auto"/>
              </w:rPr>
            </w:pPr>
          </w:p>
        </w:tc>
      </w:tr>
      <w:tr>
        <w:trPr>
          <w:trHeight w:val="243"/>
        </w:trPr>
        <w:tc>
          <w:tcPr>
            <w:tcW w:w="3680" w:type="dxa"/>
            <w:vAlign w:val="bottom"/>
          </w:tcPr>
          <w:p>
            <w:pPr>
              <w:ind w:left="260"/>
              <w:spacing w:after="0"/>
              <w:rPr>
                <w:sz w:val="20"/>
                <w:szCs w:val="20"/>
                <w:color w:val="auto"/>
              </w:rPr>
            </w:pPr>
            <w:r>
              <w:rPr>
                <w:rFonts w:ascii="Arial" w:cs="Arial" w:eastAsia="Arial" w:hAnsi="Arial"/>
                <w:sz w:val="18"/>
                <w:szCs w:val="18"/>
                <w:color w:val="auto"/>
              </w:rPr>
              <w:t>Other electric</w:t>
            </w:r>
          </w:p>
        </w:tc>
        <w:tc>
          <w:tcPr>
            <w:tcW w:w="2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87"/>
              </w:rPr>
              <w:t>1.2</w:t>
            </w:r>
          </w:p>
        </w:tc>
        <w:tc>
          <w:tcPr>
            <w:tcW w:w="1200" w:type="dxa"/>
            <w:vAlign w:val="bottom"/>
            <w:gridSpan w:val="2"/>
          </w:tcPr>
          <w:p>
            <w:pPr>
              <w:ind w:left="620"/>
              <w:spacing w:after="0"/>
              <w:rPr>
                <w:sz w:val="20"/>
                <w:szCs w:val="20"/>
                <w:color w:val="auto"/>
              </w:rPr>
            </w:pPr>
            <w:r>
              <w:rPr>
                <w:rFonts w:ascii="Arial" w:cs="Arial" w:eastAsia="Arial" w:hAnsi="Arial"/>
                <w:sz w:val="18"/>
                <w:szCs w:val="18"/>
                <w:color w:val="auto"/>
                <w:w w:val="99"/>
              </w:rPr>
              <w:t>8.50 %</w:t>
            </w:r>
          </w:p>
        </w:tc>
        <w:tc>
          <w:tcPr>
            <w:tcW w:w="1480" w:type="dxa"/>
            <w:vAlign w:val="bottom"/>
          </w:tcPr>
          <w:p>
            <w:pPr>
              <w:jc w:val="right"/>
              <w:ind w:right="450"/>
              <w:spacing w:after="0"/>
              <w:rPr>
                <w:sz w:val="20"/>
                <w:szCs w:val="20"/>
                <w:color w:val="auto"/>
              </w:rPr>
            </w:pPr>
            <w:r>
              <w:rPr>
                <w:rFonts w:ascii="Arial" w:cs="Arial" w:eastAsia="Arial" w:hAnsi="Arial"/>
                <w:sz w:val="18"/>
                <w:szCs w:val="18"/>
                <w:color w:val="auto"/>
              </w:rPr>
              <w:t>8.70 %</w:t>
            </w:r>
          </w:p>
        </w:tc>
        <w:tc>
          <w:tcPr>
            <w:tcW w:w="700" w:type="dxa"/>
            <w:vAlign w:val="bottom"/>
          </w:tcPr>
          <w:p>
            <w:pPr>
              <w:jc w:val="right"/>
              <w:ind w:right="90"/>
              <w:spacing w:after="0"/>
              <w:rPr>
                <w:sz w:val="20"/>
                <w:szCs w:val="20"/>
                <w:color w:val="auto"/>
              </w:rPr>
            </w:pPr>
            <w:r>
              <w:rPr>
                <w:rFonts w:ascii="Arial" w:cs="Arial" w:eastAsia="Arial" w:hAnsi="Arial"/>
                <w:sz w:val="18"/>
                <w:szCs w:val="18"/>
                <w:color w:val="auto"/>
                <w:w w:val="89"/>
              </w:rPr>
              <w:t>9.75 %</w:t>
            </w:r>
          </w:p>
        </w:tc>
        <w:tc>
          <w:tcPr>
            <w:tcW w:w="0" w:type="dxa"/>
            <w:vAlign w:val="bottom"/>
          </w:tcPr>
          <w:p>
            <w:pPr>
              <w:spacing w:after="0"/>
              <w:rPr>
                <w:sz w:val="1"/>
                <w:szCs w:val="1"/>
                <w:color w:val="auto"/>
              </w:rPr>
            </w:pPr>
          </w:p>
        </w:tc>
      </w:tr>
      <w:tr>
        <w:trPr>
          <w:trHeight w:val="250"/>
        </w:trPr>
        <w:tc>
          <w:tcPr>
            <w:tcW w:w="3680" w:type="dxa"/>
            <w:vAlign w:val="bottom"/>
          </w:tcPr>
          <w:p>
            <w:pPr>
              <w:ind w:left="260"/>
              <w:spacing w:after="0"/>
              <w:rPr>
                <w:sz w:val="20"/>
                <w:szCs w:val="20"/>
                <w:color w:val="auto"/>
              </w:rPr>
            </w:pPr>
            <w:r>
              <w:rPr>
                <w:rFonts w:ascii="Arial" w:cs="Arial" w:eastAsia="Arial" w:hAnsi="Arial"/>
                <w:sz w:val="18"/>
                <w:szCs w:val="18"/>
                <w:color w:val="auto"/>
              </w:rPr>
              <w:t>Construction work in progress</w:t>
            </w:r>
          </w:p>
        </w:tc>
        <w:tc>
          <w:tcPr>
            <w:tcW w:w="2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0.7</w:t>
            </w:r>
          </w:p>
        </w:tc>
        <w:tc>
          <w:tcPr>
            <w:tcW w:w="4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0.4</w:t>
            </w:r>
          </w:p>
        </w:tc>
        <w:tc>
          <w:tcPr>
            <w:tcW w:w="240" w:type="dxa"/>
            <w:vAlign w:val="bottom"/>
          </w:tcPr>
          <w:p>
            <w:pPr>
              <w:spacing w:after="0"/>
              <w:rPr>
                <w:sz w:val="21"/>
                <w:szCs w:val="21"/>
                <w:color w:val="auto"/>
              </w:rPr>
            </w:pPr>
          </w:p>
        </w:tc>
        <w:tc>
          <w:tcPr>
            <w:tcW w:w="960" w:type="dxa"/>
            <w:vAlign w:val="bottom"/>
          </w:tcPr>
          <w:p>
            <w:pPr>
              <w:ind w:left="440"/>
              <w:spacing w:after="0"/>
              <w:rPr>
                <w:sz w:val="20"/>
                <w:szCs w:val="20"/>
                <w:color w:val="auto"/>
              </w:rPr>
            </w:pPr>
            <w:r>
              <w:rPr>
                <w:rFonts w:ascii="Arial" w:cs="Arial" w:eastAsia="Arial" w:hAnsi="Arial"/>
                <w:sz w:val="18"/>
                <w:szCs w:val="18"/>
                <w:color w:val="auto"/>
              </w:rPr>
              <w:t>NA</w:t>
            </w:r>
          </w:p>
        </w:tc>
        <w:tc>
          <w:tcPr>
            <w:tcW w:w="1480" w:type="dxa"/>
            <w:vAlign w:val="bottom"/>
          </w:tcPr>
          <w:p>
            <w:pPr>
              <w:jc w:val="right"/>
              <w:ind w:right="630"/>
              <w:spacing w:after="0"/>
              <w:rPr>
                <w:sz w:val="20"/>
                <w:szCs w:val="20"/>
                <w:color w:val="auto"/>
              </w:rPr>
            </w:pPr>
            <w:r>
              <w:rPr>
                <w:rFonts w:ascii="Arial" w:cs="Arial" w:eastAsia="Arial" w:hAnsi="Arial"/>
                <w:sz w:val="18"/>
                <w:szCs w:val="18"/>
                <w:color w:val="auto"/>
              </w:rPr>
              <w:t>NA</w:t>
            </w:r>
          </w:p>
        </w:tc>
        <w:tc>
          <w:tcPr>
            <w:tcW w:w="700" w:type="dxa"/>
            <w:vAlign w:val="bottom"/>
          </w:tcPr>
          <w:p>
            <w:pPr>
              <w:jc w:val="right"/>
              <w:ind w:right="27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7"/>
        </w:trPr>
        <w:tc>
          <w:tcPr>
            <w:tcW w:w="3680" w:type="dxa"/>
            <w:vAlign w:val="bottom"/>
          </w:tcPr>
          <w:p>
            <w:pPr>
              <w:ind w:left="76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16.7</w:t>
            </w:r>
          </w:p>
        </w:tc>
        <w:tc>
          <w:tcPr>
            <w:tcW w:w="4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1"/>
              </w:rPr>
              <w:t>15.6</w:t>
            </w: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680" w:type="dxa"/>
            <w:vAlign w:val="bottom"/>
            <w:vMerge w:val="restart"/>
          </w:tcPr>
          <w:p>
            <w:pPr>
              <w:ind w:left="20"/>
              <w:spacing w:after="0"/>
              <w:rPr>
                <w:sz w:val="20"/>
                <w:szCs w:val="20"/>
                <w:color w:val="auto"/>
              </w:rPr>
            </w:pPr>
            <w:r>
              <w:rPr>
                <w:rFonts w:ascii="Arial" w:cs="Arial" w:eastAsia="Arial" w:hAnsi="Arial"/>
                <w:sz w:val="18"/>
                <w:szCs w:val="18"/>
                <w:color w:val="auto"/>
              </w:rPr>
              <w:t>Sempra Global and Parent:</w:t>
            </w: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40" w:type="dxa"/>
            <w:vAlign w:val="bottom"/>
            <w:tcBorders>
              <w:bottom w:val="single" w:sz="8" w:color="auto"/>
            </w:tcBorders>
            <w:gridSpan w:val="2"/>
          </w:tcPr>
          <w:p>
            <w:pPr>
              <w:jc w:val="center"/>
              <w:ind w:left="610"/>
              <w:spacing w:after="0"/>
              <w:rPr>
                <w:sz w:val="20"/>
                <w:szCs w:val="20"/>
                <w:color w:val="auto"/>
              </w:rPr>
            </w:pPr>
            <w:r>
              <w:rPr>
                <w:rFonts w:ascii="Arial" w:cs="Arial" w:eastAsia="Arial" w:hAnsi="Arial"/>
                <w:sz w:val="18"/>
                <w:szCs w:val="18"/>
                <w:color w:val="auto"/>
                <w:w w:val="92"/>
              </w:rPr>
              <w:t>Estimated Useful Lives</w:t>
            </w:r>
          </w:p>
        </w:tc>
        <w:tc>
          <w:tcPr>
            <w:tcW w:w="7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68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680" w:type="dxa"/>
            <w:vAlign w:val="bottom"/>
          </w:tcPr>
          <w:p>
            <w:pPr>
              <w:ind w:left="260"/>
              <w:spacing w:after="0"/>
              <w:rPr>
                <w:sz w:val="20"/>
                <w:szCs w:val="20"/>
                <w:color w:val="auto"/>
              </w:rPr>
            </w:pPr>
            <w:r>
              <w:rPr>
                <w:rFonts w:ascii="Arial" w:cs="Arial" w:eastAsia="Arial" w:hAnsi="Arial"/>
                <w:sz w:val="18"/>
                <w:szCs w:val="18"/>
                <w:color w:val="auto"/>
              </w:rPr>
              <w:t>Land and land rights</w:t>
            </w:r>
          </w:p>
        </w:tc>
        <w:tc>
          <w:tcPr>
            <w:tcW w:w="2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87"/>
              </w:rPr>
              <w:t>0.1</w:t>
            </w: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80" w:type="dxa"/>
            <w:vAlign w:val="bottom"/>
          </w:tcPr>
          <w:p>
            <w:pPr>
              <w:jc w:val="center"/>
              <w:ind w:right="170"/>
              <w:spacing w:after="0"/>
              <w:rPr>
                <w:sz w:val="20"/>
                <w:szCs w:val="20"/>
                <w:color w:val="auto"/>
              </w:rPr>
            </w:pPr>
            <w:r>
              <w:rPr>
                <w:rFonts w:ascii="Arial" w:cs="Arial" w:eastAsia="Arial" w:hAnsi="Arial"/>
                <w:sz w:val="18"/>
                <w:szCs w:val="18"/>
                <w:color w:val="auto"/>
              </w:rPr>
              <w:t>NA</w:t>
            </w: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80" w:type="dxa"/>
            <w:vAlign w:val="bottom"/>
          </w:tcPr>
          <w:p>
            <w:pPr>
              <w:ind w:left="260"/>
              <w:spacing w:after="0"/>
              <w:rPr>
                <w:sz w:val="20"/>
                <w:szCs w:val="20"/>
                <w:color w:val="auto"/>
              </w:rPr>
            </w:pPr>
            <w:r>
              <w:rPr>
                <w:rFonts w:ascii="Arial" w:cs="Arial" w:eastAsia="Arial" w:hAnsi="Arial"/>
                <w:sz w:val="18"/>
                <w:szCs w:val="18"/>
                <w:color w:val="auto"/>
              </w:rPr>
              <w:t>Machinery and equipment</w:t>
            </w: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80" w:type="dxa"/>
            <w:vAlign w:val="bottom"/>
          </w:tcPr>
          <w:p>
            <w:pPr>
              <w:ind w:left="660"/>
              <w:spacing w:after="0"/>
              <w:rPr>
                <w:sz w:val="20"/>
                <w:szCs w:val="20"/>
                <w:color w:val="auto"/>
              </w:rPr>
            </w:pPr>
            <w:r>
              <w:rPr>
                <w:rFonts w:ascii="Arial" w:cs="Arial" w:eastAsia="Arial" w:hAnsi="Arial"/>
                <w:sz w:val="18"/>
                <w:szCs w:val="18"/>
                <w:color w:val="auto"/>
              </w:rPr>
              <w:t>Generating plant</w:t>
            </w:r>
          </w:p>
        </w:tc>
        <w:tc>
          <w:tcPr>
            <w:tcW w:w="2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87"/>
              </w:rPr>
              <w:t>1.3</w:t>
            </w: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80" w:type="dxa"/>
            <w:vAlign w:val="bottom"/>
          </w:tcPr>
          <w:p>
            <w:pPr>
              <w:jc w:val="center"/>
              <w:ind w:right="170"/>
              <w:spacing w:after="0"/>
              <w:rPr>
                <w:sz w:val="20"/>
                <w:szCs w:val="20"/>
                <w:color w:val="auto"/>
              </w:rPr>
            </w:pPr>
            <w:r>
              <w:rPr>
                <w:rFonts w:ascii="Arial" w:cs="Arial" w:eastAsia="Arial" w:hAnsi="Arial"/>
                <w:sz w:val="18"/>
                <w:szCs w:val="18"/>
                <w:color w:val="auto"/>
                <w:w w:val="90"/>
              </w:rPr>
              <w:t>4 to 35 years</w:t>
            </w: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80" w:type="dxa"/>
            <w:vAlign w:val="bottom"/>
          </w:tcPr>
          <w:p>
            <w:pPr>
              <w:ind w:left="660"/>
              <w:spacing w:after="0"/>
              <w:rPr>
                <w:sz w:val="20"/>
                <w:szCs w:val="20"/>
                <w:color w:val="auto"/>
              </w:rPr>
            </w:pPr>
            <w:r>
              <w:rPr>
                <w:rFonts w:ascii="Arial" w:cs="Arial" w:eastAsia="Arial" w:hAnsi="Arial"/>
                <w:sz w:val="18"/>
                <w:szCs w:val="18"/>
                <w:color w:val="auto"/>
              </w:rPr>
              <w:t>Pipelines</w:t>
            </w:r>
          </w:p>
        </w:tc>
        <w:tc>
          <w:tcPr>
            <w:tcW w:w="2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0.3</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87"/>
              </w:rPr>
              <w:t>0.3</w:t>
            </w: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80" w:type="dxa"/>
            <w:vAlign w:val="bottom"/>
          </w:tcPr>
          <w:p>
            <w:pPr>
              <w:jc w:val="center"/>
              <w:ind w:right="170"/>
              <w:spacing w:after="0"/>
              <w:rPr>
                <w:sz w:val="20"/>
                <w:szCs w:val="20"/>
                <w:color w:val="auto"/>
              </w:rPr>
            </w:pPr>
            <w:r>
              <w:rPr>
                <w:rFonts w:ascii="Arial" w:cs="Arial" w:eastAsia="Arial" w:hAnsi="Arial"/>
                <w:sz w:val="18"/>
                <w:szCs w:val="18"/>
                <w:color w:val="auto"/>
                <w:w w:val="89"/>
              </w:rPr>
              <w:t>10 to 40 years</w:t>
            </w: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80" w:type="dxa"/>
            <w:vAlign w:val="bottom"/>
          </w:tcPr>
          <w:p>
            <w:pPr>
              <w:ind w:left="66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0.3</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87"/>
              </w:rPr>
              <w:t>0.2</w:t>
            </w: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80" w:type="dxa"/>
            <w:vAlign w:val="bottom"/>
          </w:tcPr>
          <w:p>
            <w:pPr>
              <w:jc w:val="center"/>
              <w:ind w:right="170"/>
              <w:spacing w:after="0"/>
              <w:rPr>
                <w:sz w:val="20"/>
                <w:szCs w:val="20"/>
                <w:color w:val="auto"/>
              </w:rPr>
            </w:pPr>
            <w:r>
              <w:rPr>
                <w:rFonts w:ascii="Arial" w:cs="Arial" w:eastAsia="Arial" w:hAnsi="Arial"/>
                <w:sz w:val="18"/>
                <w:szCs w:val="18"/>
                <w:color w:val="auto"/>
                <w:w w:val="90"/>
              </w:rPr>
              <w:t>3 to 10 years</w:t>
            </w: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80" w:type="dxa"/>
            <w:vAlign w:val="bottom"/>
          </w:tcPr>
          <w:p>
            <w:pPr>
              <w:ind w:left="260"/>
              <w:spacing w:after="0"/>
              <w:rPr>
                <w:sz w:val="20"/>
                <w:szCs w:val="20"/>
                <w:color w:val="auto"/>
              </w:rPr>
            </w:pPr>
            <w:r>
              <w:rPr>
                <w:rFonts w:ascii="Arial" w:cs="Arial" w:eastAsia="Arial" w:hAnsi="Arial"/>
                <w:sz w:val="18"/>
                <w:szCs w:val="18"/>
                <w:color w:val="auto"/>
              </w:rPr>
              <w:t>Construction work in progress</w:t>
            </w: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80" w:type="dxa"/>
            <w:vAlign w:val="bottom"/>
          </w:tcPr>
          <w:p>
            <w:pPr>
              <w:ind w:left="660"/>
              <w:spacing w:after="0"/>
              <w:rPr>
                <w:sz w:val="20"/>
                <w:szCs w:val="20"/>
                <w:color w:val="auto"/>
              </w:rPr>
            </w:pPr>
            <w:r>
              <w:rPr>
                <w:rFonts w:ascii="Arial" w:cs="Arial" w:eastAsia="Arial" w:hAnsi="Arial"/>
                <w:sz w:val="18"/>
                <w:szCs w:val="18"/>
                <w:color w:val="auto"/>
              </w:rPr>
              <w:t>LNG (liquefied natural gas)</w:t>
            </w:r>
          </w:p>
        </w:tc>
        <w:tc>
          <w:tcPr>
            <w:tcW w:w="2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1.5</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87"/>
              </w:rPr>
              <w:t>1.0</w:t>
            </w: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80" w:type="dxa"/>
            <w:vAlign w:val="bottom"/>
          </w:tcPr>
          <w:p>
            <w:pPr>
              <w:jc w:val="center"/>
              <w:ind w:right="170"/>
              <w:spacing w:after="0"/>
              <w:rPr>
                <w:sz w:val="20"/>
                <w:szCs w:val="20"/>
                <w:color w:val="auto"/>
              </w:rPr>
            </w:pPr>
            <w:r>
              <w:rPr>
                <w:rFonts w:ascii="Arial" w:cs="Arial" w:eastAsia="Arial" w:hAnsi="Arial"/>
                <w:sz w:val="18"/>
                <w:szCs w:val="18"/>
                <w:color w:val="auto"/>
              </w:rPr>
              <w:t>NA</w:t>
            </w: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80" w:type="dxa"/>
            <w:vAlign w:val="bottom"/>
          </w:tcPr>
          <w:p>
            <w:pPr>
              <w:ind w:left="66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0.4</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87"/>
              </w:rPr>
              <w:t>0.1</w:t>
            </w: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80" w:type="dxa"/>
            <w:vAlign w:val="bottom"/>
          </w:tcPr>
          <w:p>
            <w:pPr>
              <w:jc w:val="center"/>
              <w:ind w:right="170"/>
              <w:spacing w:after="0"/>
              <w:rPr>
                <w:sz w:val="20"/>
                <w:szCs w:val="20"/>
                <w:color w:val="auto"/>
              </w:rPr>
            </w:pPr>
            <w:r>
              <w:rPr>
                <w:rFonts w:ascii="Arial" w:cs="Arial" w:eastAsia="Arial" w:hAnsi="Arial"/>
                <w:sz w:val="18"/>
                <w:szCs w:val="18"/>
                <w:color w:val="auto"/>
              </w:rPr>
              <w:t>NA</w:t>
            </w: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680" w:type="dxa"/>
            <w:vAlign w:val="bottom"/>
          </w:tcPr>
          <w:p>
            <w:pPr>
              <w:ind w:left="26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0.2</w:t>
            </w:r>
          </w:p>
        </w:tc>
        <w:tc>
          <w:tcPr>
            <w:tcW w:w="4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0.3</w:t>
            </w: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80" w:type="dxa"/>
            <w:vAlign w:val="bottom"/>
          </w:tcPr>
          <w:p>
            <w:pPr>
              <w:jc w:val="center"/>
              <w:ind w:right="170"/>
              <w:spacing w:after="0"/>
              <w:rPr>
                <w:sz w:val="20"/>
                <w:szCs w:val="20"/>
                <w:color w:val="auto"/>
              </w:rPr>
            </w:pPr>
            <w:r>
              <w:rPr>
                <w:rFonts w:ascii="Arial" w:cs="Arial" w:eastAsia="Arial" w:hAnsi="Arial"/>
                <w:sz w:val="18"/>
                <w:szCs w:val="18"/>
                <w:color w:val="auto"/>
                <w:w w:val="90"/>
              </w:rPr>
              <w:t>1 to 20 years</w:t>
            </w: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4.2</w:t>
            </w:r>
          </w:p>
        </w:tc>
        <w:tc>
          <w:tcPr>
            <w:tcW w:w="4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3.3</w:t>
            </w: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3680" w:type="dxa"/>
            <w:vAlign w:val="bottom"/>
            <w:tcBorders>
              <w:bottom w:val="single" w:sz="8" w:color="auto"/>
            </w:tcBorders>
          </w:tcPr>
          <w:p>
            <w:pPr>
              <w:ind w:left="76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20.9</w:t>
            </w:r>
          </w:p>
        </w:tc>
        <w:tc>
          <w:tcPr>
            <w:tcW w:w="4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1"/>
              </w:rPr>
              <w:t>18.9</w:t>
            </w:r>
          </w:p>
        </w:tc>
        <w:tc>
          <w:tcPr>
            <w:tcW w:w="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26" w:lineRule="exact"/>
        <w:rPr>
          <w:sz w:val="20"/>
          <w:szCs w:val="20"/>
          <w:color w:val="auto"/>
        </w:rPr>
      </w:pPr>
    </w:p>
    <w:p>
      <w:pPr>
        <w:ind w:right="60"/>
        <w:spacing w:after="0" w:line="258" w:lineRule="auto"/>
        <w:rPr>
          <w:sz w:val="20"/>
          <w:szCs w:val="20"/>
          <w:color w:val="auto"/>
        </w:rPr>
      </w:pPr>
      <w:r>
        <w:rPr>
          <w:rFonts w:ascii="Arial" w:cs="Arial" w:eastAsia="Arial" w:hAnsi="Arial"/>
          <w:sz w:val="19"/>
          <w:szCs w:val="19"/>
          <w:color w:val="auto"/>
        </w:rPr>
        <w:t>Accumulated depreciation and decommissioning of natural gas and electric utility plant in service were $3.7 billion and $1.8 billion, respectively, at December 31, 2007, and were $3.6 billion and $1.7 billion, respectively, at December 31, 2006. Depreciation expense is based on the straight-line method over the useful lives of the assets or, for the Sempra Utilities, a shorter period prescribed by the CPUC. Accumulated depreciation for Sempra Global and Parent was $440 million and $362 million at December 31, 2007 and 2006, respectively, which includes amounts for power plants at Sempra Generation totaling $190 million and $137 million at December 31, 2007 and 2006, respectively. Depreciation expense is computed using the straight-line method over the asset's estimated original composite useful life or the remaining term of the site leases, whichever is shorter.</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0"/>
          <w:szCs w:val="20"/>
          <w:color w:val="auto"/>
        </w:rPr>
        <w:t>58</w:t>
      </w:r>
    </w:p>
    <w:p>
      <w:pPr>
        <w:sectPr>
          <w:pgSz w:w="11900" w:h="16838" w:orient="portrait"/>
          <w:cols w:equalWidth="0" w:num="1">
            <w:col w:w="11320"/>
          </w:cols>
          <w:pgMar w:left="240" w:top="121" w:right="339" w:bottom="1440" w:gutter="0" w:footer="0" w:header="0"/>
        </w:sectPr>
      </w:pPr>
    </w:p>
    <w:bookmarkStart w:id="126" w:name="page127"/>
    <w:bookmarkEnd w:id="126"/>
    <w:p>
      <w:pPr>
        <w:spacing w:after="0" w:line="261" w:lineRule="auto"/>
        <w:rPr>
          <w:sz w:val="20"/>
          <w:szCs w:val="20"/>
          <w:color w:val="auto"/>
        </w:rPr>
      </w:pPr>
      <w:r>
        <w:rPr>
          <w:rFonts w:ascii="Arial" w:cs="Arial" w:eastAsia="Arial" w:hAnsi="Arial"/>
          <w:sz w:val="19"/>
          <w:szCs w:val="19"/>
          <w:color w:val="auto"/>
        </w:rPr>
        <w:t>AFUDC, which represents the cost of debt and equity funds used to finance the construction of utility plant, is added to the cost of utility plant. Although it is not a current source of cash, AFUDC increases income and is recorded partly as an offset to interest expense and partly as a component of Other Income, Net in the Statements of Consolidated Income. AFUDC amounted to $31 million, $23 million and $19 million for 2007, 2006 and 2005, respectively. Total capitalized carrying costs, including AFUDC and the impact of Sempra Global’s construction projects, were $131 million, $81 million and $48 million for 2007, 2006 and 2005, respectively.</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Goodwill and Intangible Assets</w:t>
      </w:r>
    </w:p>
    <w:p>
      <w:pPr>
        <w:spacing w:after="0" w:line="249" w:lineRule="exact"/>
        <w:rPr>
          <w:sz w:val="20"/>
          <w:szCs w:val="20"/>
          <w:color w:val="auto"/>
        </w:rPr>
      </w:pPr>
    </w:p>
    <w:p>
      <w:pPr>
        <w:jc w:val="both"/>
        <w:ind w:right="60"/>
        <w:spacing w:after="0" w:line="291" w:lineRule="auto"/>
        <w:rPr>
          <w:sz w:val="20"/>
          <w:szCs w:val="20"/>
          <w:color w:val="auto"/>
        </w:rPr>
      </w:pPr>
      <w:r>
        <w:rPr>
          <w:rFonts w:ascii="Arial" w:cs="Arial" w:eastAsia="Arial" w:hAnsi="Arial"/>
          <w:sz w:val="18"/>
          <w:szCs w:val="18"/>
          <w:color w:val="auto"/>
        </w:rPr>
        <w:t xml:space="preserve">Goodwill represents the excess of the purchase price over the fair value of the net assets of acquired companies. Goodwill is not amortized, but is tested annually for impairment in accordance with SFAS 142, </w:t>
      </w:r>
      <w:r>
        <w:rPr>
          <w:rFonts w:ascii="Arial" w:cs="Arial" w:eastAsia="Arial" w:hAnsi="Arial"/>
          <w:sz w:val="18"/>
          <w:szCs w:val="18"/>
          <w:i w:val="1"/>
          <w:iCs w:val="1"/>
          <w:color w:val="auto"/>
        </w:rPr>
        <w:t>Goodwill and Other Intangible Assets</w:t>
      </w:r>
      <w:r>
        <w:rPr>
          <w:rFonts w:ascii="Arial" w:cs="Arial" w:eastAsia="Arial" w:hAnsi="Arial"/>
          <w:sz w:val="18"/>
          <w:szCs w:val="18"/>
          <w:color w:val="auto"/>
        </w:rPr>
        <w:t xml:space="preserve"> (SFAS 142). As of December 31, 2007 and 2006, goodwill included in Noncurrent Sundry Assets on the Consolidated Balance Sheets is recorded as follows:</w:t>
      </w:r>
    </w:p>
    <w:p>
      <w:pPr>
        <w:spacing w:after="0" w:line="222"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(Dollars in millions)</w:t>
      </w:r>
    </w:p>
    <w:p>
      <w:pPr>
        <w:spacing w:after="0" w:line="23" w:lineRule="exact"/>
        <w:rPr>
          <w:sz w:val="20"/>
          <w:szCs w:val="20"/>
          <w:color w:val="auto"/>
        </w:rPr>
      </w:pPr>
    </w:p>
    <w:tbl>
      <w:tblPr>
        <w:tblLayout w:type="fixed"/>
        <w:tblInd w:w="3580" w:type="dxa"/>
        <w:tblCellMar>
          <w:top w:w="0" w:type="dxa"/>
          <w:left w:w="0" w:type="dxa"/>
          <w:bottom w:w="0" w:type="dxa"/>
          <w:right w:w="0" w:type="dxa"/>
        </w:tblCellMar>
      </w:tblPr>
      <w:tr>
        <w:trPr>
          <w:trHeight w:val="237"/>
        </w:trPr>
        <w:tc>
          <w:tcPr>
            <w:tcW w:w="34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Sempra Commodities</w:t>
            </w:r>
          </w:p>
        </w:tc>
        <w:tc>
          <w:tcPr>
            <w:tcW w:w="3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w:t>
            </w:r>
          </w:p>
        </w:tc>
      </w:tr>
      <w:tr>
        <w:trPr>
          <w:trHeight w:val="249"/>
        </w:trPr>
        <w:tc>
          <w:tcPr>
            <w:tcW w:w="3460" w:type="dxa"/>
            <w:vAlign w:val="bottom"/>
          </w:tcPr>
          <w:p>
            <w:pPr>
              <w:spacing w:after="0"/>
              <w:rPr>
                <w:sz w:val="20"/>
                <w:szCs w:val="20"/>
                <w:color w:val="auto"/>
              </w:rPr>
            </w:pPr>
            <w:r>
              <w:rPr>
                <w:rFonts w:ascii="Arial" w:cs="Arial" w:eastAsia="Arial" w:hAnsi="Arial"/>
                <w:sz w:val="18"/>
                <w:szCs w:val="18"/>
                <w:color w:val="auto"/>
              </w:rPr>
              <w:t>Parent and other</w:t>
            </w:r>
          </w:p>
        </w:tc>
        <w:tc>
          <w:tcPr>
            <w:tcW w:w="34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264"/>
        </w:trPr>
        <w:tc>
          <w:tcPr>
            <w:tcW w:w="346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w:t>
            </w:r>
          </w:p>
        </w:tc>
      </w:tr>
    </w:tbl>
    <w:p>
      <w:pPr>
        <w:spacing w:after="0" w:line="226" w:lineRule="exact"/>
        <w:rPr>
          <w:sz w:val="20"/>
          <w:szCs w:val="20"/>
          <w:color w:val="auto"/>
        </w:rPr>
      </w:pPr>
    </w:p>
    <w:p>
      <w:pPr>
        <w:ind w:right="40"/>
        <w:spacing w:after="0" w:line="244" w:lineRule="auto"/>
        <w:rPr>
          <w:sz w:val="20"/>
          <w:szCs w:val="20"/>
          <w:color w:val="auto"/>
        </w:rPr>
      </w:pPr>
      <w:r>
        <w:rPr>
          <w:rFonts w:ascii="Arial" w:cs="Arial" w:eastAsia="Arial" w:hAnsi="Arial"/>
          <w:sz w:val="20"/>
          <w:szCs w:val="20"/>
          <w:color w:val="auto"/>
        </w:rPr>
        <w:t>In addition, the unamortized goodwill related to unconsolidated subsidiaries (included in Investments on the Consolidated Balance Sheets), primarily those located in South America, was $254 million at both December 31, 2007 and 2006, before foreign-currency translation adjustments. Including foreign-currency translation adjustments, these amounts were $262 million and $248 million at December 31, 2007 and 2006, respectively. Other intangible assets were not material at December 31, 2007 or 2006. Additional information concerning the impairment of investments in unconsolidated subsidiaries is provided in Note 4.</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Long-Lived Assets</w:t>
      </w:r>
    </w:p>
    <w:p>
      <w:pPr>
        <w:spacing w:after="0" w:line="249" w:lineRule="exact"/>
        <w:rPr>
          <w:sz w:val="20"/>
          <w:szCs w:val="20"/>
          <w:color w:val="auto"/>
        </w:rPr>
      </w:pPr>
    </w:p>
    <w:p>
      <w:pPr>
        <w:ind w:right="220"/>
        <w:spacing w:after="0" w:line="243" w:lineRule="auto"/>
        <w:rPr>
          <w:sz w:val="20"/>
          <w:szCs w:val="20"/>
          <w:color w:val="auto"/>
        </w:rPr>
      </w:pPr>
      <w:r>
        <w:rPr>
          <w:rFonts w:ascii="Arial" w:cs="Arial" w:eastAsia="Arial" w:hAnsi="Arial"/>
          <w:sz w:val="20"/>
          <w:szCs w:val="20"/>
          <w:color w:val="auto"/>
        </w:rPr>
        <w:t>In accordance with SFAS 144, the company periodically evaluates whether events or circumstances have occurred that may affect the recoverability or the estimated useful lives of long-lived assets, the definition of which does not include unconsolidated subsidiaries. Impairment of long-lived assets occurs when the estimated future undiscounted cash flows are less than the carrying amount of the assets. If that comparison indicates that the assets' carrying value may be permanently impaired, the potential impairment is measured based on the difference between the carrying amount and the fair value of the assets. This calculation is performed at the lowest level for which separately identifiable cash flows exist.</w:t>
      </w:r>
    </w:p>
    <w:p>
      <w:pPr>
        <w:spacing w:after="0" w:line="224"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color w:val="auto"/>
        </w:rPr>
        <w:t>During 2005, impairments included pretax write-downs of $66 million at Sempra Generation and $6 million at Sempra Pipelines &amp; Storage for abandoned projects. Sempra Generation recorded a noncash impairment charge to write down the carrying value of a turbine set (consisting of two gas turbines and one steam turbine) to their estimated fair values. The charge is included in Impairment Losses on the Statements of Consolidated Income. Additional information concerning impairment of long-lived assets is provided in Note 5.</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Variable Interest Entities</w:t>
      </w:r>
    </w:p>
    <w:p>
      <w:pPr>
        <w:spacing w:after="0" w:line="249" w:lineRule="exact"/>
        <w:rPr>
          <w:sz w:val="20"/>
          <w:szCs w:val="20"/>
          <w:color w:val="auto"/>
        </w:rPr>
      </w:pPr>
    </w:p>
    <w:p>
      <w:pPr>
        <w:ind w:right="640"/>
        <w:spacing w:after="0" w:line="250" w:lineRule="auto"/>
        <w:rPr>
          <w:sz w:val="20"/>
          <w:szCs w:val="20"/>
          <w:color w:val="auto"/>
        </w:rPr>
      </w:pPr>
      <w:r>
        <w:rPr>
          <w:rFonts w:ascii="Arial" w:cs="Arial" w:eastAsia="Arial" w:hAnsi="Arial"/>
          <w:sz w:val="20"/>
          <w:szCs w:val="20"/>
          <w:color w:val="auto"/>
        </w:rPr>
        <w:t xml:space="preserve">FIN 46 (revised December 2003), </w:t>
      </w:r>
      <w:r>
        <w:rPr>
          <w:rFonts w:ascii="Arial" w:cs="Arial" w:eastAsia="Arial" w:hAnsi="Arial"/>
          <w:sz w:val="20"/>
          <w:szCs w:val="20"/>
          <w:i w:val="1"/>
          <w:iCs w:val="1"/>
          <w:color w:val="auto"/>
        </w:rPr>
        <w:t>Consolidation of Variable Interest Entities - an interpretation of ARB No. 51</w:t>
      </w:r>
      <w:r>
        <w:rPr>
          <w:rFonts w:ascii="Arial" w:cs="Arial" w:eastAsia="Arial" w:hAnsi="Arial"/>
          <w:sz w:val="20"/>
          <w:szCs w:val="20"/>
          <w:color w:val="auto"/>
        </w:rPr>
        <w:t xml:space="preserve"> (FIN 46(R)), requires an enterprise to consolidate a variable interest entity (VIE), as defined in FIN 46(R), if the company is the primary beneficiary of a VIE’s activities.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0"/>
          <w:szCs w:val="20"/>
          <w:color w:val="auto"/>
        </w:rPr>
        <w:t>59</w:t>
      </w:r>
    </w:p>
    <w:p>
      <w:pPr>
        <w:sectPr>
          <w:pgSz w:w="11900" w:h="16838" w:orient="portrait"/>
          <w:cols w:equalWidth="0" w:num="1">
            <w:col w:w="11400"/>
          </w:cols>
          <w:pgMar w:left="240" w:top="122" w:right="259" w:bottom="1440" w:gutter="0" w:footer="0" w:header="0"/>
        </w:sectPr>
      </w:pPr>
    </w:p>
    <w:bookmarkStart w:id="127" w:name="page128"/>
    <w:bookmarkEnd w:id="127"/>
    <w:p>
      <w:pPr>
        <w:ind w:right="20"/>
        <w:spacing w:after="0" w:line="256" w:lineRule="auto"/>
        <w:rPr>
          <w:sz w:val="20"/>
          <w:szCs w:val="20"/>
          <w:color w:val="auto"/>
        </w:rPr>
      </w:pPr>
      <w:r>
        <w:rPr>
          <w:rFonts w:ascii="Arial" w:cs="Arial" w:eastAsia="Arial" w:hAnsi="Arial"/>
          <w:sz w:val="19"/>
          <w:szCs w:val="19"/>
          <w:color w:val="auto"/>
        </w:rPr>
        <w:t>SDG&amp;E has entered into a 10-year power purchase agreement with Otay Mesa Energy Center LLC (OMEC LLC) for power generated at the Otay Mesa Energy Center (OMEC), a 573-megawatt (MW) generating facility currently under construction by OMEC LLC, which is expected to be in commercial operation by mid-2009. SDG&amp;E will supply all of the natural gas to fuel the power plant. The agreement provides SDG&amp;E the option to purchase the power plant from OMEC LLC at the end of the contract term in 2019, or upon earlier termination of the purchase power agreement, at a predetermined price subject to adjustments based on performance of the facility. If SDG&amp;E does not exercise its option, OMEC LLC has the right, under certain circumstances, to require SDG&amp;E to purchase the power plant at a predetermined price. As defined in FIN 46(R), OMEC LLC is a VIE, of which SDG&amp;E is the primary beneficiary. Accordingly, the company co nsolidated OMEC LLC beginning in the second quarter of 2007. The CPUC also approved an additional financial return to SDG&amp;E to compensate it for the effect on its financial ratios from the requirement to consolidate OMEC LLC in accordance with FIN 46(R). OMEC LLC’s equity of $135 million is included in Minority Interests on the Consolidated Balance Sheet at December 31, 2007.</w:t>
      </w:r>
    </w:p>
    <w:p>
      <w:pPr>
        <w:spacing w:after="0" w:line="210" w:lineRule="exact"/>
        <w:rPr>
          <w:sz w:val="20"/>
          <w:szCs w:val="20"/>
          <w:color w:val="auto"/>
        </w:rPr>
      </w:pPr>
    </w:p>
    <w:p>
      <w:pPr>
        <w:ind w:right="100"/>
        <w:spacing w:after="0" w:line="260" w:lineRule="auto"/>
        <w:rPr>
          <w:sz w:val="20"/>
          <w:szCs w:val="20"/>
          <w:color w:val="auto"/>
        </w:rPr>
      </w:pPr>
      <w:r>
        <w:rPr>
          <w:rFonts w:ascii="Arial" w:cs="Arial" w:eastAsia="Arial" w:hAnsi="Arial"/>
          <w:sz w:val="19"/>
          <w:szCs w:val="19"/>
          <w:color w:val="auto"/>
        </w:rPr>
        <w:t>OMEC LLC has a project finance credit facility with third party lenders, secured by the assets of OMEC LLC, that provides for up to $377 million for the construction of OMEC. SDG&amp;E is not a party to the credit agreement. The loan matures in April 2019. Borrowings under the facility bear interest at rates varying with market rates. OMEC LLC had $63 million of outstanding borrowings under this facility at December 31, 2007. In addition, OMEC LLC has entered into interest-rate swap agreements to moderate its exposure to interest-rate changes on this facility. Additional information concerning the interest-rate swaps is provided in Note 11.</w:t>
      </w:r>
    </w:p>
    <w:p>
      <w:pPr>
        <w:spacing w:after="0" w:line="208"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color w:val="auto"/>
        </w:rPr>
        <w:t>Contracts under which SDG&amp;E acquires power from generation facilities otherwise unrelated to SDG&amp;E could result in a requirement for SDG&amp;E to consolidate the entity that owns the facility. In accordance with FIN 46(R), SDG&amp;E is continuing the process of determining whether it has any such situations and, if so, gathering the information that would be needed to perform the consolidation. The effects of this, if any, are not expected to significantly affect the financial position of SDG&amp;E and there would be no effect on results of operations or liquidity.</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Asset Retirement Obligations</w:t>
      </w:r>
    </w:p>
    <w:p>
      <w:pPr>
        <w:spacing w:after="0" w:line="249" w:lineRule="exact"/>
        <w:rPr>
          <w:sz w:val="20"/>
          <w:szCs w:val="20"/>
          <w:color w:val="auto"/>
        </w:rPr>
      </w:pPr>
    </w:p>
    <w:p>
      <w:pPr>
        <w:spacing w:after="0" w:line="272" w:lineRule="auto"/>
        <w:rPr>
          <w:sz w:val="20"/>
          <w:szCs w:val="20"/>
          <w:color w:val="auto"/>
        </w:rPr>
      </w:pPr>
      <w:r>
        <w:rPr>
          <w:rFonts w:ascii="Arial" w:cs="Arial" w:eastAsia="Arial" w:hAnsi="Arial"/>
          <w:sz w:val="18"/>
          <w:szCs w:val="18"/>
          <w:color w:val="auto"/>
        </w:rPr>
        <w:t xml:space="preserve">The company accounts for its tangible long-lived assets under SFAS 143, </w:t>
      </w:r>
      <w:r>
        <w:rPr>
          <w:rFonts w:ascii="Arial" w:cs="Arial" w:eastAsia="Arial" w:hAnsi="Arial"/>
          <w:sz w:val="18"/>
          <w:szCs w:val="18"/>
          <w:i w:val="1"/>
          <w:iCs w:val="1"/>
          <w:color w:val="auto"/>
        </w:rPr>
        <w:t>Accounting for Asset Retirement Obligations</w:t>
      </w:r>
      <w:r>
        <w:rPr>
          <w:rFonts w:ascii="Arial" w:cs="Arial" w:eastAsia="Arial" w:hAnsi="Arial"/>
          <w:sz w:val="18"/>
          <w:szCs w:val="18"/>
          <w:color w:val="auto"/>
        </w:rPr>
        <w:t xml:space="preserve"> (SFAS 143), and FIN 47, </w:t>
      </w:r>
      <w:r>
        <w:rPr>
          <w:rFonts w:ascii="Arial" w:cs="Arial" w:eastAsia="Arial" w:hAnsi="Arial"/>
          <w:sz w:val="18"/>
          <w:szCs w:val="18"/>
          <w:i w:val="1"/>
          <w:iCs w:val="1"/>
          <w:color w:val="auto"/>
        </w:rPr>
        <w:t>Accounting for Conditional Asset Retirement Obligations, an interpretation of SFAS 143</w:t>
      </w:r>
      <w:r>
        <w:rPr>
          <w:rFonts w:ascii="Arial" w:cs="Arial" w:eastAsia="Arial" w:hAnsi="Arial"/>
          <w:sz w:val="18"/>
          <w:szCs w:val="18"/>
          <w:color w:val="auto"/>
        </w:rPr>
        <w:t xml:space="preserve"> (FIN 47). SFAS 143 and FIN 47 require the company to record an asset retirement obligation for the present value of liabilities of future costs expected to be incurred when assets are retired from service, if the retirement process is legally required and if a reasonable estimate of fair value can be made. It requires recording of the estimated retirement cost over the life of the related asset by depreciating the present value of the obligation (measured at the time of the asset's acquisition) and accreting the discount until the liability is settled. Rate-regulated entities may recognize regulatory assets or liabilities as a result of the timing difference between the recognition of costs as recorded in acco rdance with SFAS 143 and FIN 47, and costs recovered through the rate-making process. A regulatory liability has been recorded to reflect that the Sempra Utilities have collected the funds from customers more quickly than SFAS 143 and FIN 47 would accrete the retirement liability and depreciate the asset.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20"/>
          <w:szCs w:val="20"/>
          <w:color w:val="auto"/>
        </w:rPr>
        <w:t>60</w:t>
      </w:r>
    </w:p>
    <w:p>
      <w:pPr>
        <w:sectPr>
          <w:pgSz w:w="11900" w:h="16838" w:orient="portrait"/>
          <w:cols w:equalWidth="0" w:num="1">
            <w:col w:w="11420"/>
          </w:cols>
          <w:pgMar w:left="240" w:top="121" w:right="239" w:bottom="1440" w:gutter="0" w:footer="0" w:header="0"/>
        </w:sectPr>
      </w:pPr>
    </w:p>
    <w:bookmarkStart w:id="128" w:name="page129"/>
    <w:bookmarkEnd w:id="128"/>
    <w:p>
      <w:pPr>
        <w:ind w:right="40"/>
        <w:spacing w:after="0" w:line="245" w:lineRule="auto"/>
        <w:rPr>
          <w:sz w:val="20"/>
          <w:szCs w:val="20"/>
          <w:color w:val="auto"/>
        </w:rPr>
      </w:pPr>
      <w:r>
        <w:rPr>
          <w:rFonts w:ascii="Arial" w:cs="Arial" w:eastAsia="Arial" w:hAnsi="Arial"/>
          <w:sz w:val="20"/>
          <w:szCs w:val="20"/>
          <w:color w:val="auto"/>
        </w:rPr>
        <w:t>The company has recorded asset retirement obligations related to fuel storage tanks; underground natural gas storage facilities and wells; hazardous waste storage facilities; asbestos-containing construction materials; decommissioning of its nuclear power facilities; the California natural gas transmission pipeline; natural gas transportation and distribution, electric distribution and electric transmission systems assets; and the site restoration of certain generation power plants. The changes in asset retirement obligations for the years ended December 31, 2007 and 2006 are as follows:</w:t>
      </w:r>
    </w:p>
    <w:p>
      <w:pPr>
        <w:spacing w:after="0" w:line="261" w:lineRule="exact"/>
        <w:rPr>
          <w:sz w:val="20"/>
          <w:szCs w:val="20"/>
          <w:color w:val="auto"/>
        </w:rPr>
      </w:pPr>
    </w:p>
    <w:tbl>
      <w:tblPr>
        <w:tblLayout w:type="fixed"/>
        <w:tblInd w:w="1300" w:type="dxa"/>
        <w:tblCellMar>
          <w:top w:w="0" w:type="dxa"/>
          <w:left w:w="0" w:type="dxa"/>
          <w:bottom w:w="0" w:type="dxa"/>
          <w:right w:w="0" w:type="dxa"/>
        </w:tblCellMar>
      </w:tblPr>
      <w:tr>
        <w:trPr>
          <w:trHeight w:val="237"/>
        </w:trPr>
        <w:tc>
          <w:tcPr>
            <w:tcW w:w="6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(Dollars in millions)</w:t>
            </w: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2007</w:t>
            </w:r>
          </w:p>
        </w:tc>
        <w:tc>
          <w:tcPr>
            <w:tcW w:w="3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2006</w:t>
            </w:r>
          </w:p>
        </w:tc>
      </w:tr>
      <w:tr>
        <w:trPr>
          <w:trHeight w:val="230"/>
        </w:trPr>
        <w:tc>
          <w:tcPr>
            <w:tcW w:w="6480" w:type="dxa"/>
            <w:vAlign w:val="bottom"/>
          </w:tcPr>
          <w:p>
            <w:pPr>
              <w:ind w:left="20"/>
              <w:spacing w:after="0"/>
              <w:rPr>
                <w:sz w:val="20"/>
                <w:szCs w:val="20"/>
                <w:color w:val="auto"/>
              </w:rPr>
            </w:pPr>
            <w:r>
              <w:rPr>
                <w:rFonts w:ascii="Arial" w:cs="Arial" w:eastAsia="Arial" w:hAnsi="Arial"/>
                <w:sz w:val="18"/>
                <w:szCs w:val="18"/>
                <w:color w:val="auto"/>
              </w:rPr>
              <w:t>Balance as of January 1*</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90"/>
              <w:spacing w:after="0"/>
              <w:rPr>
                <w:sz w:val="20"/>
                <w:szCs w:val="20"/>
                <w:color w:val="auto"/>
              </w:rPr>
            </w:pPr>
            <w:r>
              <w:rPr>
                <w:rFonts w:ascii="Arial" w:cs="Arial" w:eastAsia="Arial" w:hAnsi="Arial"/>
                <w:sz w:val="18"/>
                <w:szCs w:val="18"/>
                <w:color w:val="auto"/>
              </w:rPr>
              <w:t>1,163</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10"/>
              <w:spacing w:after="0"/>
              <w:rPr>
                <w:sz w:val="20"/>
                <w:szCs w:val="20"/>
                <w:color w:val="auto"/>
              </w:rPr>
            </w:pPr>
            <w:r>
              <w:rPr>
                <w:rFonts w:ascii="Arial" w:cs="Arial" w:eastAsia="Arial" w:hAnsi="Arial"/>
                <w:sz w:val="18"/>
                <w:szCs w:val="18"/>
                <w:color w:val="auto"/>
              </w:rPr>
              <w:t>977</w:t>
            </w:r>
          </w:p>
        </w:tc>
      </w:tr>
      <w:tr>
        <w:trPr>
          <w:trHeight w:val="242"/>
        </w:trPr>
        <w:tc>
          <w:tcPr>
            <w:tcW w:w="6480" w:type="dxa"/>
            <w:vAlign w:val="bottom"/>
          </w:tcPr>
          <w:p>
            <w:pPr>
              <w:ind w:left="20"/>
              <w:spacing w:after="0"/>
              <w:rPr>
                <w:sz w:val="20"/>
                <w:szCs w:val="20"/>
                <w:color w:val="auto"/>
              </w:rPr>
            </w:pPr>
            <w:r>
              <w:rPr>
                <w:rFonts w:ascii="Arial" w:cs="Arial" w:eastAsia="Arial" w:hAnsi="Arial"/>
                <w:sz w:val="18"/>
                <w:szCs w:val="18"/>
                <w:color w:val="auto"/>
              </w:rPr>
              <w:t>Accretion expense</w:t>
            </w:r>
          </w:p>
        </w:tc>
        <w:tc>
          <w:tcPr>
            <w:tcW w:w="280" w:type="dxa"/>
            <w:vAlign w:val="bottom"/>
          </w:tcPr>
          <w:p>
            <w:pPr>
              <w:spacing w:after="0"/>
              <w:rPr>
                <w:sz w:val="21"/>
                <w:szCs w:val="21"/>
                <w:color w:val="auto"/>
              </w:rPr>
            </w:pPr>
          </w:p>
        </w:tc>
        <w:tc>
          <w:tcPr>
            <w:tcW w:w="820" w:type="dxa"/>
            <w:vAlign w:val="bottom"/>
          </w:tcPr>
          <w:p>
            <w:pPr>
              <w:jc w:val="right"/>
              <w:ind w:right="190"/>
              <w:spacing w:after="0"/>
              <w:rPr>
                <w:sz w:val="20"/>
                <w:szCs w:val="20"/>
                <w:color w:val="auto"/>
              </w:rPr>
            </w:pPr>
            <w:r>
              <w:rPr>
                <w:rFonts w:ascii="Arial" w:cs="Arial" w:eastAsia="Arial" w:hAnsi="Arial"/>
                <w:sz w:val="18"/>
                <w:szCs w:val="18"/>
                <w:color w:val="auto"/>
              </w:rPr>
              <w:t>78</w:t>
            </w:r>
          </w:p>
        </w:tc>
        <w:tc>
          <w:tcPr>
            <w:tcW w:w="380" w:type="dxa"/>
            <w:vAlign w:val="bottom"/>
          </w:tcPr>
          <w:p>
            <w:pPr>
              <w:spacing w:after="0"/>
              <w:rPr>
                <w:sz w:val="21"/>
                <w:szCs w:val="21"/>
                <w:color w:val="auto"/>
              </w:rPr>
            </w:pPr>
          </w:p>
        </w:tc>
        <w:tc>
          <w:tcPr>
            <w:tcW w:w="880" w:type="dxa"/>
            <w:vAlign w:val="bottom"/>
          </w:tcPr>
          <w:p>
            <w:pPr>
              <w:jc w:val="right"/>
              <w:ind w:right="210"/>
              <w:spacing w:after="0"/>
              <w:rPr>
                <w:sz w:val="20"/>
                <w:szCs w:val="20"/>
                <w:color w:val="auto"/>
              </w:rPr>
            </w:pPr>
            <w:r>
              <w:rPr>
                <w:rFonts w:ascii="Arial" w:cs="Arial" w:eastAsia="Arial" w:hAnsi="Arial"/>
                <w:sz w:val="18"/>
                <w:szCs w:val="18"/>
                <w:color w:val="auto"/>
              </w:rPr>
              <w:t>63</w:t>
            </w:r>
          </w:p>
        </w:tc>
      </w:tr>
      <w:tr>
        <w:trPr>
          <w:trHeight w:val="243"/>
        </w:trPr>
        <w:tc>
          <w:tcPr>
            <w:tcW w:w="6480" w:type="dxa"/>
            <w:vAlign w:val="bottom"/>
          </w:tcPr>
          <w:p>
            <w:pPr>
              <w:ind w:left="20"/>
              <w:spacing w:after="0"/>
              <w:rPr>
                <w:sz w:val="20"/>
                <w:szCs w:val="20"/>
                <w:color w:val="auto"/>
              </w:rPr>
            </w:pPr>
            <w:r>
              <w:rPr>
                <w:rFonts w:ascii="Arial" w:cs="Arial" w:eastAsia="Arial" w:hAnsi="Arial"/>
                <w:sz w:val="18"/>
                <w:szCs w:val="18"/>
                <w:color w:val="auto"/>
              </w:rPr>
              <w:t>Liabilities incurred</w:t>
            </w:r>
          </w:p>
        </w:tc>
        <w:tc>
          <w:tcPr>
            <w:tcW w:w="280" w:type="dxa"/>
            <w:vAlign w:val="bottom"/>
          </w:tcPr>
          <w:p>
            <w:pPr>
              <w:spacing w:after="0"/>
              <w:rPr>
                <w:sz w:val="21"/>
                <w:szCs w:val="21"/>
                <w:color w:val="auto"/>
              </w:rPr>
            </w:pPr>
          </w:p>
        </w:tc>
        <w:tc>
          <w:tcPr>
            <w:tcW w:w="820" w:type="dxa"/>
            <w:vAlign w:val="bottom"/>
          </w:tcPr>
          <w:p>
            <w:pPr>
              <w:jc w:val="right"/>
              <w:ind w:right="190"/>
              <w:spacing w:after="0"/>
              <w:rPr>
                <w:sz w:val="20"/>
                <w:szCs w:val="20"/>
                <w:color w:val="auto"/>
              </w:rPr>
            </w:pPr>
            <w:r>
              <w:rPr>
                <w:rFonts w:ascii="Arial" w:cs="Arial" w:eastAsia="Arial" w:hAnsi="Arial"/>
                <w:sz w:val="18"/>
                <w:szCs w:val="18"/>
                <w:color w:val="auto"/>
              </w:rPr>
              <w:t>2</w:t>
            </w:r>
          </w:p>
        </w:tc>
        <w:tc>
          <w:tcPr>
            <w:tcW w:w="380" w:type="dxa"/>
            <w:vAlign w:val="bottom"/>
          </w:tcPr>
          <w:p>
            <w:pPr>
              <w:spacing w:after="0"/>
              <w:rPr>
                <w:sz w:val="21"/>
                <w:szCs w:val="21"/>
                <w:color w:val="auto"/>
              </w:rPr>
            </w:pPr>
          </w:p>
        </w:tc>
        <w:tc>
          <w:tcPr>
            <w:tcW w:w="880" w:type="dxa"/>
            <w:vAlign w:val="bottom"/>
          </w:tcPr>
          <w:p>
            <w:pPr>
              <w:jc w:val="right"/>
              <w:ind w:right="210"/>
              <w:spacing w:after="0"/>
              <w:rPr>
                <w:sz w:val="20"/>
                <w:szCs w:val="20"/>
                <w:color w:val="auto"/>
              </w:rPr>
            </w:pPr>
            <w:r>
              <w:rPr>
                <w:rFonts w:ascii="Arial" w:cs="Arial" w:eastAsia="Arial" w:hAnsi="Arial"/>
                <w:sz w:val="18"/>
                <w:szCs w:val="18"/>
                <w:color w:val="auto"/>
              </w:rPr>
              <w:t>--</w:t>
            </w:r>
          </w:p>
        </w:tc>
      </w:tr>
      <w:tr>
        <w:trPr>
          <w:trHeight w:val="243"/>
        </w:trPr>
        <w:tc>
          <w:tcPr>
            <w:tcW w:w="6480" w:type="dxa"/>
            <w:vAlign w:val="bottom"/>
          </w:tcPr>
          <w:p>
            <w:pPr>
              <w:ind w:left="20"/>
              <w:spacing w:after="0"/>
              <w:rPr>
                <w:sz w:val="20"/>
                <w:szCs w:val="20"/>
                <w:color w:val="auto"/>
              </w:rPr>
            </w:pPr>
            <w:r>
              <w:rPr>
                <w:rFonts w:ascii="Arial" w:cs="Arial" w:eastAsia="Arial" w:hAnsi="Arial"/>
                <w:sz w:val="18"/>
                <w:szCs w:val="18"/>
                <w:color w:val="auto"/>
              </w:rPr>
              <w:t>Payments</w:t>
            </w:r>
          </w:p>
        </w:tc>
        <w:tc>
          <w:tcPr>
            <w:tcW w:w="280" w:type="dxa"/>
            <w:vAlign w:val="bottom"/>
          </w:tcPr>
          <w:p>
            <w:pPr>
              <w:spacing w:after="0"/>
              <w:rPr>
                <w:sz w:val="21"/>
                <w:szCs w:val="21"/>
                <w:color w:val="auto"/>
              </w:rPr>
            </w:pP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(21 )</w:t>
            </w:r>
          </w:p>
        </w:tc>
        <w:tc>
          <w:tcPr>
            <w:tcW w:w="380" w:type="dxa"/>
            <w:vAlign w:val="bottom"/>
          </w:tcPr>
          <w:p>
            <w:pPr>
              <w:spacing w:after="0"/>
              <w:rPr>
                <w:sz w:val="21"/>
                <w:szCs w:val="21"/>
                <w:color w:val="auto"/>
              </w:rPr>
            </w:pPr>
          </w:p>
        </w:tc>
        <w:tc>
          <w:tcPr>
            <w:tcW w:w="880" w:type="dxa"/>
            <w:vAlign w:val="bottom"/>
          </w:tcPr>
          <w:p>
            <w:pPr>
              <w:jc w:val="right"/>
              <w:ind w:right="110"/>
              <w:spacing w:after="0"/>
              <w:rPr>
                <w:sz w:val="20"/>
                <w:szCs w:val="20"/>
                <w:color w:val="auto"/>
              </w:rPr>
            </w:pPr>
            <w:r>
              <w:rPr>
                <w:rFonts w:ascii="Arial" w:cs="Arial" w:eastAsia="Arial" w:hAnsi="Arial"/>
                <w:sz w:val="18"/>
                <w:szCs w:val="18"/>
                <w:color w:val="auto"/>
              </w:rPr>
              <w:t>(12 )</w:t>
            </w:r>
          </w:p>
        </w:tc>
      </w:tr>
      <w:tr>
        <w:trPr>
          <w:trHeight w:val="250"/>
        </w:trPr>
        <w:tc>
          <w:tcPr>
            <w:tcW w:w="6480" w:type="dxa"/>
            <w:vAlign w:val="bottom"/>
          </w:tcPr>
          <w:p>
            <w:pPr>
              <w:ind w:left="20"/>
              <w:spacing w:after="0"/>
              <w:rPr>
                <w:sz w:val="20"/>
                <w:szCs w:val="20"/>
                <w:color w:val="auto"/>
              </w:rPr>
            </w:pPr>
            <w:r>
              <w:rPr>
                <w:rFonts w:ascii="Arial" w:cs="Arial" w:eastAsia="Arial" w:hAnsi="Arial"/>
                <w:sz w:val="18"/>
                <w:szCs w:val="18"/>
                <w:color w:val="auto"/>
              </w:rPr>
              <w:t>Revision to estimated cash flows</w:t>
            </w:r>
          </w:p>
        </w:tc>
        <w:tc>
          <w:tcPr>
            <w:tcW w:w="2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(64 )</w:t>
            </w:r>
          </w:p>
        </w:tc>
        <w:tc>
          <w:tcPr>
            <w:tcW w:w="3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135</w:t>
            </w:r>
          </w:p>
        </w:tc>
      </w:tr>
      <w:tr>
        <w:trPr>
          <w:trHeight w:val="230"/>
        </w:trPr>
        <w:tc>
          <w:tcPr>
            <w:tcW w:w="6480" w:type="dxa"/>
            <w:vAlign w:val="bottom"/>
          </w:tcPr>
          <w:p>
            <w:pPr>
              <w:ind w:left="20"/>
              <w:spacing w:after="0"/>
              <w:rPr>
                <w:sz w:val="20"/>
                <w:szCs w:val="20"/>
                <w:color w:val="auto"/>
              </w:rPr>
            </w:pPr>
            <w:r>
              <w:rPr>
                <w:rFonts w:ascii="Arial" w:cs="Arial" w:eastAsia="Arial" w:hAnsi="Arial"/>
                <w:sz w:val="18"/>
                <w:szCs w:val="18"/>
                <w:color w:val="auto"/>
              </w:rPr>
              <w:t>Balance as of December 31*</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90"/>
              <w:spacing w:after="0"/>
              <w:rPr>
                <w:sz w:val="20"/>
                <w:szCs w:val="20"/>
                <w:color w:val="auto"/>
              </w:rPr>
            </w:pPr>
            <w:r>
              <w:rPr>
                <w:rFonts w:ascii="Arial" w:cs="Arial" w:eastAsia="Arial" w:hAnsi="Arial"/>
                <w:sz w:val="18"/>
                <w:szCs w:val="18"/>
                <w:color w:val="auto"/>
              </w:rPr>
              <w:t>1,158</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10"/>
              <w:spacing w:after="0"/>
              <w:rPr>
                <w:sz w:val="20"/>
                <w:szCs w:val="20"/>
                <w:color w:val="auto"/>
              </w:rPr>
            </w:pPr>
            <w:r>
              <w:rPr>
                <w:rFonts w:ascii="Arial" w:cs="Arial" w:eastAsia="Arial" w:hAnsi="Arial"/>
                <w:sz w:val="18"/>
                <w:szCs w:val="18"/>
                <w:color w:val="auto"/>
              </w:rPr>
              <w:t>1,163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8255</wp:posOffset>
            </wp:positionV>
            <wp:extent cx="560832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08320" cy="26035"/>
                    </a:xfrm>
                    <a:prstGeom prst="rect">
                      <a:avLst/>
                    </a:prstGeom>
                    <a:noFill/>
                  </pic:spPr>
                </pic:pic>
              </a:graphicData>
            </a:graphic>
          </wp:anchor>
        </w:drawing>
      </w:r>
    </w:p>
    <w:p>
      <w:pPr>
        <w:spacing w:after="0" w:line="32"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 The current portion of the obligation is included in Other Current Liabilities on the Consolidated Balance Sheets.</w:t>
      </w:r>
    </w:p>
    <w:p>
      <w:pPr>
        <w:spacing w:after="0" w:line="25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Legal Fees</w:t>
      </w:r>
    </w:p>
    <w:p>
      <w:pPr>
        <w:spacing w:after="0" w:line="249" w:lineRule="exact"/>
        <w:rPr>
          <w:sz w:val="20"/>
          <w:szCs w:val="20"/>
          <w:color w:val="auto"/>
        </w:rPr>
      </w:pPr>
    </w:p>
    <w:p>
      <w:pPr>
        <w:ind w:right="540"/>
        <w:spacing w:after="0" w:line="260" w:lineRule="auto"/>
        <w:rPr>
          <w:sz w:val="20"/>
          <w:szCs w:val="20"/>
          <w:color w:val="auto"/>
        </w:rPr>
      </w:pPr>
      <w:r>
        <w:rPr>
          <w:rFonts w:ascii="Arial" w:cs="Arial" w:eastAsia="Arial" w:hAnsi="Arial"/>
          <w:sz w:val="20"/>
          <w:szCs w:val="20"/>
          <w:color w:val="auto"/>
        </w:rPr>
        <w:t>Legal fees that are associated with a past event for which a liability has been recorded are accrued when it is probable that fees also will be incurred.</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Comprehensive Income</w:t>
      </w:r>
    </w:p>
    <w:p>
      <w:pPr>
        <w:spacing w:after="0" w:line="249" w:lineRule="exact"/>
        <w:rPr>
          <w:sz w:val="20"/>
          <w:szCs w:val="20"/>
          <w:color w:val="auto"/>
        </w:rPr>
      </w:pPr>
    </w:p>
    <w:p>
      <w:pPr>
        <w:spacing w:after="0" w:line="260" w:lineRule="auto"/>
        <w:rPr>
          <w:sz w:val="20"/>
          <w:szCs w:val="20"/>
          <w:color w:val="auto"/>
        </w:rPr>
      </w:pPr>
      <w:r>
        <w:rPr>
          <w:rFonts w:ascii="Arial" w:cs="Arial" w:eastAsia="Arial" w:hAnsi="Arial"/>
          <w:sz w:val="19"/>
          <w:szCs w:val="19"/>
          <w:color w:val="auto"/>
        </w:rPr>
        <w:t>Comprehensive income includes all changes in the equity of a business enterprise (except those resulting from investments by owners and distributions to owners), including foreign-currency translation adjustments, amortization of net actuarial loss and prior service cost related to pension and other postretirement benefits plans, changes in minimum pension liability and certain hedging activities. The components of other comprehensive income, which consist of all these changes other than net income as shown on the Statements of Consolidated Income, are shown in the Statements of Consolidated Comprehensive Income and Changes in Shareholders' Equity.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Accumulated Other Comprehensive Income (Loss), net of income taxes, at December 31, 2007 and 2006 are as follows:</w:t>
      </w:r>
    </w:p>
    <w:p>
      <w:pPr>
        <w:spacing w:after="0" w:line="309" w:lineRule="exact"/>
        <w:rPr>
          <w:sz w:val="20"/>
          <w:szCs w:val="20"/>
          <w:color w:val="auto"/>
        </w:rPr>
      </w:pPr>
    </w:p>
    <w:tbl>
      <w:tblPr>
        <w:tblLayout w:type="fixed"/>
        <w:tblInd w:w="1300" w:type="dxa"/>
        <w:tblCellMar>
          <w:top w:w="0" w:type="dxa"/>
          <w:left w:w="0" w:type="dxa"/>
          <w:bottom w:w="0" w:type="dxa"/>
          <w:right w:w="0" w:type="dxa"/>
        </w:tblCellMar>
      </w:tblPr>
      <w:tr>
        <w:trPr>
          <w:trHeight w:val="237"/>
        </w:trPr>
        <w:tc>
          <w:tcPr>
            <w:tcW w:w="6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(Dollars in millions)</w:t>
            </w:r>
          </w:p>
        </w:tc>
        <w:tc>
          <w:tcPr>
            <w:tcW w:w="3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2007</w:t>
            </w: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2006</w:t>
            </w:r>
          </w:p>
        </w:tc>
      </w:tr>
      <w:tr>
        <w:trPr>
          <w:trHeight w:val="230"/>
        </w:trPr>
        <w:tc>
          <w:tcPr>
            <w:tcW w:w="6180" w:type="dxa"/>
            <w:vAlign w:val="bottom"/>
          </w:tcPr>
          <w:p>
            <w:pPr>
              <w:ind w:left="20"/>
              <w:spacing w:after="0"/>
              <w:rPr>
                <w:sz w:val="20"/>
                <w:szCs w:val="20"/>
                <w:color w:val="auto"/>
              </w:rPr>
            </w:pPr>
            <w:r>
              <w:rPr>
                <w:rFonts w:ascii="Arial" w:cs="Arial" w:eastAsia="Arial" w:hAnsi="Arial"/>
                <w:sz w:val="18"/>
                <w:szCs w:val="18"/>
                <w:color w:val="auto"/>
              </w:rPr>
              <w:t>Foreign-currency translation loss</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(238 )</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(276 )</w:t>
            </w:r>
          </w:p>
        </w:tc>
      </w:tr>
      <w:tr>
        <w:trPr>
          <w:trHeight w:val="242"/>
        </w:trPr>
        <w:tc>
          <w:tcPr>
            <w:tcW w:w="6180" w:type="dxa"/>
            <w:vAlign w:val="bottom"/>
          </w:tcPr>
          <w:p>
            <w:pPr>
              <w:ind w:left="20"/>
              <w:spacing w:after="0"/>
              <w:rPr>
                <w:sz w:val="20"/>
                <w:szCs w:val="20"/>
                <w:color w:val="auto"/>
              </w:rPr>
            </w:pPr>
            <w:r>
              <w:rPr>
                <w:rFonts w:ascii="Arial" w:cs="Arial" w:eastAsia="Arial" w:hAnsi="Arial"/>
                <w:sz w:val="18"/>
                <w:szCs w:val="18"/>
                <w:color w:val="auto"/>
              </w:rPr>
              <w:t>Financial instruments, net of $11 and $32 income tax benefit, respectively</w:t>
            </w:r>
          </w:p>
        </w:tc>
        <w:tc>
          <w:tcPr>
            <w:tcW w:w="38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(24 )</w:t>
            </w:r>
          </w:p>
        </w:tc>
        <w:tc>
          <w:tcPr>
            <w:tcW w:w="360" w:type="dxa"/>
            <w:vAlign w:val="bottom"/>
          </w:tcPr>
          <w:p>
            <w:pPr>
              <w:spacing w:after="0"/>
              <w:rPr>
                <w:sz w:val="21"/>
                <w:szCs w:val="21"/>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(50 )</w:t>
            </w:r>
          </w:p>
        </w:tc>
      </w:tr>
      <w:tr>
        <w:trPr>
          <w:trHeight w:val="229"/>
        </w:trPr>
        <w:tc>
          <w:tcPr>
            <w:tcW w:w="6180" w:type="dxa"/>
            <w:vAlign w:val="bottom"/>
          </w:tcPr>
          <w:p>
            <w:pPr>
              <w:ind w:left="20"/>
              <w:spacing w:after="0"/>
              <w:rPr>
                <w:sz w:val="20"/>
                <w:szCs w:val="20"/>
                <w:color w:val="auto"/>
              </w:rPr>
            </w:pPr>
            <w:r>
              <w:rPr>
                <w:rFonts w:ascii="Arial" w:cs="Arial" w:eastAsia="Arial" w:hAnsi="Arial"/>
                <w:sz w:val="18"/>
                <w:szCs w:val="18"/>
                <w:color w:val="auto"/>
                <w:w w:val="96"/>
              </w:rPr>
              <w:t>Unrealized gains on available-for-sale securities, net of $16 and $11 income tax</w:t>
            </w: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6180" w:type="dxa"/>
            <w:vAlign w:val="bottom"/>
          </w:tcPr>
          <w:p>
            <w:pPr>
              <w:ind w:left="120"/>
              <w:spacing w:after="0"/>
              <w:rPr>
                <w:sz w:val="20"/>
                <w:szCs w:val="20"/>
                <w:color w:val="auto"/>
              </w:rPr>
            </w:pPr>
            <w:r>
              <w:rPr>
                <w:rFonts w:ascii="Arial" w:cs="Arial" w:eastAsia="Arial" w:hAnsi="Arial"/>
                <w:sz w:val="18"/>
                <w:szCs w:val="18"/>
                <w:color w:val="auto"/>
              </w:rPr>
              <w:t>expense, respectively</w:t>
            </w:r>
          </w:p>
        </w:tc>
        <w:tc>
          <w:tcPr>
            <w:tcW w:w="380" w:type="dxa"/>
            <w:vAlign w:val="bottom"/>
          </w:tcPr>
          <w:p>
            <w:pPr>
              <w:spacing w:after="0"/>
              <w:rPr>
                <w:sz w:val="20"/>
                <w:szCs w:val="20"/>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28</w:t>
            </w:r>
          </w:p>
        </w:tc>
        <w:tc>
          <w:tcPr>
            <w:tcW w:w="360" w:type="dxa"/>
            <w:vAlign w:val="bottom"/>
          </w:tcPr>
          <w:p>
            <w:pPr>
              <w:spacing w:after="0"/>
              <w:rPr>
                <w:sz w:val="20"/>
                <w:szCs w:val="20"/>
                <w:color w:val="auto"/>
              </w:rPr>
            </w:pPr>
          </w:p>
        </w:tc>
        <w:tc>
          <w:tcPr>
            <w:tcW w:w="900" w:type="dxa"/>
            <w:vAlign w:val="bottom"/>
          </w:tcPr>
          <w:p>
            <w:pPr>
              <w:jc w:val="right"/>
              <w:ind w:right="170"/>
              <w:spacing w:after="0"/>
              <w:rPr>
                <w:sz w:val="20"/>
                <w:szCs w:val="20"/>
                <w:color w:val="auto"/>
              </w:rPr>
            </w:pPr>
            <w:r>
              <w:rPr>
                <w:rFonts w:ascii="Arial" w:cs="Arial" w:eastAsia="Arial" w:hAnsi="Arial"/>
                <w:sz w:val="18"/>
                <w:szCs w:val="18"/>
                <w:color w:val="auto"/>
              </w:rPr>
              <w:t>18</w:t>
            </w:r>
          </w:p>
        </w:tc>
      </w:tr>
      <w:tr>
        <w:trPr>
          <w:trHeight w:val="243"/>
        </w:trPr>
        <w:tc>
          <w:tcPr>
            <w:tcW w:w="6180" w:type="dxa"/>
            <w:vAlign w:val="bottom"/>
          </w:tcPr>
          <w:p>
            <w:pPr>
              <w:ind w:left="20"/>
              <w:spacing w:after="0"/>
              <w:rPr>
                <w:sz w:val="20"/>
                <w:szCs w:val="20"/>
                <w:color w:val="auto"/>
              </w:rPr>
            </w:pPr>
            <w:r>
              <w:rPr>
                <w:rFonts w:ascii="Arial" w:cs="Arial" w:eastAsia="Arial" w:hAnsi="Arial"/>
                <w:sz w:val="18"/>
                <w:szCs w:val="18"/>
                <w:color w:val="auto"/>
                <w:w w:val="93"/>
              </w:rPr>
              <w:t>Unamortized net actuarial loss, net of $50 and $57 income tax benefit, respectively</w:t>
            </w:r>
          </w:p>
        </w:tc>
        <w:tc>
          <w:tcPr>
            <w:tcW w:w="38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(72 )</w:t>
            </w:r>
          </w:p>
        </w:tc>
        <w:tc>
          <w:tcPr>
            <w:tcW w:w="360" w:type="dxa"/>
            <w:vAlign w:val="bottom"/>
          </w:tcPr>
          <w:p>
            <w:pPr>
              <w:spacing w:after="0"/>
              <w:rPr>
                <w:sz w:val="21"/>
                <w:szCs w:val="21"/>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(85 )</w:t>
            </w:r>
          </w:p>
        </w:tc>
      </w:tr>
      <w:tr>
        <w:trPr>
          <w:trHeight w:val="257"/>
        </w:trPr>
        <w:tc>
          <w:tcPr>
            <w:tcW w:w="6180" w:type="dxa"/>
            <w:vAlign w:val="bottom"/>
          </w:tcPr>
          <w:p>
            <w:pPr>
              <w:ind w:left="20"/>
              <w:spacing w:after="0"/>
              <w:rPr>
                <w:sz w:val="20"/>
                <w:szCs w:val="20"/>
                <w:color w:val="auto"/>
              </w:rPr>
            </w:pPr>
            <w:r>
              <w:rPr>
                <w:rFonts w:ascii="Arial" w:cs="Arial" w:eastAsia="Arial" w:hAnsi="Arial"/>
                <w:sz w:val="18"/>
                <w:szCs w:val="18"/>
                <w:color w:val="auto"/>
                <w:w w:val="92"/>
              </w:rPr>
              <w:t>Unamortized prior service credit, net of $4 and $1 income tax expense, respectively</w:t>
            </w:r>
          </w:p>
        </w:tc>
        <w:tc>
          <w:tcPr>
            <w:tcW w:w="3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5</w:t>
            </w: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3</w:t>
            </w:r>
          </w:p>
        </w:tc>
      </w:tr>
      <w:tr>
        <w:trPr>
          <w:trHeight w:val="257"/>
        </w:trPr>
        <w:tc>
          <w:tcPr>
            <w:tcW w:w="6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Balance as of December 31</w:t>
            </w:r>
          </w:p>
        </w:tc>
        <w:tc>
          <w:tcPr>
            <w:tcW w:w="3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(301 )</w:t>
            </w:r>
          </w:p>
        </w:tc>
        <w:tc>
          <w:tcPr>
            <w:tcW w:w="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(390 )</w:t>
            </w:r>
          </w:p>
        </w:tc>
      </w:tr>
    </w:tbl>
    <w:p>
      <w:pPr>
        <w:spacing w:after="0" w:line="2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Revenues</w:t>
      </w:r>
    </w:p>
    <w:p>
      <w:pPr>
        <w:spacing w:after="0" w:line="249" w:lineRule="exact"/>
        <w:rPr>
          <w:sz w:val="20"/>
          <w:szCs w:val="20"/>
          <w:color w:val="auto"/>
        </w:rPr>
      </w:pPr>
    </w:p>
    <w:p>
      <w:pPr>
        <w:ind w:right="20"/>
        <w:spacing w:after="0" w:line="243" w:lineRule="auto"/>
        <w:rPr>
          <w:sz w:val="20"/>
          <w:szCs w:val="20"/>
          <w:color w:val="auto"/>
        </w:rPr>
      </w:pPr>
      <w:r>
        <w:rPr>
          <w:rFonts w:ascii="Arial" w:cs="Arial" w:eastAsia="Arial" w:hAnsi="Arial"/>
          <w:sz w:val="20"/>
          <w:szCs w:val="20"/>
          <w:color w:val="auto"/>
        </w:rPr>
        <w:t>Revenues of the Sempra Utilities are primarily derived from deliveries of electricity and natural gas to customers and changes in related regulatory balancing accounts. Revenues from electricity and natural gas sales and services are recorded under the accrual method and recognized upon delivery and performance. The portion of SDG&amp;E's electric commodity that was procured for its customers by the California Department of Water Resources (DWR) and delivered by SDG&amp;E is not included in SDG&amp;E's revenues or costs. Commodity costs associated with long-term contracts allocated to SDG&amp;E from the DWR also are not included in the Statements of Consolidated Income, since the DWR retains legal and</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20"/>
          <w:szCs w:val="20"/>
          <w:color w:val="auto"/>
        </w:rPr>
        <w:t>61</w:t>
      </w:r>
    </w:p>
    <w:p>
      <w:pPr>
        <w:sectPr>
          <w:pgSz w:w="11900" w:h="16838" w:orient="portrait"/>
          <w:cols w:equalWidth="0" w:num="1">
            <w:col w:w="11300"/>
          </w:cols>
          <w:pgMar w:left="240" w:top="121" w:right="359" w:bottom="1440" w:gutter="0" w:footer="0" w:header="0"/>
        </w:sectPr>
      </w:pPr>
    </w:p>
    <w:bookmarkStart w:id="129" w:name="page130"/>
    <w:bookmarkEnd w:id="129"/>
    <w:p>
      <w:pPr>
        <w:spacing w:after="0" w:line="244" w:lineRule="auto"/>
        <w:rPr>
          <w:sz w:val="20"/>
          <w:szCs w:val="20"/>
          <w:color w:val="auto"/>
        </w:rPr>
      </w:pPr>
      <w:r>
        <w:rPr>
          <w:rFonts w:ascii="Arial" w:cs="Arial" w:eastAsia="Arial" w:hAnsi="Arial"/>
          <w:sz w:val="20"/>
          <w:szCs w:val="20"/>
          <w:color w:val="auto"/>
        </w:rPr>
        <w:t>financial responsibility for these contracts. Note 14 includes a discussion of the electric industry restructuring. Natural gas storage contract revenues are accrued on a monthly basis and reflect reservation, storage and injection charges in accordance with negotiated agreements, which have terms of up to 15 years. Included in revenues for the Sempra Utilities are revenues of $2.2 billion, $2.1 billion and $1.8 billion for electric and $4.9 billion, $4.8 billion and $5.3 billion for natural gas for 2007, 2006 and 2005, respectively. Operating revenues include amounts for services rendered but unbilled (approximately one-half month's deliveries) at the end of each year. The company presents its operating revenues net of sales taxes.</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color w:val="auto"/>
        </w:rPr>
        <w:t>Additional information concerning utility revenue recognition is discussed above under "Regulatory Matters."</w:t>
      </w:r>
    </w:p>
    <w:p>
      <w:pPr>
        <w:spacing w:after="0" w:line="243" w:lineRule="exact"/>
        <w:rPr>
          <w:sz w:val="20"/>
          <w:szCs w:val="20"/>
          <w:color w:val="auto"/>
        </w:rPr>
      </w:pPr>
    </w:p>
    <w:p>
      <w:pPr>
        <w:ind w:right="120"/>
        <w:spacing w:after="0" w:line="316" w:lineRule="auto"/>
        <w:rPr>
          <w:sz w:val="20"/>
          <w:szCs w:val="20"/>
          <w:color w:val="auto"/>
        </w:rPr>
      </w:pPr>
      <w:r>
        <w:rPr>
          <w:rFonts w:ascii="Arial" w:cs="Arial" w:eastAsia="Arial" w:hAnsi="Arial"/>
          <w:sz w:val="16"/>
          <w:szCs w:val="16"/>
          <w:color w:val="auto"/>
        </w:rPr>
        <w:t>Sempra Commodities generates a substantial portion of its revenues from market making and trading activities as a principal in natural gas, electricity, petroleum, metals and other commodities, for which it quotes bid and ask prices to end users and other market makers. Sempra Commodities also earns trading profits as a dealer by structuring and executing transactions. Sempra Commodities utilizes derivative instruments to reduce its exposure to unfavorable changes in market prices, which are subject to significant and volatile fluctuation. These instruments include futures, forwards, swaps and options. Principal transaction revenues are recognized on a trade-date basis net of realized gains and losses and the net change in the fair value of unrealized gains and losses related to commodity derivatives used for trading purposes.</w:t>
      </w:r>
    </w:p>
    <w:p>
      <w:pPr>
        <w:spacing w:after="0" w:line="167"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color w:val="auto"/>
        </w:rPr>
        <w:t>Options, which are either exchange-traded or directly negotiated between counterparties, provide the holder with the right to buy from or sell to the other party an agreed amount of a commodity at a specified price within a specified period or at a specified time. As a writer of options, Sempra Commodities generally receives an option premium and manages the risk of an unfavorable change in the value of the underlying commodity by entering into offsetting transactions or by other means.</w:t>
      </w:r>
    </w:p>
    <w:p>
      <w:pPr>
        <w:spacing w:after="0" w:line="219" w:lineRule="exact"/>
        <w:rPr>
          <w:sz w:val="20"/>
          <w:szCs w:val="20"/>
          <w:color w:val="auto"/>
        </w:rPr>
      </w:pPr>
    </w:p>
    <w:p>
      <w:pPr>
        <w:ind w:right="40"/>
        <w:spacing w:after="0" w:line="246" w:lineRule="auto"/>
        <w:rPr>
          <w:sz w:val="20"/>
          <w:szCs w:val="20"/>
          <w:color w:val="auto"/>
        </w:rPr>
      </w:pPr>
      <w:r>
        <w:rPr>
          <w:rFonts w:ascii="Arial" w:cs="Arial" w:eastAsia="Arial" w:hAnsi="Arial"/>
          <w:sz w:val="20"/>
          <w:szCs w:val="20"/>
          <w:color w:val="auto"/>
        </w:rPr>
        <w:t>Forward and future transactions are contracts for delivery of commodities in which the counterparty agrees to make or take delivery at a specified price. Commodity swap transactions may involve the exchange of fixed and floating payment obligations without the exchange of the underlying commodity. Sempra Commodities’ financial instruments represent contracts with counterparties whereby payments are linked to or derived from market indices or on terms predetermined by the contract.</w:t>
      </w:r>
    </w:p>
    <w:p>
      <w:pPr>
        <w:spacing w:after="0" w:line="219" w:lineRule="exact"/>
        <w:rPr>
          <w:sz w:val="20"/>
          <w:szCs w:val="20"/>
          <w:color w:val="auto"/>
        </w:rPr>
      </w:pPr>
    </w:p>
    <w:p>
      <w:pPr>
        <w:ind w:right="520"/>
        <w:spacing w:after="0" w:line="260" w:lineRule="auto"/>
        <w:rPr>
          <w:sz w:val="20"/>
          <w:szCs w:val="20"/>
          <w:color w:val="auto"/>
        </w:rPr>
      </w:pPr>
      <w:r>
        <w:rPr>
          <w:rFonts w:ascii="Arial" w:cs="Arial" w:eastAsia="Arial" w:hAnsi="Arial"/>
          <w:sz w:val="20"/>
          <w:szCs w:val="20"/>
          <w:color w:val="auto"/>
        </w:rPr>
        <w:t>Non-derivative contracts are accounted for on an accrual basis. Therefore, the related profit or loss will be recognized as the contracts are performed. Derivative instruments are discussed further in Note 11.</w:t>
      </w:r>
    </w:p>
    <w:p>
      <w:pPr>
        <w:spacing w:after="0" w:line="204" w:lineRule="exact"/>
        <w:rPr>
          <w:sz w:val="20"/>
          <w:szCs w:val="20"/>
          <w:color w:val="auto"/>
        </w:rPr>
      </w:pPr>
    </w:p>
    <w:p>
      <w:pPr>
        <w:spacing w:after="0" w:line="263" w:lineRule="auto"/>
        <w:rPr>
          <w:sz w:val="20"/>
          <w:szCs w:val="20"/>
          <w:color w:val="auto"/>
        </w:rPr>
      </w:pPr>
      <w:r>
        <w:rPr>
          <w:rFonts w:ascii="Arial" w:cs="Arial" w:eastAsia="Arial" w:hAnsi="Arial"/>
          <w:sz w:val="19"/>
          <w:szCs w:val="19"/>
          <w:color w:val="auto"/>
        </w:rPr>
        <w:t>Sempra Generation’s revenues are derived primarily from the sale of electric energy to governmental and wholesale power marketing entities and are recognized as the energy is delivered. Sempra Generation’s revenues also include net realized gains and losses and the net change in the fair value of unrealized gains and losses on derivative contracts for power and natural gas. During 2007, 2006 and 2005, electric energy sales to the DWR accounted for a significant portion of Sempra Generation's revenues.</w:t>
      </w:r>
    </w:p>
    <w:p>
      <w:pPr>
        <w:spacing w:after="0" w:line="204" w:lineRule="exact"/>
        <w:rPr>
          <w:sz w:val="20"/>
          <w:szCs w:val="20"/>
          <w:color w:val="auto"/>
        </w:rPr>
      </w:pPr>
    </w:p>
    <w:p>
      <w:pPr>
        <w:ind w:right="40"/>
        <w:spacing w:after="0" w:line="287" w:lineRule="auto"/>
        <w:rPr>
          <w:sz w:val="20"/>
          <w:szCs w:val="20"/>
          <w:color w:val="auto"/>
        </w:rPr>
      </w:pPr>
      <w:r>
        <w:rPr>
          <w:rFonts w:ascii="Arial" w:cs="Arial" w:eastAsia="Arial" w:hAnsi="Arial"/>
          <w:sz w:val="19"/>
          <w:szCs w:val="19"/>
          <w:color w:val="auto"/>
        </w:rPr>
        <w:t>The consolidated foreign subsidiaries of Sempra Pipelines &amp; Storage, all of which operate in Mexico, recognize revenue as deliveries are made similar to the Sempra Utilities, except that SFAS 71 is not applicable due to the different regulatory environment.</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color w:val="auto"/>
        </w:rPr>
        <w:t>62</w:t>
      </w:r>
    </w:p>
    <w:p>
      <w:pPr>
        <w:sectPr>
          <w:pgSz w:w="11900" w:h="16838" w:orient="portrait"/>
          <w:cols w:equalWidth="0" w:num="1">
            <w:col w:w="11400"/>
          </w:cols>
          <w:pgMar w:left="240" w:top="122" w:right="259" w:bottom="1440" w:gutter="0" w:footer="0" w:header="0"/>
        </w:sectPr>
      </w:pPr>
    </w:p>
    <w:bookmarkStart w:id="130" w:name="page131"/>
    <w:bookmarkEnd w:id="130"/>
    <w:p>
      <w:pPr>
        <w:spacing w:after="0"/>
        <w:rPr>
          <w:sz w:val="20"/>
          <w:szCs w:val="20"/>
          <w:color w:val="auto"/>
        </w:rPr>
      </w:pPr>
      <w:r>
        <w:rPr>
          <w:rFonts w:ascii="Arial" w:cs="Arial" w:eastAsia="Arial" w:hAnsi="Arial"/>
          <w:sz w:val="20"/>
          <w:szCs w:val="20"/>
          <w:b w:val="1"/>
          <w:bCs w:val="1"/>
          <w:color w:val="auto"/>
        </w:rPr>
        <w:t>Other Cost of Sales</w:t>
      </w:r>
    </w:p>
    <w:p>
      <w:pPr>
        <w:spacing w:after="0" w:line="250" w:lineRule="exact"/>
        <w:rPr>
          <w:sz w:val="20"/>
          <w:szCs w:val="20"/>
          <w:color w:val="auto"/>
        </w:rPr>
      </w:pPr>
    </w:p>
    <w:p>
      <w:pPr>
        <w:spacing w:after="0"/>
        <w:rPr>
          <w:sz w:val="20"/>
          <w:szCs w:val="20"/>
          <w:color w:val="auto"/>
        </w:rPr>
      </w:pPr>
      <w:r>
        <w:rPr>
          <w:rFonts w:ascii="Arial" w:cs="Arial" w:eastAsia="Arial" w:hAnsi="Arial"/>
          <w:sz w:val="19"/>
          <w:szCs w:val="19"/>
          <w:color w:val="auto"/>
        </w:rPr>
        <w:t>Other cost of sales includes primarily the cost of sales of Sempra Commodities, consisting primarily of transportation and storage costs.</w:t>
      </w: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Operating Expenses</w:t>
      </w:r>
    </w:p>
    <w:p>
      <w:pPr>
        <w:spacing w:after="0" w:line="249" w:lineRule="exact"/>
        <w:rPr>
          <w:sz w:val="20"/>
          <w:szCs w:val="20"/>
          <w:color w:val="auto"/>
        </w:rPr>
      </w:pPr>
    </w:p>
    <w:p>
      <w:pPr>
        <w:ind w:right="420"/>
        <w:spacing w:after="0" w:line="260" w:lineRule="auto"/>
        <w:rPr>
          <w:sz w:val="20"/>
          <w:szCs w:val="20"/>
          <w:color w:val="auto"/>
        </w:rPr>
      </w:pPr>
      <w:r>
        <w:rPr>
          <w:rFonts w:ascii="Arial" w:cs="Arial" w:eastAsia="Arial" w:hAnsi="Arial"/>
          <w:sz w:val="20"/>
          <w:szCs w:val="20"/>
          <w:color w:val="auto"/>
        </w:rPr>
        <w:t>Other operating expenses include operating and maintenance costs, and general and administrative costs, consisting primarily of personnel costs, purchased materials and services and outside services.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Foreign Currency Translation</w:t>
      </w:r>
    </w:p>
    <w:p>
      <w:pPr>
        <w:spacing w:after="0" w:line="249" w:lineRule="exact"/>
        <w:rPr>
          <w:sz w:val="20"/>
          <w:szCs w:val="20"/>
          <w:color w:val="auto"/>
        </w:rPr>
      </w:pPr>
    </w:p>
    <w:p>
      <w:pPr>
        <w:ind w:right="40"/>
        <w:spacing w:after="0" w:line="255" w:lineRule="auto"/>
        <w:rPr>
          <w:sz w:val="20"/>
          <w:szCs w:val="20"/>
          <w:color w:val="auto"/>
        </w:rPr>
      </w:pPr>
      <w:r>
        <w:rPr>
          <w:rFonts w:ascii="Arial" w:cs="Arial" w:eastAsia="Arial" w:hAnsi="Arial"/>
          <w:sz w:val="19"/>
          <w:szCs w:val="19"/>
          <w:color w:val="auto"/>
        </w:rPr>
        <w:t>The assets and liabilities of the company's foreign operations are translated into U.S. dollars at current exchange rates and revenues and expenses are translated at average exchange rates for the year. Resulting translation adjustments do not enter into the calculation of net income or retained earnings (unless the operation is being discontinued), but are reflected in Comprehensive Income and in Accumulated Other Comprehensive Income (Loss), a component of shareholders' equity, as described above. To reflect the fluctuation in the value of the Chilean peso, the functional currency of the company's Chilean operations, Sempra Pipelines &amp; Storage adjusted its investment in Chile upward by $29 million in 2007, downward by $15 million in 2006 and upward by $32 million in 2005. Sempra Pipelines &amp; Storage also adjusted its investment in Peru to reflect the fluctuation in the value of the Peruvian Nuevo Sol, the functional currency of the company’ ;s Peruvian operations, upward by $8 million and $7 million in 2007 and 2006, respectively, and downward by $5 million in 2005. These noncash adjustments did not affect net income, but did affect Comprehensive Income and Accumulated Other Comprehensive Income (Loss). Smaller adjustments have been made to other operations where the U.S. dollar is not the functional currency. Additional information concerning these investments is described in Note 4.</w:t>
      </w:r>
    </w:p>
    <w:p>
      <w:pPr>
        <w:spacing w:after="0" w:line="215"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Currency transaction gains and losses in a currency other than the entity's functional currency are included in the calculation of consolidated net income. The company recorded a negligible amount of currency transaction losses in 2007, $1 million of currency transaction losses in 2006 and $1 million of currency transaction gains in 2005.</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Transactions with Affiliates</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Loans to Unconsolidated Affiliates</w:t>
      </w:r>
    </w:p>
    <w:p>
      <w:pPr>
        <w:spacing w:after="0" w:line="243" w:lineRule="exact"/>
        <w:rPr>
          <w:sz w:val="20"/>
          <w:szCs w:val="20"/>
          <w:color w:val="auto"/>
        </w:rPr>
      </w:pPr>
    </w:p>
    <w:p>
      <w:pPr>
        <w:ind w:right="120"/>
        <w:spacing w:after="0" w:line="260" w:lineRule="auto"/>
        <w:rPr>
          <w:sz w:val="20"/>
          <w:szCs w:val="20"/>
          <w:color w:val="auto"/>
        </w:rPr>
      </w:pPr>
      <w:r>
        <w:rPr>
          <w:rFonts w:ascii="Arial" w:cs="Arial" w:eastAsia="Arial" w:hAnsi="Arial"/>
          <w:sz w:val="19"/>
          <w:szCs w:val="19"/>
          <w:color w:val="auto"/>
        </w:rPr>
        <w:t>In December 2001, Sempra Pipelines &amp; Storage issued two U.S. dollar-denominated loans totaling $35 million and $22 million to its affiliates Camuzzi Gas Pampeana S.A. and Camuzzi Gas del Sur S.A., respectively. These companies are affiliates of the company’s Argentine investments discussed in Note 4. In June 2006, Sempra Pipelines &amp; Storage collected the outstanding balance from Camuzzi Gas Pampeana S.A. The loan to Camuzzi Gas del Sur S.A. has a $21 million balance outstanding at a variable interest rate (12.23 percent at December 31, 2007). The loan was due in June 2007 and is fully reserved at December 31, 2007.</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Loans from Unconsolidated Affiliates</w:t>
      </w:r>
    </w:p>
    <w:p>
      <w:pPr>
        <w:spacing w:after="0" w:line="243"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At both December 31, 2007 and 2006, Sempra Pipelines &amp; Storage had notes payable to an unconsolidated affiliate of $60 million at 6.57 percent due April 1, 2008 and $100 million at 6.73 percent due April 1, 2011. The notes are due to Chilquinta Energía Finance Co. LLC and are secured by Sempra Pipelines &amp; Storage’s investments in Chilquinta Energía S.A. and Luz del Sur S.A.A. (Luz del Sur), which are discussed in Note 4.</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20"/>
          <w:szCs w:val="20"/>
          <w:color w:val="auto"/>
        </w:rPr>
        <w:t>63</w:t>
      </w:r>
    </w:p>
    <w:p>
      <w:pPr>
        <w:sectPr>
          <w:pgSz w:w="11900" w:h="16838" w:orient="portrait"/>
          <w:cols w:equalWidth="0" w:num="1">
            <w:col w:w="11400"/>
          </w:cols>
          <w:pgMar w:left="240" w:top="115" w:right="259" w:bottom="1440" w:gutter="0" w:footer="0" w:header="0"/>
        </w:sectPr>
      </w:pPr>
    </w:p>
    <w:bookmarkStart w:id="131" w:name="page132"/>
    <w:bookmarkEnd w:id="131"/>
    <w:p>
      <w:pPr>
        <w:spacing w:after="0"/>
        <w:rPr>
          <w:sz w:val="20"/>
          <w:szCs w:val="20"/>
          <w:color w:val="auto"/>
        </w:rPr>
      </w:pPr>
      <w:r>
        <w:rPr>
          <w:rFonts w:ascii="Arial" w:cs="Arial" w:eastAsia="Arial" w:hAnsi="Arial"/>
          <w:sz w:val="20"/>
          <w:szCs w:val="20"/>
          <w:i w:val="1"/>
          <w:iCs w:val="1"/>
          <w:color w:val="auto"/>
        </w:rPr>
        <w:t>Revenues and Expenses with Unconsolidated Affiliates</w:t>
      </w:r>
    </w:p>
    <w:p>
      <w:pPr>
        <w:spacing w:after="0" w:line="243" w:lineRule="exact"/>
        <w:rPr>
          <w:sz w:val="20"/>
          <w:szCs w:val="20"/>
          <w:color w:val="auto"/>
        </w:rPr>
      </w:pPr>
    </w:p>
    <w:p>
      <w:pPr>
        <w:ind w:right="160"/>
        <w:spacing w:after="0" w:line="260" w:lineRule="auto"/>
        <w:rPr>
          <w:sz w:val="20"/>
          <w:szCs w:val="20"/>
          <w:color w:val="auto"/>
        </w:rPr>
      </w:pPr>
      <w:r>
        <w:rPr>
          <w:rFonts w:ascii="Arial" w:cs="Arial" w:eastAsia="Arial" w:hAnsi="Arial"/>
          <w:sz w:val="20"/>
          <w:szCs w:val="20"/>
          <w:color w:val="auto"/>
        </w:rPr>
        <w:t>For the years ended 2007 and 2006, Sempra Commodities recorded $303 million and $173 million, respectively, of sales to its unconsolidated affiliates.</w:t>
      </w:r>
    </w:p>
    <w:p>
      <w:pPr>
        <w:spacing w:after="0" w:line="204" w:lineRule="exact"/>
        <w:rPr>
          <w:sz w:val="20"/>
          <w:szCs w:val="20"/>
          <w:color w:val="auto"/>
        </w:rPr>
      </w:pPr>
    </w:p>
    <w:p>
      <w:pPr>
        <w:ind w:right="100"/>
        <w:spacing w:after="0" w:line="278" w:lineRule="auto"/>
        <w:rPr>
          <w:sz w:val="20"/>
          <w:szCs w:val="20"/>
          <w:color w:val="auto"/>
        </w:rPr>
      </w:pPr>
      <w:r>
        <w:rPr>
          <w:rFonts w:ascii="Arial" w:cs="Arial" w:eastAsia="Arial" w:hAnsi="Arial"/>
          <w:sz w:val="18"/>
          <w:szCs w:val="18"/>
          <w:color w:val="auto"/>
        </w:rPr>
        <w:t>In 2006 and 2005, Sempra Commodities recorded $29 million and $85 million, respectively, of purchases from Topaz Power Partners (Topaz), then an unconsolidated affiliate of Sempra Energy. Sales to Topaz were $95 million and $213 million in 2006 and 2005, respectively. Topaz sold its power plant assets in July 2006, as discussed in Note 4. Additionally, during the first seven months of 2005, Sempra Generation recorded $38 million in sales to and $43 million of purchases from El Dorado, then an unconsolidated affiliate. Sempra Energy purchased the remaining 50-percent interest in El Dorado in July 2005 and consolidated El Dorado in its financial statements.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Capitalized Interest</w:t>
      </w:r>
    </w:p>
    <w:p>
      <w:pPr>
        <w:spacing w:after="0" w:line="249" w:lineRule="exact"/>
        <w:rPr>
          <w:sz w:val="20"/>
          <w:szCs w:val="20"/>
          <w:color w:val="auto"/>
        </w:rPr>
      </w:pPr>
    </w:p>
    <w:p>
      <w:pPr>
        <w:ind w:right="240"/>
        <w:spacing w:after="0" w:line="260" w:lineRule="auto"/>
        <w:rPr>
          <w:sz w:val="20"/>
          <w:szCs w:val="20"/>
          <w:color w:val="auto"/>
        </w:rPr>
      </w:pPr>
      <w:r>
        <w:rPr>
          <w:rFonts w:ascii="Arial" w:cs="Arial" w:eastAsia="Arial" w:hAnsi="Arial"/>
          <w:sz w:val="20"/>
          <w:szCs w:val="20"/>
          <w:color w:val="auto"/>
        </w:rPr>
        <w:t>The company recorded $109 million, $65 million and $33 million of capitalized interest for 2007, 2006 and 2005, respectively, including the portion of AFUDC related to debt.</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Income, Net</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Other Income, Net consists of the following:</w:t>
      </w:r>
    </w:p>
    <w:p>
      <w:pPr>
        <w:spacing w:after="0" w:line="286" w:lineRule="exact"/>
        <w:rPr>
          <w:sz w:val="20"/>
          <w:szCs w:val="20"/>
          <w:color w:val="auto"/>
        </w:rPr>
      </w:pPr>
    </w:p>
    <w:tbl>
      <w:tblPr>
        <w:tblLayout w:type="fixed"/>
        <w:tblInd w:w="1080" w:type="dxa"/>
        <w:tblCellMar>
          <w:top w:w="0" w:type="dxa"/>
          <w:left w:w="0" w:type="dxa"/>
          <w:bottom w:w="0" w:type="dxa"/>
          <w:right w:w="0" w:type="dxa"/>
        </w:tblCellMar>
      </w:tblPr>
      <w:tr>
        <w:trPr>
          <w:trHeight w:val="237"/>
        </w:trPr>
        <w:tc>
          <w:tcPr>
            <w:tcW w:w="56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89"/>
              </w:rPr>
              <w:t>Years ended December 31,</w:t>
            </w:r>
          </w:p>
        </w:tc>
        <w:tc>
          <w:tcPr>
            <w:tcW w:w="840" w:type="dxa"/>
            <w:vAlign w:val="bottom"/>
            <w:tcBorders>
              <w:bottom w:val="single" w:sz="8" w:color="auto"/>
            </w:tcBorders>
          </w:tcPr>
          <w:p>
            <w:pPr>
              <w:spacing w:after="0"/>
              <w:rPr>
                <w:sz w:val="20"/>
                <w:szCs w:val="20"/>
                <w:color w:val="auto"/>
              </w:rPr>
            </w:pPr>
          </w:p>
        </w:tc>
      </w:tr>
      <w:tr>
        <w:trPr>
          <w:trHeight w:val="237"/>
        </w:trPr>
        <w:tc>
          <w:tcPr>
            <w:tcW w:w="5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(Dollars in millions)</w:t>
            </w:r>
          </w:p>
        </w:tc>
        <w:tc>
          <w:tcPr>
            <w:tcW w:w="2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4"/>
              </w:rPr>
              <w:t>2007</w:t>
            </w:r>
          </w:p>
        </w:tc>
        <w:tc>
          <w:tcPr>
            <w:tcW w:w="6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4"/>
              </w:rPr>
              <w:t>2006</w:t>
            </w:r>
          </w:p>
        </w:tc>
        <w:tc>
          <w:tcPr>
            <w:tcW w:w="5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4"/>
              </w:rPr>
              <w:t>2005</w:t>
            </w:r>
          </w:p>
        </w:tc>
      </w:tr>
      <w:tr>
        <w:trPr>
          <w:trHeight w:val="230"/>
        </w:trPr>
        <w:tc>
          <w:tcPr>
            <w:tcW w:w="5600" w:type="dxa"/>
            <w:vAlign w:val="bottom"/>
          </w:tcPr>
          <w:p>
            <w:pPr>
              <w:ind w:left="20"/>
              <w:spacing w:after="0"/>
              <w:rPr>
                <w:sz w:val="20"/>
                <w:szCs w:val="20"/>
                <w:color w:val="auto"/>
              </w:rPr>
            </w:pPr>
            <w:r>
              <w:rPr>
                <w:rFonts w:ascii="Arial" w:cs="Arial" w:eastAsia="Arial" w:hAnsi="Arial"/>
                <w:sz w:val="18"/>
                <w:szCs w:val="18"/>
                <w:color w:val="auto"/>
              </w:rPr>
              <w:t>Equity in income (losses) of unconsolidated subsidiaries (see Note 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(9 )</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338</w:t>
            </w:r>
          </w:p>
        </w:tc>
        <w:tc>
          <w:tcPr>
            <w:tcW w:w="5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90"/>
              <w:spacing w:after="0"/>
              <w:rPr>
                <w:sz w:val="20"/>
                <w:szCs w:val="20"/>
                <w:color w:val="auto"/>
              </w:rPr>
            </w:pPr>
            <w:r>
              <w:rPr>
                <w:rFonts w:ascii="Arial" w:cs="Arial" w:eastAsia="Arial" w:hAnsi="Arial"/>
                <w:sz w:val="18"/>
                <w:szCs w:val="18"/>
                <w:color w:val="auto"/>
              </w:rPr>
              <w:t>11</w:t>
            </w:r>
          </w:p>
        </w:tc>
      </w:tr>
      <w:tr>
        <w:trPr>
          <w:trHeight w:val="242"/>
        </w:trPr>
        <w:tc>
          <w:tcPr>
            <w:tcW w:w="5600" w:type="dxa"/>
            <w:vAlign w:val="bottom"/>
          </w:tcPr>
          <w:p>
            <w:pPr>
              <w:ind w:left="20"/>
              <w:spacing w:after="0"/>
              <w:rPr>
                <w:sz w:val="20"/>
                <w:szCs w:val="20"/>
                <w:color w:val="auto"/>
              </w:rPr>
            </w:pPr>
            <w:r>
              <w:rPr>
                <w:rFonts w:ascii="Arial" w:cs="Arial" w:eastAsia="Arial" w:hAnsi="Arial"/>
                <w:sz w:val="18"/>
                <w:szCs w:val="18"/>
                <w:color w:val="auto"/>
              </w:rPr>
              <w:t>Regulatory interest, net</w:t>
            </w:r>
          </w:p>
        </w:tc>
        <w:tc>
          <w:tcPr>
            <w:tcW w:w="2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(13 )</w:t>
            </w:r>
          </w:p>
        </w:tc>
        <w:tc>
          <w:tcPr>
            <w:tcW w:w="620" w:type="dxa"/>
            <w:vAlign w:val="bottom"/>
          </w:tcPr>
          <w:p>
            <w:pPr>
              <w:spacing w:after="0"/>
              <w:rPr>
                <w:sz w:val="21"/>
                <w:szCs w:val="21"/>
                <w:color w:val="auto"/>
              </w:rPr>
            </w:pPr>
          </w:p>
        </w:tc>
        <w:tc>
          <w:tcPr>
            <w:tcW w:w="840" w:type="dxa"/>
            <w:vAlign w:val="bottom"/>
          </w:tcPr>
          <w:p>
            <w:pPr>
              <w:jc w:val="right"/>
              <w:ind w:right="190"/>
              <w:spacing w:after="0"/>
              <w:rPr>
                <w:sz w:val="20"/>
                <w:szCs w:val="20"/>
                <w:color w:val="auto"/>
              </w:rPr>
            </w:pPr>
            <w:r>
              <w:rPr>
                <w:rFonts w:ascii="Arial" w:cs="Arial" w:eastAsia="Arial" w:hAnsi="Arial"/>
                <w:sz w:val="18"/>
                <w:szCs w:val="18"/>
                <w:color w:val="auto"/>
              </w:rPr>
              <w:t>(9 )</w:t>
            </w:r>
          </w:p>
        </w:tc>
        <w:tc>
          <w:tcPr>
            <w:tcW w:w="560" w:type="dxa"/>
            <w:vAlign w:val="bottom"/>
          </w:tcPr>
          <w:p>
            <w:pPr>
              <w:spacing w:after="0"/>
              <w:rPr>
                <w:sz w:val="21"/>
                <w:szCs w:val="21"/>
                <w:color w:val="auto"/>
              </w:rPr>
            </w:pPr>
          </w:p>
        </w:tc>
        <w:tc>
          <w:tcPr>
            <w:tcW w:w="840" w:type="dxa"/>
            <w:vAlign w:val="bottom"/>
          </w:tcPr>
          <w:p>
            <w:pPr>
              <w:jc w:val="right"/>
              <w:ind w:right="310"/>
              <w:spacing w:after="0"/>
              <w:rPr>
                <w:sz w:val="20"/>
                <w:szCs w:val="20"/>
                <w:color w:val="auto"/>
              </w:rPr>
            </w:pPr>
            <w:r>
              <w:rPr>
                <w:rFonts w:ascii="Arial" w:cs="Arial" w:eastAsia="Arial" w:hAnsi="Arial"/>
                <w:sz w:val="18"/>
                <w:szCs w:val="18"/>
                <w:color w:val="auto"/>
              </w:rPr>
              <w:t>(6 )</w:t>
            </w:r>
          </w:p>
        </w:tc>
      </w:tr>
      <w:tr>
        <w:trPr>
          <w:trHeight w:val="243"/>
        </w:trPr>
        <w:tc>
          <w:tcPr>
            <w:tcW w:w="5600" w:type="dxa"/>
            <w:vAlign w:val="bottom"/>
          </w:tcPr>
          <w:p>
            <w:pPr>
              <w:ind w:left="20"/>
              <w:spacing w:after="0"/>
              <w:rPr>
                <w:sz w:val="20"/>
                <w:szCs w:val="20"/>
                <w:color w:val="auto"/>
              </w:rPr>
            </w:pPr>
            <w:r>
              <w:rPr>
                <w:rFonts w:ascii="Arial" w:cs="Arial" w:eastAsia="Arial" w:hAnsi="Arial"/>
                <w:sz w:val="18"/>
                <w:szCs w:val="18"/>
                <w:color w:val="auto"/>
              </w:rPr>
              <w:t>Allowance for equity funds used during construction</w:t>
            </w:r>
          </w:p>
        </w:tc>
        <w:tc>
          <w:tcPr>
            <w:tcW w:w="22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22</w:t>
            </w:r>
          </w:p>
        </w:tc>
        <w:tc>
          <w:tcPr>
            <w:tcW w:w="620" w:type="dxa"/>
            <w:vAlign w:val="bottom"/>
          </w:tcPr>
          <w:p>
            <w:pPr>
              <w:spacing w:after="0"/>
              <w:rPr>
                <w:sz w:val="21"/>
                <w:szCs w:val="21"/>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16</w:t>
            </w:r>
          </w:p>
        </w:tc>
        <w:tc>
          <w:tcPr>
            <w:tcW w:w="560" w:type="dxa"/>
            <w:vAlign w:val="bottom"/>
          </w:tcPr>
          <w:p>
            <w:pPr>
              <w:spacing w:after="0"/>
              <w:rPr>
                <w:sz w:val="21"/>
                <w:szCs w:val="21"/>
                <w:color w:val="auto"/>
              </w:rPr>
            </w:pPr>
          </w:p>
        </w:tc>
        <w:tc>
          <w:tcPr>
            <w:tcW w:w="840" w:type="dxa"/>
            <w:vAlign w:val="bottom"/>
          </w:tcPr>
          <w:p>
            <w:pPr>
              <w:jc w:val="right"/>
              <w:ind w:right="390"/>
              <w:spacing w:after="0"/>
              <w:rPr>
                <w:sz w:val="20"/>
                <w:szCs w:val="20"/>
                <w:color w:val="auto"/>
              </w:rPr>
            </w:pPr>
            <w:r>
              <w:rPr>
                <w:rFonts w:ascii="Arial" w:cs="Arial" w:eastAsia="Arial" w:hAnsi="Arial"/>
                <w:sz w:val="18"/>
                <w:szCs w:val="18"/>
                <w:color w:val="auto"/>
              </w:rPr>
              <w:t>14</w:t>
            </w:r>
          </w:p>
        </w:tc>
      </w:tr>
      <w:tr>
        <w:trPr>
          <w:trHeight w:val="257"/>
        </w:trPr>
        <w:tc>
          <w:tcPr>
            <w:tcW w:w="5600" w:type="dxa"/>
            <w:vAlign w:val="bottom"/>
          </w:tcPr>
          <w:p>
            <w:pPr>
              <w:ind w:left="20"/>
              <w:spacing w:after="0"/>
              <w:rPr>
                <w:sz w:val="20"/>
                <w:szCs w:val="20"/>
                <w:color w:val="auto"/>
              </w:rPr>
            </w:pPr>
            <w:r>
              <w:rPr>
                <w:rFonts w:ascii="Arial" w:cs="Arial" w:eastAsia="Arial" w:hAnsi="Arial"/>
                <w:sz w:val="18"/>
                <w:szCs w:val="18"/>
                <w:color w:val="auto"/>
              </w:rPr>
              <w:t>Sundry, net*</w:t>
            </w:r>
          </w:p>
        </w:tc>
        <w:tc>
          <w:tcPr>
            <w:tcW w:w="2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81</w:t>
            </w:r>
          </w:p>
        </w:tc>
        <w:tc>
          <w:tcPr>
            <w:tcW w:w="6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36</w:t>
            </w:r>
          </w:p>
        </w:tc>
        <w:tc>
          <w:tcPr>
            <w:tcW w:w="5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32</w:t>
            </w:r>
          </w:p>
        </w:tc>
      </w:tr>
      <w:tr>
        <w:trPr>
          <w:trHeight w:val="224"/>
        </w:trPr>
        <w:tc>
          <w:tcPr>
            <w:tcW w:w="5600" w:type="dxa"/>
            <w:vAlign w:val="bottom"/>
          </w:tcPr>
          <w:p>
            <w:pPr>
              <w:ind w:left="200"/>
              <w:spacing w:after="0"/>
              <w:rPr>
                <w:sz w:val="20"/>
                <w:szCs w:val="20"/>
                <w:color w:val="auto"/>
              </w:rPr>
            </w:pPr>
            <w:r>
              <w:rPr>
                <w:rFonts w:ascii="Arial" w:cs="Arial" w:eastAsia="Arial" w:hAnsi="Arial"/>
                <w:sz w:val="18"/>
                <w:szCs w:val="18"/>
                <w:color w:val="auto"/>
              </w:rPr>
              <w:t>Total</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81</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381</w:t>
            </w:r>
          </w:p>
        </w:tc>
        <w:tc>
          <w:tcPr>
            <w:tcW w:w="5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90"/>
              <w:spacing w:after="0"/>
              <w:rPr>
                <w:sz w:val="20"/>
                <w:szCs w:val="20"/>
                <w:color w:val="auto"/>
              </w:rPr>
            </w:pPr>
            <w:r>
              <w:rPr>
                <w:rFonts w:ascii="Arial" w:cs="Arial" w:eastAsia="Arial" w:hAnsi="Arial"/>
                <w:sz w:val="18"/>
                <w:szCs w:val="18"/>
                <w:color w:val="auto"/>
              </w:rPr>
              <w:t>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8255</wp:posOffset>
            </wp:positionV>
            <wp:extent cx="5883275"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883275" cy="26035"/>
                    </a:xfrm>
                    <a:prstGeom prst="rect">
                      <a:avLst/>
                    </a:prstGeom>
                    <a:noFill/>
                  </pic:spPr>
                </pic:pic>
              </a:graphicData>
            </a:graphic>
          </wp:anchor>
        </w:drawing>
      </w:r>
    </w:p>
    <w:p>
      <w:pPr>
        <w:spacing w:after="0" w:line="3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 2007 amount includes $24 million net pretax gain from interest-rate swaps, as discussed in Note 11.</w:t>
      </w:r>
    </w:p>
    <w:p>
      <w:pPr>
        <w:spacing w:after="0" w:line="25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2. NEW ACCOUNTING STANDARDS</w:t>
      </w:r>
    </w:p>
    <w:p>
      <w:pPr>
        <w:spacing w:after="0" w:line="249" w:lineRule="exact"/>
        <w:rPr>
          <w:sz w:val="20"/>
          <w:szCs w:val="20"/>
          <w:color w:val="auto"/>
        </w:rPr>
      </w:pPr>
    </w:p>
    <w:p>
      <w:pPr>
        <w:ind w:right="220"/>
        <w:spacing w:after="0" w:line="260" w:lineRule="auto"/>
        <w:rPr>
          <w:sz w:val="20"/>
          <w:szCs w:val="20"/>
          <w:color w:val="auto"/>
        </w:rPr>
      </w:pPr>
      <w:r>
        <w:rPr>
          <w:rFonts w:ascii="Arial" w:cs="Arial" w:eastAsia="Arial" w:hAnsi="Arial"/>
          <w:sz w:val="20"/>
          <w:szCs w:val="20"/>
          <w:color w:val="auto"/>
        </w:rPr>
        <w:t>Pronouncements that have recently become effective that have had or may have a significant effect on the company's financial statements are described below.</w:t>
      </w:r>
    </w:p>
    <w:p>
      <w:pPr>
        <w:spacing w:after="0" w:line="204"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i w:val="1"/>
          <w:iCs w:val="1"/>
          <w:color w:val="auto"/>
        </w:rPr>
        <w:t xml:space="preserve">SFAS 157, "Fair Value Measurements" (SFAS 157): </w:t>
      </w:r>
      <w:r>
        <w:rPr>
          <w:rFonts w:ascii="Arial" w:cs="Arial" w:eastAsia="Arial" w:hAnsi="Arial"/>
          <w:sz w:val="18"/>
          <w:szCs w:val="18"/>
          <w:color w:val="auto"/>
        </w:rPr>
        <w:t>SFAS 157 defines fair value, establishes criteria to be considered when measuring fair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value and expands disclosures about fair value measurements. SFAS 157 does not expand the application of fair value accounting to any new circumstances. The company applies recurring fair value measurements to certain assets and liabilities, primarily trading derivatives and certain trading inventories, nuclear decommissioning trusts, marketable securities and other miscellaneous derivatives.</w:t>
      </w:r>
    </w:p>
    <w:p>
      <w:pPr>
        <w:spacing w:after="0" w:line="189" w:lineRule="exact"/>
        <w:rPr>
          <w:sz w:val="20"/>
          <w:szCs w:val="20"/>
          <w:color w:val="auto"/>
        </w:rPr>
      </w:pPr>
    </w:p>
    <w:p>
      <w:pPr>
        <w:ind w:right="240"/>
        <w:spacing w:after="0" w:line="243" w:lineRule="auto"/>
        <w:rPr>
          <w:sz w:val="20"/>
          <w:szCs w:val="20"/>
          <w:color w:val="auto"/>
        </w:rPr>
      </w:pPr>
      <w:r>
        <w:rPr>
          <w:rFonts w:ascii="Arial" w:cs="Arial" w:eastAsia="Arial" w:hAnsi="Arial"/>
          <w:sz w:val="20"/>
          <w:szCs w:val="20"/>
          <w:color w:val="auto"/>
        </w:rPr>
        <w:t xml:space="preserve">SFAS 157 nullified a portion of Emerging Issues Task Force (EITF) Issue No. 02-3, </w:t>
      </w:r>
      <w:r>
        <w:rPr>
          <w:rFonts w:ascii="Arial" w:cs="Arial" w:eastAsia="Arial" w:hAnsi="Arial"/>
          <w:sz w:val="20"/>
          <w:szCs w:val="20"/>
          <w:i w:val="1"/>
          <w:iCs w:val="1"/>
          <w:color w:val="auto"/>
        </w:rPr>
        <w:t>Issues Involved in Accounting for Derivative Contracts</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Held for Trading Purposes and Contracts Involved in Energy Trading and Risk Management Activities </w:t>
      </w:r>
      <w:r>
        <w:rPr>
          <w:rFonts w:ascii="Arial" w:cs="Arial" w:eastAsia="Arial" w:hAnsi="Arial"/>
          <w:sz w:val="20"/>
          <w:szCs w:val="20"/>
          <w:color w:val="auto"/>
        </w:rPr>
        <w:t>(EITF 02-3). Under EITF 02-3, the</w:t>
      </w:r>
      <w:r>
        <w:rPr>
          <w:rFonts w:ascii="Arial" w:cs="Arial" w:eastAsia="Arial" w:hAnsi="Arial"/>
          <w:sz w:val="20"/>
          <w:szCs w:val="20"/>
          <w:i w:val="1"/>
          <w:iCs w:val="1"/>
          <w:color w:val="auto"/>
        </w:rPr>
        <w:t xml:space="preserve"> </w:t>
      </w:r>
      <w:r>
        <w:rPr>
          <w:rFonts w:ascii="Arial" w:cs="Arial" w:eastAsia="Arial" w:hAnsi="Arial"/>
          <w:sz w:val="20"/>
          <w:szCs w:val="20"/>
          <w:color w:val="auto"/>
        </w:rPr>
        <w:t>transaction price presumption prohibited recognition of a trading profit at inception of a derivative unless the positive fair value of that derivative was substantially based on quoted prices or a valuation process incorporating observable inputs. For transactions that did not meet this criterion at inception, trading profits that had been deferred were recognized in the period that inputs to value the derivative became observable or</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20"/>
          <w:szCs w:val="20"/>
          <w:color w:val="auto"/>
        </w:rPr>
        <w:t>64</w:t>
      </w:r>
    </w:p>
    <w:p>
      <w:pPr>
        <w:sectPr>
          <w:pgSz w:w="11900" w:h="16838" w:orient="portrait"/>
          <w:cols w:equalWidth="0" w:num="1">
            <w:col w:w="11400"/>
          </w:cols>
          <w:pgMar w:left="240" w:top="366" w:right="259" w:bottom="1440" w:gutter="0" w:footer="0" w:header="0"/>
        </w:sectPr>
      </w:pPr>
    </w:p>
    <w:bookmarkStart w:id="132" w:name="page133"/>
    <w:bookmarkEnd w:id="132"/>
    <w:p>
      <w:pPr>
        <w:ind w:right="120"/>
        <w:spacing w:after="0" w:line="258" w:lineRule="auto"/>
        <w:rPr>
          <w:sz w:val="20"/>
          <w:szCs w:val="20"/>
          <w:color w:val="auto"/>
        </w:rPr>
      </w:pPr>
      <w:r>
        <w:rPr>
          <w:rFonts w:ascii="Arial" w:cs="Arial" w:eastAsia="Arial" w:hAnsi="Arial"/>
          <w:sz w:val="19"/>
          <w:szCs w:val="19"/>
          <w:color w:val="auto"/>
        </w:rPr>
        <w:t>when the contract performed. SFAS 157 nullified this portion of EITF 02-3. SFAS 157 also: (1) establishes that fair value is based on a hierarchy of inputs into the valuation process (as described in Note 11), (2) clarifies that an issuer's credit standing should be considered when measuring liabilities at fair value, (3) precludes the use of a liquidity or blockage factor discount when measuring instruments traded in an actively quoted market at fair value and (4) requires costs relating to acquiring instruments carried at fair value to be recognized as expense when incurred. SFAS 157 requires that a fair value measurement reflect the assumptions market participants would use in pricing an asset or liability based on the best available information. These assumptions include the risk inherent in a particular valuation technique (such as a pricing model) and the risks inherent in the inputs to the model.</w:t>
      </w:r>
    </w:p>
    <w:p>
      <w:pPr>
        <w:spacing w:after="0" w:line="207"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color w:val="auto"/>
        </w:rPr>
        <w:t>The provisions of SFAS 157 are to be applied prospectively, except for the initial impact on three specific items: (1) changes in fair value measurements of existing derivative financial instruments measured initially using the transaction price under EITF 02-3, (2) existing hybrid financial instruments measured initially at fair value using the transaction price and (3) blockage factor discounts. Adjustments to these items required under SFAS 157 are to be recorded as a transition adjustment to beginning retained earnings in the year of adoption.</w:t>
      </w:r>
    </w:p>
    <w:p>
      <w:pPr>
        <w:spacing w:after="0" w:line="189" w:lineRule="exact"/>
        <w:rPr>
          <w:sz w:val="20"/>
          <w:szCs w:val="20"/>
          <w:color w:val="auto"/>
        </w:rPr>
      </w:pPr>
    </w:p>
    <w:p>
      <w:pPr>
        <w:jc w:val="both"/>
        <w:ind w:right="40"/>
        <w:spacing w:after="0" w:line="250" w:lineRule="auto"/>
        <w:rPr>
          <w:sz w:val="20"/>
          <w:szCs w:val="20"/>
          <w:color w:val="auto"/>
        </w:rPr>
      </w:pPr>
      <w:r>
        <w:rPr>
          <w:rFonts w:ascii="Arial" w:cs="Arial" w:eastAsia="Arial" w:hAnsi="Arial"/>
          <w:sz w:val="20"/>
          <w:szCs w:val="20"/>
          <w:color w:val="auto"/>
        </w:rPr>
        <w:t>The company elected to early-adopt SFAS 157 in the first quarter of 2007. The transition adjustment to beginning retained earnings was a gain of $12 million, net of income tax. SFAS 157 also requires new disclosures regarding the level of pricing observability associated with financial instruments carried at fair value. This additional disclosure is provided in Note 11.</w:t>
      </w:r>
    </w:p>
    <w:p>
      <w:pPr>
        <w:spacing w:after="0" w:line="213" w:lineRule="exact"/>
        <w:rPr>
          <w:sz w:val="20"/>
          <w:szCs w:val="20"/>
          <w:color w:val="auto"/>
        </w:rPr>
      </w:pPr>
    </w:p>
    <w:p>
      <w:pPr>
        <w:spacing w:after="0" w:line="243" w:lineRule="auto"/>
        <w:rPr>
          <w:sz w:val="20"/>
          <w:szCs w:val="20"/>
          <w:color w:val="auto"/>
        </w:rPr>
      </w:pPr>
      <w:r>
        <w:rPr>
          <w:rFonts w:ascii="Arial" w:cs="Arial" w:eastAsia="Arial" w:hAnsi="Arial"/>
          <w:sz w:val="20"/>
          <w:szCs w:val="20"/>
          <w:b w:val="1"/>
          <w:bCs w:val="1"/>
          <w:i w:val="1"/>
          <w:iCs w:val="1"/>
          <w:color w:val="auto"/>
        </w:rPr>
        <w:t xml:space="preserve">SFAS 159, "The Fair Value Option for Financial Assets and Financial Liabilities – Including an amendment of FASB Statement No. 115" (SFAS 159): </w:t>
      </w:r>
      <w:r>
        <w:rPr>
          <w:rFonts w:ascii="Arial" w:cs="Arial" w:eastAsia="Arial" w:hAnsi="Arial"/>
          <w:sz w:val="20"/>
          <w:szCs w:val="20"/>
          <w:color w:val="auto"/>
        </w:rPr>
        <w:t>SFAS 159 allows measurement at fair value of eligible financial assets and liabilities that are not otherwise measured at fair value.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If the fair value option for an eligible item is elected, unrealized gains and losses for that item are reported in current earnings at each subsequent reporting date. SFAS 159 also establishes presentation and disclosure requirements designed to draw comparison between the different measurement attributes the company elects for similar types of assets and liabilities. This statement is effective for fiscal years beginning after November 15, 2007. The company does not anticipate electing the fair value option at the adoption of SFAS 159 for its eligible financial assets or liabilities.</w:t>
      </w:r>
    </w:p>
    <w:p>
      <w:pPr>
        <w:spacing w:after="0" w:line="220" w:lineRule="exact"/>
        <w:rPr>
          <w:sz w:val="20"/>
          <w:szCs w:val="20"/>
          <w:color w:val="auto"/>
        </w:rPr>
      </w:pPr>
    </w:p>
    <w:p>
      <w:pPr>
        <w:spacing w:after="0" w:line="272" w:lineRule="auto"/>
        <w:rPr>
          <w:sz w:val="20"/>
          <w:szCs w:val="20"/>
          <w:color w:val="auto"/>
        </w:rPr>
      </w:pPr>
      <w:r>
        <w:rPr>
          <w:rFonts w:ascii="Arial" w:cs="Arial" w:eastAsia="Arial" w:hAnsi="Arial"/>
          <w:sz w:val="18"/>
          <w:szCs w:val="18"/>
          <w:b w:val="1"/>
          <w:bCs w:val="1"/>
          <w:i w:val="1"/>
          <w:iCs w:val="1"/>
          <w:color w:val="auto"/>
        </w:rPr>
        <w:t xml:space="preserve">SFAS 160, "Noncontrolling Interests in Consolidated Financial Statements – an amendment of ARB No. 51" (SFAS 160): </w:t>
      </w:r>
      <w:r>
        <w:rPr>
          <w:rFonts w:ascii="Arial" w:cs="Arial" w:eastAsia="Arial" w:hAnsi="Arial"/>
          <w:sz w:val="18"/>
          <w:szCs w:val="18"/>
          <w:color w:val="auto"/>
        </w:rPr>
        <w:t>SFAS 160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amends Accounting Research Bulletin (ARB) No. 51,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xml:space="preserve"> to establish accounting and reporting standards for ownership interests in subsidiaries held by parties other than the parent, the amount of consolidated net income attributable to the parent and to the noncontrolling interest, changes in a parent’s ownership interest and the valuation of retained noncontrolling equity investments when a subsidiary is deconsolidated. This statement also requires disclosures that clearly identify and distinguish between the interest of the parent and the interest of the noncontrolling owners. SFAS 160 is effective for financial statements issued for fiscal years beginning after December 15, 2008, and interim periods within those fiscal years. Early adoption is prohi bited. SFAS 160 requires retroactive application for the presentation and disclosure requirements for existing minority interests. All other requirements of SFAS 160 shall be applied prospectively. The company is in the process of evaluating the effect of this statement on its financial position and results of operations.</w:t>
      </w:r>
    </w:p>
    <w:p>
      <w:pPr>
        <w:spacing w:after="0" w:line="198" w:lineRule="exact"/>
        <w:rPr>
          <w:sz w:val="20"/>
          <w:szCs w:val="20"/>
          <w:color w:val="auto"/>
        </w:rPr>
      </w:pPr>
    </w:p>
    <w:p>
      <w:pPr>
        <w:spacing w:after="0" w:line="246" w:lineRule="auto"/>
        <w:rPr>
          <w:sz w:val="20"/>
          <w:szCs w:val="20"/>
          <w:color w:val="auto"/>
        </w:rPr>
      </w:pPr>
      <w:r>
        <w:rPr>
          <w:rFonts w:ascii="Arial" w:cs="Arial" w:eastAsia="Arial" w:hAnsi="Arial"/>
          <w:sz w:val="20"/>
          <w:szCs w:val="20"/>
          <w:b w:val="1"/>
          <w:bCs w:val="1"/>
          <w:i w:val="1"/>
          <w:iCs w:val="1"/>
          <w:color w:val="auto"/>
        </w:rPr>
        <w:t xml:space="preserve">SFAS 141 (revised 2007), "Business Combinations" (SFAS 141R): </w:t>
      </w:r>
      <w:r>
        <w:rPr>
          <w:rFonts w:ascii="Arial" w:cs="Arial" w:eastAsia="Arial" w:hAnsi="Arial"/>
          <w:sz w:val="20"/>
          <w:szCs w:val="20"/>
          <w:color w:val="auto"/>
        </w:rPr>
        <w:t>SFAS 141R applies to all transactions or events in which an entity obtains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control of one or more businesses, including those combinations achieved without transfer or consideration. In the context of a business combination, SFAS 141R establishes principles and requirements for how the acquirer recognizes assets acquired including goodwill, liabilities assumed, noncontrolling interest in the acquiree, contractual contingencies and</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20"/>
          <w:szCs w:val="20"/>
          <w:color w:val="auto"/>
        </w:rPr>
        <w:t>65</w:t>
      </w:r>
    </w:p>
    <w:p>
      <w:pPr>
        <w:sectPr>
          <w:pgSz w:w="11900" w:h="16838" w:orient="portrait"/>
          <w:cols w:equalWidth="0" w:num="1">
            <w:col w:w="11380"/>
          </w:cols>
          <w:pgMar w:left="240" w:top="121" w:right="279" w:bottom="1440" w:gutter="0" w:footer="0" w:header="0"/>
        </w:sectPr>
      </w:pPr>
    </w:p>
    <w:bookmarkStart w:id="133" w:name="page134"/>
    <w:bookmarkEnd w:id="133"/>
    <w:p>
      <w:pPr>
        <w:ind w:right="80"/>
        <w:spacing w:after="0" w:line="245" w:lineRule="auto"/>
        <w:rPr>
          <w:sz w:val="20"/>
          <w:szCs w:val="20"/>
          <w:color w:val="auto"/>
        </w:rPr>
      </w:pPr>
      <w:r>
        <w:rPr>
          <w:rFonts w:ascii="Arial" w:cs="Arial" w:eastAsia="Arial" w:hAnsi="Arial"/>
          <w:sz w:val="20"/>
          <w:szCs w:val="20"/>
          <w:color w:val="auto"/>
        </w:rPr>
        <w:t>contingent consideration measured at fair value. SFAS 141R requires that the acquirer in a business combination achieved in stages recognize identifiable assets and liabilities at the full amounts of their fair values. This statement also establishes disclosure requirements that will enable users to evaluate the nature and financial effect of the business combination. SFAS 141R applies prospectively to business combinations for which the acquisition date is on or after the beginning of the first annual reporting period beginning on or after December 15, 2008. Early adoption is prohibited.</w:t>
      </w:r>
    </w:p>
    <w:p>
      <w:pPr>
        <w:spacing w:after="0" w:line="218" w:lineRule="exact"/>
        <w:rPr>
          <w:sz w:val="20"/>
          <w:szCs w:val="20"/>
          <w:color w:val="auto"/>
        </w:rPr>
      </w:pPr>
    </w:p>
    <w:p>
      <w:pPr>
        <w:ind w:right="160"/>
        <w:spacing w:after="0" w:line="257" w:lineRule="auto"/>
        <w:rPr>
          <w:sz w:val="20"/>
          <w:szCs w:val="20"/>
          <w:color w:val="auto"/>
        </w:rPr>
      </w:pPr>
      <w:r>
        <w:rPr>
          <w:rFonts w:ascii="Arial" w:cs="Arial" w:eastAsia="Arial" w:hAnsi="Arial"/>
          <w:sz w:val="19"/>
          <w:szCs w:val="19"/>
          <w:b w:val="1"/>
          <w:bCs w:val="1"/>
          <w:i w:val="1"/>
          <w:iCs w:val="1"/>
          <w:color w:val="auto"/>
        </w:rPr>
        <w:t xml:space="preserve">FIN 48, "Accounting for Uncertainty in Income Taxes - an interpretation of FASB Statement No. 109" (FIN 48): </w:t>
      </w:r>
      <w:r>
        <w:rPr>
          <w:rFonts w:ascii="Arial" w:cs="Arial" w:eastAsia="Arial" w:hAnsi="Arial"/>
          <w:sz w:val="19"/>
          <w:szCs w:val="19"/>
          <w:color w:val="auto"/>
        </w:rPr>
        <w:t>FIN 48 clarifies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accounting for uncertainty in income taxes recognized in an enterprise's financial statements in accordance with SFAS 109. FIN 48 addresses how an entity should recognize, measure, classify and disclose in its financial statements uncertain tax positions that it has taken or expects to take in an income tax return. FIN 48 also provides guidance on derecognition, classification, interest and penalties, accounting in interim periods, disclosure and transition. Additionally, the FASB issued FASB Staff Position (FSP) FIN 48-1, </w:t>
      </w:r>
      <w:r>
        <w:rPr>
          <w:rFonts w:ascii="Arial" w:cs="Arial" w:eastAsia="Arial" w:hAnsi="Arial"/>
          <w:sz w:val="19"/>
          <w:szCs w:val="19"/>
          <w:i w:val="1"/>
          <w:iCs w:val="1"/>
          <w:color w:val="auto"/>
        </w:rPr>
        <w:t>Definition of Settlement in FASB</w:t>
      </w:r>
      <w:r>
        <w:rPr>
          <w:rFonts w:ascii="Arial" w:cs="Arial" w:eastAsia="Arial" w:hAnsi="Arial"/>
          <w:sz w:val="19"/>
          <w:szCs w:val="19"/>
          <w:color w:val="auto"/>
        </w:rPr>
        <w:t xml:space="preserve"> </w:t>
      </w:r>
      <w:r>
        <w:rPr>
          <w:rFonts w:ascii="Arial" w:cs="Arial" w:eastAsia="Arial" w:hAnsi="Arial"/>
          <w:sz w:val="19"/>
          <w:szCs w:val="19"/>
          <w:i w:val="1"/>
          <w:iCs w:val="1"/>
          <w:color w:val="auto"/>
        </w:rPr>
        <w:t>Interpretation No. 48</w:t>
      </w:r>
      <w:r>
        <w:rPr>
          <w:rFonts w:ascii="Arial" w:cs="Arial" w:eastAsia="Arial" w:hAnsi="Arial"/>
          <w:sz w:val="19"/>
          <w:szCs w:val="19"/>
          <w:color w:val="auto"/>
        </w:rPr>
        <w:t>, which amends FIN 48 to provide guidance on how an enterprise should determine whether a tax position is effectively</w:t>
      </w:r>
      <w:r>
        <w:rPr>
          <w:rFonts w:ascii="Arial" w:cs="Arial" w:eastAsia="Arial" w:hAnsi="Arial"/>
          <w:sz w:val="19"/>
          <w:szCs w:val="19"/>
          <w:i w:val="1"/>
          <w:iCs w:val="1"/>
          <w:color w:val="auto"/>
        </w:rPr>
        <w:t xml:space="preserve"> </w:t>
      </w:r>
      <w:r>
        <w:rPr>
          <w:rFonts w:ascii="Arial" w:cs="Arial" w:eastAsia="Arial" w:hAnsi="Arial"/>
          <w:sz w:val="19"/>
          <w:szCs w:val="19"/>
          <w:color w:val="auto"/>
        </w:rPr>
        <w:t>settled for the purpose of recognizing previously unrecognized tax benefits. The company's implementation of FIN 48 as of January 1, 2007 was consistent with the guidance in this FSP.</w:t>
      </w:r>
    </w:p>
    <w:p>
      <w:pPr>
        <w:spacing w:after="0" w:line="208" w:lineRule="exact"/>
        <w:rPr>
          <w:sz w:val="20"/>
          <w:szCs w:val="20"/>
          <w:color w:val="auto"/>
        </w:rPr>
      </w:pPr>
    </w:p>
    <w:p>
      <w:pPr>
        <w:ind w:right="280"/>
        <w:spacing w:after="0" w:line="246" w:lineRule="auto"/>
        <w:rPr>
          <w:sz w:val="20"/>
          <w:szCs w:val="20"/>
          <w:color w:val="auto"/>
        </w:rPr>
      </w:pPr>
      <w:r>
        <w:rPr>
          <w:rFonts w:ascii="Arial" w:cs="Arial" w:eastAsia="Arial" w:hAnsi="Arial"/>
          <w:sz w:val="20"/>
          <w:szCs w:val="20"/>
          <w:color w:val="auto"/>
        </w:rPr>
        <w:t>The company adopted the provisions of FIN 48 on January 1, 2007 and recognized a $2 million decrease in retained earnings. Including this adjustment, the company had unrecognized tax benefits of $110 million as of January 1, 2007. Of this amount, $99 million related to tax positions that, if recognized, would decrease the effective tax rate; however, $47 million related to tax positions that would increase the effective tax rate in subsequent years.</w:t>
      </w:r>
    </w:p>
    <w:p>
      <w:pPr>
        <w:spacing w:after="0" w:line="219" w:lineRule="exact"/>
        <w:rPr>
          <w:sz w:val="20"/>
          <w:szCs w:val="20"/>
          <w:color w:val="auto"/>
        </w:rPr>
      </w:pPr>
    </w:p>
    <w:p>
      <w:pPr>
        <w:ind w:right="60"/>
        <w:spacing w:after="0" w:line="250" w:lineRule="auto"/>
        <w:rPr>
          <w:sz w:val="20"/>
          <w:szCs w:val="20"/>
          <w:color w:val="auto"/>
        </w:rPr>
      </w:pPr>
      <w:r>
        <w:rPr>
          <w:rFonts w:ascii="Arial" w:cs="Arial" w:eastAsia="Arial" w:hAnsi="Arial"/>
          <w:sz w:val="20"/>
          <w:szCs w:val="20"/>
          <w:color w:val="auto"/>
        </w:rPr>
        <w:t>As of December 31, 2007, the company had unrecognized tax benefits of $131 million. Of this amount, $109 million related to tax positions that, if recognized, would decrease the effective tax rate; however, $44 million related to tax positions that would increase the effective tax rate in subsequent years.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company's unrecognized tax benefits from January 1, 2007 to December 31, 2007 is provided in the following table:</w:t>
      </w:r>
    </w:p>
    <w:p>
      <w:pPr>
        <w:spacing w:after="0" w:line="309" w:lineRule="exact"/>
        <w:rPr>
          <w:sz w:val="20"/>
          <w:szCs w:val="20"/>
          <w:color w:val="auto"/>
        </w:rPr>
      </w:pPr>
    </w:p>
    <w:tbl>
      <w:tblPr>
        <w:tblLayout w:type="fixed"/>
        <w:tblInd w:w="1700" w:type="dxa"/>
        <w:tblCellMar>
          <w:top w:w="0" w:type="dxa"/>
          <w:left w:w="0" w:type="dxa"/>
          <w:bottom w:w="0" w:type="dxa"/>
          <w:right w:w="0" w:type="dxa"/>
        </w:tblCellMar>
      </w:tblPr>
      <w:tr>
        <w:trPr>
          <w:trHeight w:val="237"/>
        </w:trPr>
        <w:tc>
          <w:tcPr>
            <w:tcW w:w="6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(Dollars in millions)</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2007</w:t>
            </w:r>
          </w:p>
        </w:tc>
      </w:tr>
      <w:tr>
        <w:trPr>
          <w:trHeight w:val="230"/>
        </w:trPr>
        <w:tc>
          <w:tcPr>
            <w:tcW w:w="6880" w:type="dxa"/>
            <w:vAlign w:val="bottom"/>
          </w:tcPr>
          <w:p>
            <w:pPr>
              <w:ind w:left="20"/>
              <w:spacing w:after="0"/>
              <w:rPr>
                <w:sz w:val="20"/>
                <w:szCs w:val="20"/>
                <w:color w:val="auto"/>
              </w:rPr>
            </w:pPr>
            <w:r>
              <w:rPr>
                <w:rFonts w:ascii="Arial" w:cs="Arial" w:eastAsia="Arial" w:hAnsi="Arial"/>
                <w:sz w:val="18"/>
                <w:szCs w:val="18"/>
                <w:color w:val="auto"/>
              </w:rPr>
              <w:t>Balance as of January 1, 2007</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110</w:t>
            </w:r>
          </w:p>
        </w:tc>
      </w:tr>
      <w:tr>
        <w:trPr>
          <w:trHeight w:val="242"/>
        </w:trPr>
        <w:tc>
          <w:tcPr>
            <w:tcW w:w="6880" w:type="dxa"/>
            <w:vAlign w:val="bottom"/>
          </w:tcPr>
          <w:p>
            <w:pPr>
              <w:ind w:left="340"/>
              <w:spacing w:after="0"/>
              <w:rPr>
                <w:sz w:val="20"/>
                <w:szCs w:val="20"/>
                <w:color w:val="auto"/>
              </w:rPr>
            </w:pPr>
            <w:r>
              <w:rPr>
                <w:rFonts w:ascii="Arial" w:cs="Arial" w:eastAsia="Arial" w:hAnsi="Arial"/>
                <w:sz w:val="18"/>
                <w:szCs w:val="18"/>
                <w:color w:val="auto"/>
              </w:rPr>
              <w:t>Increase in prior period tax positions</w:t>
            </w:r>
          </w:p>
        </w:tc>
        <w:tc>
          <w:tcPr>
            <w:tcW w:w="260" w:type="dxa"/>
            <w:vAlign w:val="bottom"/>
          </w:tcPr>
          <w:p>
            <w:pPr>
              <w:spacing w:after="0"/>
              <w:rPr>
                <w:sz w:val="21"/>
                <w:szCs w:val="21"/>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53</w:t>
            </w:r>
          </w:p>
        </w:tc>
      </w:tr>
      <w:tr>
        <w:trPr>
          <w:trHeight w:val="243"/>
        </w:trPr>
        <w:tc>
          <w:tcPr>
            <w:tcW w:w="6880" w:type="dxa"/>
            <w:vAlign w:val="bottom"/>
          </w:tcPr>
          <w:p>
            <w:pPr>
              <w:ind w:left="340"/>
              <w:spacing w:after="0"/>
              <w:rPr>
                <w:sz w:val="20"/>
                <w:szCs w:val="20"/>
                <w:color w:val="auto"/>
              </w:rPr>
            </w:pPr>
            <w:r>
              <w:rPr>
                <w:rFonts w:ascii="Arial" w:cs="Arial" w:eastAsia="Arial" w:hAnsi="Arial"/>
                <w:sz w:val="18"/>
                <w:szCs w:val="18"/>
                <w:color w:val="auto"/>
              </w:rPr>
              <w:t>Decrease in prior period tax positions</w:t>
            </w:r>
          </w:p>
        </w:tc>
        <w:tc>
          <w:tcPr>
            <w:tcW w:w="260" w:type="dxa"/>
            <w:vAlign w:val="bottom"/>
          </w:tcPr>
          <w:p>
            <w:pPr>
              <w:spacing w:after="0"/>
              <w:rPr>
                <w:sz w:val="21"/>
                <w:szCs w:val="21"/>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(16 )</w:t>
            </w:r>
          </w:p>
        </w:tc>
      </w:tr>
      <w:tr>
        <w:trPr>
          <w:trHeight w:val="243"/>
        </w:trPr>
        <w:tc>
          <w:tcPr>
            <w:tcW w:w="6880" w:type="dxa"/>
            <w:vAlign w:val="bottom"/>
          </w:tcPr>
          <w:p>
            <w:pPr>
              <w:ind w:left="340"/>
              <w:spacing w:after="0"/>
              <w:rPr>
                <w:sz w:val="20"/>
                <w:szCs w:val="20"/>
                <w:color w:val="auto"/>
              </w:rPr>
            </w:pPr>
            <w:r>
              <w:rPr>
                <w:rFonts w:ascii="Arial" w:cs="Arial" w:eastAsia="Arial" w:hAnsi="Arial"/>
                <w:sz w:val="18"/>
                <w:szCs w:val="18"/>
                <w:color w:val="auto"/>
              </w:rPr>
              <w:t>Increase in current period tax positions</w:t>
            </w:r>
          </w:p>
        </w:tc>
        <w:tc>
          <w:tcPr>
            <w:tcW w:w="260" w:type="dxa"/>
            <w:vAlign w:val="bottom"/>
          </w:tcPr>
          <w:p>
            <w:pPr>
              <w:spacing w:after="0"/>
              <w:rPr>
                <w:sz w:val="21"/>
                <w:szCs w:val="21"/>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8</w:t>
            </w:r>
          </w:p>
        </w:tc>
      </w:tr>
      <w:tr>
        <w:trPr>
          <w:trHeight w:val="243"/>
        </w:trPr>
        <w:tc>
          <w:tcPr>
            <w:tcW w:w="6880" w:type="dxa"/>
            <w:vAlign w:val="bottom"/>
          </w:tcPr>
          <w:p>
            <w:pPr>
              <w:ind w:left="340"/>
              <w:spacing w:after="0"/>
              <w:rPr>
                <w:sz w:val="20"/>
                <w:szCs w:val="20"/>
                <w:color w:val="auto"/>
              </w:rPr>
            </w:pPr>
            <w:r>
              <w:rPr>
                <w:rFonts w:ascii="Arial" w:cs="Arial" w:eastAsia="Arial" w:hAnsi="Arial"/>
                <w:sz w:val="18"/>
                <w:szCs w:val="18"/>
                <w:color w:val="auto"/>
              </w:rPr>
              <w:t>Decrease in current period tax positions</w:t>
            </w:r>
          </w:p>
        </w:tc>
        <w:tc>
          <w:tcPr>
            <w:tcW w:w="260" w:type="dxa"/>
            <w:vAlign w:val="bottom"/>
          </w:tcPr>
          <w:p>
            <w:pPr>
              <w:spacing w:after="0"/>
              <w:rPr>
                <w:sz w:val="21"/>
                <w:szCs w:val="21"/>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(2 )</w:t>
            </w:r>
          </w:p>
        </w:tc>
      </w:tr>
      <w:tr>
        <w:trPr>
          <w:trHeight w:val="243"/>
        </w:trPr>
        <w:tc>
          <w:tcPr>
            <w:tcW w:w="6880" w:type="dxa"/>
            <w:vAlign w:val="bottom"/>
          </w:tcPr>
          <w:p>
            <w:pPr>
              <w:ind w:left="340"/>
              <w:spacing w:after="0"/>
              <w:rPr>
                <w:sz w:val="20"/>
                <w:szCs w:val="20"/>
                <w:color w:val="auto"/>
              </w:rPr>
            </w:pPr>
            <w:r>
              <w:rPr>
                <w:rFonts w:ascii="Arial" w:cs="Arial" w:eastAsia="Arial" w:hAnsi="Arial"/>
                <w:sz w:val="18"/>
                <w:szCs w:val="18"/>
                <w:color w:val="auto"/>
              </w:rPr>
              <w:t>Settlements with taxing authorities</w:t>
            </w:r>
          </w:p>
        </w:tc>
        <w:tc>
          <w:tcPr>
            <w:tcW w:w="260" w:type="dxa"/>
            <w:vAlign w:val="bottom"/>
          </w:tcPr>
          <w:p>
            <w:pPr>
              <w:spacing w:after="0"/>
              <w:rPr>
                <w:sz w:val="21"/>
                <w:szCs w:val="21"/>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(16 )</w:t>
            </w:r>
          </w:p>
        </w:tc>
      </w:tr>
      <w:tr>
        <w:trPr>
          <w:trHeight w:val="257"/>
        </w:trPr>
        <w:tc>
          <w:tcPr>
            <w:tcW w:w="6880" w:type="dxa"/>
            <w:vAlign w:val="bottom"/>
          </w:tcPr>
          <w:p>
            <w:pPr>
              <w:ind w:left="340"/>
              <w:spacing w:after="0"/>
              <w:rPr>
                <w:sz w:val="20"/>
                <w:szCs w:val="20"/>
                <w:color w:val="auto"/>
              </w:rPr>
            </w:pPr>
            <w:r>
              <w:rPr>
                <w:rFonts w:ascii="Arial" w:cs="Arial" w:eastAsia="Arial" w:hAnsi="Arial"/>
                <w:sz w:val="18"/>
                <w:szCs w:val="18"/>
                <w:color w:val="auto"/>
              </w:rPr>
              <w:t>Expirations of statutes of limitations</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(6 )</w:t>
            </w:r>
          </w:p>
        </w:tc>
      </w:tr>
      <w:tr>
        <w:trPr>
          <w:trHeight w:val="257"/>
        </w:trPr>
        <w:tc>
          <w:tcPr>
            <w:tcW w:w="6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Balance as of December 31, 2007</w:t>
            </w: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131</w:t>
            </w:r>
          </w:p>
        </w:tc>
      </w:tr>
    </w:tbl>
    <w:p>
      <w:pPr>
        <w:spacing w:after="0" w:line="226"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It is reasonably possible that the company’s unrecognized tax benefits could decrease by up to $20 million within the next 12 months due to the expiration of statutes of limitations on tax assessments, by up to $30 million due to the potential resolution of audit issues with various federal, state and foreign taxing authorities, and by up to $10 million due to the impact of federal and state timing items affecting taxable income.</w:t>
      </w:r>
    </w:p>
    <w:p>
      <w:pPr>
        <w:spacing w:after="0" w:line="145" w:lineRule="exact"/>
        <w:rPr>
          <w:sz w:val="20"/>
          <w:szCs w:val="20"/>
          <w:color w:val="auto"/>
        </w:rPr>
      </w:pPr>
    </w:p>
    <w:p>
      <w:pPr>
        <w:spacing w:after="0" w:line="291" w:lineRule="auto"/>
        <w:rPr>
          <w:sz w:val="20"/>
          <w:szCs w:val="20"/>
          <w:color w:val="auto"/>
        </w:rPr>
      </w:pPr>
      <w:r>
        <w:rPr>
          <w:rFonts w:ascii="Arial" w:cs="Arial" w:eastAsia="Arial" w:hAnsi="Arial"/>
          <w:sz w:val="18"/>
          <w:szCs w:val="18"/>
          <w:color w:val="auto"/>
        </w:rPr>
        <w:t>Effective January 1, 2007, the company’s policy is to recognize accrued interest and penalties on accrued tax balances as components of tax expense. Prior to the adoption of FIN 48, the company accrued interest expense and penalties as components of tax expense and interest income as a component of interest income. As of January 1, 2007, the company had accrued a total of $11 million of such interest expense</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66</w:t>
      </w:r>
    </w:p>
    <w:p>
      <w:pPr>
        <w:sectPr>
          <w:pgSz w:w="11900" w:h="16838" w:orient="portrait"/>
          <w:cols w:equalWidth="0" w:num="1">
            <w:col w:w="11400"/>
          </w:cols>
          <w:pgMar w:left="240" w:top="121" w:right="259" w:bottom="1440" w:gutter="0" w:footer="0" w:header="0"/>
        </w:sectPr>
      </w:pPr>
    </w:p>
    <w:bookmarkStart w:id="134" w:name="page135"/>
    <w:bookmarkEnd w:id="134"/>
    <w:p>
      <w:pPr>
        <w:ind w:right="560"/>
        <w:spacing w:after="0" w:line="270" w:lineRule="auto"/>
        <w:rPr>
          <w:sz w:val="20"/>
          <w:szCs w:val="20"/>
          <w:color w:val="auto"/>
        </w:rPr>
      </w:pPr>
      <w:r>
        <w:rPr>
          <w:rFonts w:ascii="Arial" w:cs="Arial" w:eastAsia="Arial" w:hAnsi="Arial"/>
          <w:sz w:val="19"/>
          <w:szCs w:val="19"/>
          <w:color w:val="auto"/>
        </w:rPr>
        <w:t>and $2 million of penalties. As of December 31, 2007, the company had accrued a total of $7 million of interest benefit and $2 million of penalties. Amounts accrued for interest expense and penalties associated with income taxes are included in income tax expense on the Statements of Consolidated Income and in various income tax balances on the Consolidated Balance Sheets.</w:t>
      </w:r>
    </w:p>
    <w:p>
      <w:pPr>
        <w:spacing w:after="0" w:line="196" w:lineRule="exact"/>
        <w:rPr>
          <w:sz w:val="20"/>
          <w:szCs w:val="20"/>
          <w:color w:val="auto"/>
        </w:rPr>
      </w:pPr>
    </w:p>
    <w:p>
      <w:pPr>
        <w:ind w:right="20"/>
        <w:spacing w:after="0" w:line="250" w:lineRule="auto"/>
        <w:rPr>
          <w:sz w:val="20"/>
          <w:szCs w:val="20"/>
          <w:color w:val="auto"/>
        </w:rPr>
      </w:pPr>
      <w:r>
        <w:rPr>
          <w:rFonts w:ascii="Arial" w:cs="Arial" w:eastAsia="Arial" w:hAnsi="Arial"/>
          <w:sz w:val="20"/>
          <w:szCs w:val="20"/>
          <w:color w:val="auto"/>
        </w:rPr>
        <w:t>The company is subject to U.S. federal income tax as well as income tax of multiple state and foreign jurisdictions. The company remains subject to examination by U.S. federal and major state tax jurisdictions only for years after 2001. Certain major foreign income tax returns from 1995 through the present are open to examination.</w:t>
      </w:r>
    </w:p>
    <w:p>
      <w:pPr>
        <w:spacing w:after="0" w:line="213" w:lineRule="exact"/>
        <w:rPr>
          <w:sz w:val="20"/>
          <w:szCs w:val="20"/>
          <w:color w:val="auto"/>
        </w:rPr>
      </w:pPr>
    </w:p>
    <w:p>
      <w:pPr>
        <w:ind w:right="180"/>
        <w:spacing w:after="0" w:line="260" w:lineRule="auto"/>
        <w:rPr>
          <w:sz w:val="20"/>
          <w:szCs w:val="20"/>
          <w:color w:val="auto"/>
        </w:rPr>
      </w:pPr>
      <w:r>
        <w:rPr>
          <w:rFonts w:ascii="Arial" w:cs="Arial" w:eastAsia="Arial" w:hAnsi="Arial"/>
          <w:sz w:val="20"/>
          <w:szCs w:val="20"/>
          <w:color w:val="auto"/>
        </w:rPr>
        <w:t>In addition, the company has filed federal and state refund claims for tax years back to 1998. The pre-2002 tax years are closed to new issues; therefore, no additional tax may be assessed by the taxing authorities for these years.</w:t>
      </w:r>
    </w:p>
    <w:p>
      <w:pPr>
        <w:spacing w:after="0" w:line="204" w:lineRule="exact"/>
        <w:rPr>
          <w:sz w:val="20"/>
          <w:szCs w:val="20"/>
          <w:color w:val="auto"/>
        </w:rPr>
      </w:pPr>
    </w:p>
    <w:p>
      <w:pPr>
        <w:ind w:right="180"/>
        <w:spacing w:after="0" w:line="244" w:lineRule="auto"/>
        <w:rPr>
          <w:sz w:val="20"/>
          <w:szCs w:val="20"/>
          <w:color w:val="auto"/>
        </w:rPr>
      </w:pPr>
      <w:r>
        <w:rPr>
          <w:rFonts w:ascii="Arial" w:cs="Arial" w:eastAsia="Arial" w:hAnsi="Arial"/>
          <w:sz w:val="20"/>
          <w:szCs w:val="20"/>
          <w:b w:val="1"/>
          <w:bCs w:val="1"/>
          <w:i w:val="1"/>
          <w:iCs w:val="1"/>
          <w:color w:val="auto"/>
        </w:rPr>
        <w:t xml:space="preserve">EITF Issue No. 06-11, "Accounting for Income Tax Benefits of Dividends on Share-Based Payment Awards" (EITF 06-11): </w:t>
      </w:r>
      <w:r>
        <w:rPr>
          <w:rFonts w:ascii="Arial" w:cs="Arial" w:eastAsia="Arial" w:hAnsi="Arial"/>
          <w:sz w:val="20"/>
          <w:szCs w:val="20"/>
          <w:color w:val="auto"/>
        </w:rPr>
        <w:t>EITF 06-11</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requires that the tax benefit related to dividends paid on employee share-based payment awards classified as equity be recorded as an increase to additional paid-in capital. EITF 06-11 is to be applied prospectively for tax benefits on dividends declared in fiscal years beginning after December 15, 2007. The company does not expect the adoption of EITF 06-11 to have a material impact on its financial position or results of operations.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3. RECENT INVESTMENT ACTIVITY</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Sempra Commodities</w:t>
      </w:r>
    </w:p>
    <w:p>
      <w:pPr>
        <w:spacing w:after="0" w:line="249" w:lineRule="exact"/>
        <w:rPr>
          <w:sz w:val="20"/>
          <w:szCs w:val="20"/>
          <w:color w:val="auto"/>
        </w:rPr>
      </w:pPr>
    </w:p>
    <w:p>
      <w:pPr>
        <w:ind w:right="40"/>
        <w:spacing w:after="0" w:line="243" w:lineRule="auto"/>
        <w:rPr>
          <w:sz w:val="20"/>
          <w:szCs w:val="20"/>
          <w:color w:val="auto"/>
        </w:rPr>
      </w:pPr>
      <w:r>
        <w:rPr>
          <w:rFonts w:ascii="Arial" w:cs="Arial" w:eastAsia="Arial" w:hAnsi="Arial"/>
          <w:sz w:val="20"/>
          <w:szCs w:val="20"/>
          <w:color w:val="auto"/>
        </w:rPr>
        <w:t>On July 9, 2007, the company and The Royal Bank of Scotland plc (RBS) entered into an agreement to form a partnership, RBS Sempra Commodities LLP (RBS Sempra Commodities or the partnership), to purchase and operate Sempra Energy’s commodity-marketing businesses, which generally comprise the Sempra Commodities segment. The closing is subject to customary closing conditions and the approval of regulatory authorities including the U.K. Financial Services Authority (FSA), the U.S. Federal Reserve Board and the FERC. The required approvals by the FERC and the FSA were issued in September 2007 and November 2007, respectively. The transaction is expected to close in April 2008.</w:t>
      </w:r>
    </w:p>
    <w:p>
      <w:pPr>
        <w:spacing w:after="0" w:line="224" w:lineRule="exact"/>
        <w:rPr>
          <w:sz w:val="20"/>
          <w:szCs w:val="20"/>
          <w:color w:val="auto"/>
        </w:rPr>
      </w:pPr>
    </w:p>
    <w:p>
      <w:pPr>
        <w:spacing w:after="0" w:line="259" w:lineRule="auto"/>
        <w:rPr>
          <w:sz w:val="20"/>
          <w:szCs w:val="20"/>
          <w:color w:val="auto"/>
        </w:rPr>
      </w:pPr>
      <w:r>
        <w:rPr>
          <w:rFonts w:ascii="Arial" w:cs="Arial" w:eastAsia="Arial" w:hAnsi="Arial"/>
          <w:sz w:val="19"/>
          <w:szCs w:val="19"/>
          <w:color w:val="auto"/>
        </w:rPr>
        <w:t>RBS Sempra Commodities has been formed as a United Kingdom limited liability partnership. Due to increased regulatory capital requirements for the partnership, Sempra Energy's expected equity investment in the partnership has increased from $1.3 billion - $1.5 billion to $1.6 billion - $1.7 billion. The partnership concurrently will purchase Sempra Energy’s commodity-marketing subsidiaries at a price (after deducting certain expenses to be paid by Sempra Energy in terminating pre-existing contractual arrangements) equal to their book value computed on the basis of International Financial Reporting Standards (IFRS) as adopted by the European Union. The company’s investment in the partnership will be made principally from the proceeds of the sale of the subsidiaries to the partnership.</w:t>
      </w:r>
    </w:p>
    <w:p>
      <w:pPr>
        <w:spacing w:after="0" w:line="206" w:lineRule="exact"/>
        <w:rPr>
          <w:sz w:val="20"/>
          <w:szCs w:val="20"/>
          <w:color w:val="auto"/>
        </w:rPr>
      </w:pPr>
    </w:p>
    <w:p>
      <w:pPr>
        <w:ind w:right="300"/>
        <w:spacing w:after="0" w:line="260" w:lineRule="auto"/>
        <w:rPr>
          <w:sz w:val="20"/>
          <w:szCs w:val="20"/>
          <w:color w:val="auto"/>
        </w:rPr>
      </w:pPr>
      <w:r>
        <w:rPr>
          <w:rFonts w:ascii="Arial" w:cs="Arial" w:eastAsia="Arial" w:hAnsi="Arial"/>
          <w:sz w:val="20"/>
          <w:szCs w:val="20"/>
          <w:color w:val="auto"/>
        </w:rPr>
        <w:t>Financial information for the Sempra Commodities segment, which generally comprises the company's commodity-marketing businesses, is provided in Note 17.</w:t>
      </w:r>
    </w:p>
    <w:p>
      <w:pPr>
        <w:spacing w:after="0" w:line="204" w:lineRule="exact"/>
        <w:rPr>
          <w:sz w:val="20"/>
          <w:szCs w:val="20"/>
          <w:color w:val="auto"/>
        </w:rPr>
      </w:pPr>
    </w:p>
    <w:p>
      <w:pPr>
        <w:ind w:right="500"/>
        <w:spacing w:after="0" w:line="260" w:lineRule="auto"/>
        <w:rPr>
          <w:sz w:val="20"/>
          <w:szCs w:val="20"/>
          <w:color w:val="auto"/>
        </w:rPr>
      </w:pPr>
      <w:r>
        <w:rPr>
          <w:rFonts w:ascii="Arial" w:cs="Arial" w:eastAsia="Arial" w:hAnsi="Arial"/>
          <w:sz w:val="20"/>
          <w:szCs w:val="20"/>
          <w:color w:val="auto"/>
        </w:rPr>
        <w:t>In September 2005, Sempra Commodities sold Bluewater Gas Storage, a natural gas storage facility in Michigan, and Pine Prairie Energy Center, a salt-cavern natural gas storage facility in Evangeline Parish, Louisiana, for $253 million.</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Additional information regarding investment activity at Sempra Commodities is provided in Note 4.</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20"/>
          <w:szCs w:val="20"/>
          <w:color w:val="auto"/>
        </w:rPr>
        <w:t>67</w:t>
      </w:r>
    </w:p>
    <w:p>
      <w:pPr>
        <w:sectPr>
          <w:pgSz w:w="11900" w:h="16838" w:orient="portrait"/>
          <w:cols w:equalWidth="0" w:num="1">
            <w:col w:w="11420"/>
          </w:cols>
          <w:pgMar w:left="240" w:top="122" w:right="239" w:bottom="1440" w:gutter="0" w:footer="0" w:header="0"/>
        </w:sectPr>
      </w:pPr>
    </w:p>
    <w:bookmarkStart w:id="135" w:name="page136"/>
    <w:bookmarkEnd w:id="135"/>
    <w:p>
      <w:pPr>
        <w:spacing w:after="0"/>
        <w:rPr>
          <w:sz w:val="20"/>
          <w:szCs w:val="20"/>
          <w:color w:val="auto"/>
        </w:rPr>
      </w:pPr>
      <w:r>
        <w:rPr>
          <w:rFonts w:ascii="Arial" w:cs="Arial" w:eastAsia="Arial" w:hAnsi="Arial"/>
          <w:sz w:val="20"/>
          <w:szCs w:val="20"/>
          <w:b w:val="1"/>
          <w:bCs w:val="1"/>
          <w:color w:val="auto"/>
        </w:rPr>
        <w:t>Sempra Generation</w:t>
      </w:r>
    </w:p>
    <w:p>
      <w:pPr>
        <w:spacing w:after="0" w:line="250" w:lineRule="exact"/>
        <w:rPr>
          <w:sz w:val="20"/>
          <w:szCs w:val="20"/>
          <w:color w:val="auto"/>
        </w:rPr>
      </w:pPr>
    </w:p>
    <w:p>
      <w:pPr>
        <w:ind w:right="140"/>
        <w:spacing w:after="0" w:line="260" w:lineRule="auto"/>
        <w:rPr>
          <w:sz w:val="20"/>
          <w:szCs w:val="20"/>
          <w:color w:val="auto"/>
        </w:rPr>
      </w:pPr>
      <w:r>
        <w:rPr>
          <w:rFonts w:ascii="Arial" w:cs="Arial" w:eastAsia="Arial" w:hAnsi="Arial"/>
          <w:sz w:val="20"/>
          <w:szCs w:val="20"/>
          <w:color w:val="auto"/>
        </w:rPr>
        <w:t>In March 2006, Sempra Generation completed the construction of the 550-MW Palomar generating facility in Escondido, California, at which time it was transferred to SDG&amp;E.</w:t>
      </w:r>
    </w:p>
    <w:p>
      <w:pPr>
        <w:spacing w:after="0" w:line="204" w:lineRule="exact"/>
        <w:rPr>
          <w:sz w:val="20"/>
          <w:szCs w:val="20"/>
          <w:color w:val="auto"/>
        </w:rPr>
      </w:pPr>
    </w:p>
    <w:p>
      <w:pPr>
        <w:ind w:right="380"/>
        <w:spacing w:after="0" w:line="316" w:lineRule="auto"/>
        <w:rPr>
          <w:sz w:val="20"/>
          <w:szCs w:val="20"/>
          <w:color w:val="auto"/>
        </w:rPr>
      </w:pPr>
      <w:r>
        <w:rPr>
          <w:rFonts w:ascii="Arial" w:cs="Arial" w:eastAsia="Arial" w:hAnsi="Arial"/>
          <w:sz w:val="18"/>
          <w:szCs w:val="18"/>
          <w:color w:val="auto"/>
        </w:rPr>
        <w:t>In July 2005, Sempra Generation purchased Reliant Energy’s 50-percent interest in El Dorado Energy for $132 million (including assumed debt), resulting in Sempra Generation’s having full ownership of the 480-MW El Dorado power plant located in Boulder City, Nevada.</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color w:val="auto"/>
        </w:rPr>
        <w:t>Additional information regarding investment activity at Sempra Generation is provided in Notes 4 and 5.</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Sempra Pipelines &amp; Storage</w:t>
      </w:r>
    </w:p>
    <w:p>
      <w:pPr>
        <w:spacing w:after="0" w:line="249"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Sempra Pipelines &amp; Storage has a 25-percent interest in Rockies Express Pipeline LLC (Rockies Express) as discussed in Note 4. In connection with financing received by Rockies Express in 2006, Sempra Pipelines &amp; Storage and KMP were repaid their initial capital contributions, which was reported in Distributions from Investments on the company’s Statements of Consolidated Cash Flows. The company made a contribution of $100 million to Rockies Express in 2007.</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4. INVESTMENTS IN UNCONSOLIDATED SUBSIDIARIES</w:t>
      </w:r>
    </w:p>
    <w:p>
      <w:pPr>
        <w:spacing w:after="0" w:line="249" w:lineRule="exact"/>
        <w:rPr>
          <w:sz w:val="20"/>
          <w:szCs w:val="20"/>
          <w:color w:val="auto"/>
        </w:rPr>
      </w:pPr>
    </w:p>
    <w:p>
      <w:pPr>
        <w:ind w:right="660"/>
        <w:spacing w:after="0" w:line="271" w:lineRule="auto"/>
        <w:rPr>
          <w:sz w:val="20"/>
          <w:szCs w:val="20"/>
          <w:color w:val="auto"/>
        </w:rPr>
      </w:pPr>
      <w:r>
        <w:rPr>
          <w:rFonts w:ascii="Arial" w:cs="Arial" w:eastAsia="Arial" w:hAnsi="Arial"/>
          <w:sz w:val="18"/>
          <w:szCs w:val="18"/>
          <w:color w:val="auto"/>
        </w:rPr>
        <w:t xml:space="preserve">Investments are accounted for under the equity method when the company has an ownership interest of 20 to 50 percent. In these cases, the company’s pro rata shares of the subsidiaries’ net assets are included in Investments on the Consolidated Balance Sheets, and are adjusted for the company’s share of each investee’s earnings or losses, dividends and foreign currency translation effects. Equity in earnings of unconsolidated subsidiaries that is recorded before income tax is reported in Other Income, Net on the Statements of Consolidated Income. Equity earnings recorded net of income tax recorded by the subsidiary are reported in Equity in Earnings (Losses) of Certain Unconsolidated Subsidiaries on the Statements of Consolidated Income. The carrying value of unconsolidated subsidiaries is evaluated for impairment based on the requirements of APBO 18, </w:t>
      </w:r>
      <w:r>
        <w:rPr>
          <w:rFonts w:ascii="Arial" w:cs="Arial" w:eastAsia="Arial" w:hAnsi="Arial"/>
          <w:sz w:val="18"/>
          <w:szCs w:val="18"/>
          <w:i w:val="1"/>
          <w:iCs w:val="1"/>
          <w:color w:val="auto"/>
        </w:rPr>
        <w:t>The Equity Method of Accounting for Investments in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Common S tock </w:t>
      </w:r>
      <w:r>
        <w:rPr>
          <w:rFonts w:ascii="Arial" w:cs="Arial" w:eastAsia="Arial" w:hAnsi="Arial"/>
          <w:sz w:val="18"/>
          <w:szCs w:val="18"/>
          <w:color w:val="auto"/>
        </w:rPr>
        <w:t>(APBO 18). The company accounts for certain investments in housing partnerships made before May 19, 1995 under</w:t>
      </w:r>
      <w:r>
        <w:rPr>
          <w:rFonts w:ascii="Arial" w:cs="Arial" w:eastAsia="Arial" w:hAnsi="Arial"/>
          <w:sz w:val="18"/>
          <w:szCs w:val="18"/>
          <w:i w:val="1"/>
          <w:iCs w:val="1"/>
          <w:color w:val="auto"/>
        </w:rPr>
        <w:t xml:space="preserve"> </w:t>
      </w:r>
      <w:r>
        <w:rPr>
          <w:rFonts w:ascii="Arial" w:cs="Arial" w:eastAsia="Arial" w:hAnsi="Arial"/>
          <w:sz w:val="18"/>
          <w:szCs w:val="18"/>
          <w:color w:val="auto"/>
        </w:rPr>
        <w:t>the cost method, whereby they had been amortized over ten years based on the expected residual value. The company has no unconsolidated subsidiaries where its ability to influence or control an investee differs from its ownership percentage.</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0"/>
          <w:szCs w:val="20"/>
          <w:color w:val="auto"/>
        </w:rPr>
        <w:t>68</w:t>
      </w:r>
    </w:p>
    <w:p>
      <w:pPr>
        <w:sectPr>
          <w:pgSz w:w="11900" w:h="16838" w:orient="portrait"/>
          <w:cols w:equalWidth="0" w:num="1">
            <w:col w:w="11400"/>
          </w:cols>
          <w:pgMar w:left="240" w:top="115" w:right="259" w:bottom="1440" w:gutter="0" w:footer="0" w:header="0"/>
        </w:sectPr>
      </w:pPr>
    </w:p>
    <w:bookmarkStart w:id="136" w:name="page137"/>
    <w:bookmarkEnd w:id="136"/>
    <w:p>
      <w:pPr>
        <w:spacing w:after="0"/>
        <w:rPr>
          <w:sz w:val="20"/>
          <w:szCs w:val="20"/>
          <w:color w:val="auto"/>
        </w:rPr>
      </w:pPr>
      <w:r>
        <w:rPr>
          <w:rFonts w:ascii="Arial" w:cs="Arial" w:eastAsia="Arial" w:hAnsi="Arial"/>
          <w:sz w:val="20"/>
          <w:szCs w:val="20"/>
          <w:color w:val="auto"/>
        </w:rPr>
        <w:t>The company’s investment balances and earnings are summarized as follows:</w:t>
      </w:r>
    </w:p>
    <w:p>
      <w:pPr>
        <w:spacing w:after="0" w:line="287" w:lineRule="exact"/>
        <w:rPr>
          <w:sz w:val="20"/>
          <w:szCs w:val="20"/>
          <w:color w:val="auto"/>
        </w:rPr>
      </w:pPr>
    </w:p>
    <w:tbl>
      <w:tblPr>
        <w:tblLayout w:type="fixed"/>
        <w:tblInd w:w="1360" w:type="dxa"/>
        <w:tblCellMar>
          <w:top w:w="0" w:type="dxa"/>
          <w:left w:w="0" w:type="dxa"/>
          <w:bottom w:w="0" w:type="dxa"/>
          <w:right w:w="0" w:type="dxa"/>
        </w:tblCellMar>
      </w:tblPr>
      <w:tr>
        <w:trPr>
          <w:trHeight w:val="216"/>
        </w:trPr>
        <w:tc>
          <w:tcPr>
            <w:tcW w:w="6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ind w:left="400"/>
              <w:spacing w:after="0"/>
              <w:rPr>
                <w:sz w:val="20"/>
                <w:szCs w:val="20"/>
                <w:color w:val="auto"/>
              </w:rPr>
            </w:pPr>
            <w:r>
              <w:rPr>
                <w:rFonts w:ascii="Arial" w:cs="Arial" w:eastAsia="Arial" w:hAnsi="Arial"/>
                <w:sz w:val="18"/>
                <w:szCs w:val="18"/>
                <w:color w:val="auto"/>
                <w:w w:val="92"/>
              </w:rPr>
              <w:t>Investment at</w:t>
            </w:r>
          </w:p>
        </w:tc>
        <w:tc>
          <w:tcPr>
            <w:tcW w:w="640" w:type="dxa"/>
            <w:vAlign w:val="bottom"/>
          </w:tcPr>
          <w:p>
            <w:pPr>
              <w:spacing w:after="0"/>
              <w:rPr>
                <w:sz w:val="18"/>
                <w:szCs w:val="18"/>
                <w:color w:val="auto"/>
              </w:rPr>
            </w:pPr>
          </w:p>
        </w:tc>
      </w:tr>
      <w:tr>
        <w:trPr>
          <w:trHeight w:val="237"/>
        </w:trPr>
        <w:tc>
          <w:tcPr>
            <w:tcW w:w="64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2"/>
          </w:tcPr>
          <w:p>
            <w:pPr>
              <w:ind w:left="400"/>
              <w:spacing w:after="0"/>
              <w:rPr>
                <w:sz w:val="20"/>
                <w:szCs w:val="20"/>
                <w:color w:val="auto"/>
              </w:rPr>
            </w:pPr>
            <w:r>
              <w:rPr>
                <w:rFonts w:ascii="Arial" w:cs="Arial" w:eastAsia="Arial" w:hAnsi="Arial"/>
                <w:sz w:val="18"/>
                <w:szCs w:val="18"/>
                <w:color w:val="auto"/>
                <w:w w:val="88"/>
              </w:rPr>
              <w:t>December 31,</w:t>
            </w:r>
          </w:p>
        </w:tc>
        <w:tc>
          <w:tcPr>
            <w:tcW w:w="640" w:type="dxa"/>
            <w:vAlign w:val="bottom"/>
            <w:tcBorders>
              <w:bottom w:val="single" w:sz="8" w:color="auto"/>
            </w:tcBorders>
          </w:tcPr>
          <w:p>
            <w:pPr>
              <w:spacing w:after="0"/>
              <w:rPr>
                <w:sz w:val="20"/>
                <w:szCs w:val="20"/>
                <w:color w:val="auto"/>
              </w:rPr>
            </w:pPr>
          </w:p>
        </w:tc>
      </w:tr>
      <w:tr>
        <w:trPr>
          <w:trHeight w:val="237"/>
        </w:trPr>
        <w:tc>
          <w:tcPr>
            <w:tcW w:w="6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(Dollars in millions)</w:t>
            </w: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2007</w:t>
            </w:r>
          </w:p>
        </w:tc>
        <w:tc>
          <w:tcPr>
            <w:tcW w:w="124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8"/>
                <w:szCs w:val="18"/>
                <w:color w:val="auto"/>
              </w:rPr>
              <w:t>2006</w:t>
            </w:r>
          </w:p>
        </w:tc>
      </w:tr>
      <w:tr>
        <w:trPr>
          <w:trHeight w:val="230"/>
        </w:trPr>
        <w:tc>
          <w:tcPr>
            <w:tcW w:w="6420" w:type="dxa"/>
            <w:vAlign w:val="bottom"/>
          </w:tcPr>
          <w:p>
            <w:pPr>
              <w:spacing w:after="0"/>
              <w:rPr>
                <w:sz w:val="20"/>
                <w:szCs w:val="20"/>
                <w:color w:val="auto"/>
              </w:rPr>
            </w:pPr>
            <w:r>
              <w:rPr>
                <w:rFonts w:ascii="Arial" w:cs="Arial" w:eastAsia="Arial" w:hAnsi="Arial"/>
                <w:sz w:val="18"/>
                <w:szCs w:val="18"/>
                <w:color w:val="auto"/>
              </w:rPr>
              <w:t>Equity method investments:</w:t>
            </w: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242"/>
        </w:trPr>
        <w:tc>
          <w:tcPr>
            <w:tcW w:w="6420" w:type="dxa"/>
            <w:vAlign w:val="bottom"/>
          </w:tcPr>
          <w:p>
            <w:pPr>
              <w:ind w:left="180"/>
              <w:spacing w:after="0"/>
              <w:rPr>
                <w:sz w:val="20"/>
                <w:szCs w:val="20"/>
                <w:color w:val="auto"/>
              </w:rPr>
            </w:pPr>
            <w:r>
              <w:rPr>
                <w:rFonts w:ascii="Arial" w:cs="Arial" w:eastAsia="Arial" w:hAnsi="Arial"/>
                <w:sz w:val="18"/>
                <w:szCs w:val="18"/>
                <w:color w:val="auto"/>
              </w:rPr>
              <w:t>Sempra Pipelines &amp; Storage:</w:t>
            </w: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40" w:type="dxa"/>
            <w:vAlign w:val="bottom"/>
          </w:tcPr>
          <w:p>
            <w:pPr>
              <w:spacing w:after="0"/>
              <w:rPr>
                <w:sz w:val="21"/>
                <w:szCs w:val="21"/>
                <w:color w:val="auto"/>
              </w:rPr>
            </w:pPr>
          </w:p>
        </w:tc>
      </w:tr>
      <w:tr>
        <w:trPr>
          <w:trHeight w:val="243"/>
        </w:trPr>
        <w:tc>
          <w:tcPr>
            <w:tcW w:w="6420" w:type="dxa"/>
            <w:vAlign w:val="bottom"/>
          </w:tcPr>
          <w:p>
            <w:pPr>
              <w:ind w:left="380"/>
              <w:spacing w:after="0"/>
              <w:rPr>
                <w:sz w:val="20"/>
                <w:szCs w:val="20"/>
                <w:color w:val="auto"/>
              </w:rPr>
            </w:pPr>
            <w:r>
              <w:rPr>
                <w:rFonts w:ascii="Arial" w:cs="Arial" w:eastAsia="Arial" w:hAnsi="Arial"/>
                <w:sz w:val="18"/>
                <w:szCs w:val="18"/>
                <w:color w:val="auto"/>
              </w:rPr>
              <w:t>Chilquinta Energía</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50"/>
              <w:spacing w:after="0"/>
              <w:rPr>
                <w:sz w:val="20"/>
                <w:szCs w:val="20"/>
                <w:color w:val="auto"/>
              </w:rPr>
            </w:pPr>
            <w:r>
              <w:rPr>
                <w:rFonts w:ascii="Arial" w:cs="Arial" w:eastAsia="Arial" w:hAnsi="Arial"/>
                <w:sz w:val="18"/>
                <w:szCs w:val="18"/>
                <w:color w:val="auto"/>
              </w:rPr>
              <w:t>497</w:t>
            </w:r>
          </w:p>
        </w:tc>
        <w:tc>
          <w:tcPr>
            <w:tcW w:w="6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30"/>
              <w:spacing w:after="0"/>
              <w:rPr>
                <w:sz w:val="20"/>
                <w:szCs w:val="20"/>
                <w:color w:val="auto"/>
              </w:rPr>
            </w:pPr>
            <w:r>
              <w:rPr>
                <w:rFonts w:ascii="Arial" w:cs="Arial" w:eastAsia="Arial" w:hAnsi="Arial"/>
                <w:sz w:val="18"/>
                <w:szCs w:val="18"/>
                <w:color w:val="auto"/>
              </w:rPr>
              <w:t>440</w:t>
            </w:r>
          </w:p>
        </w:tc>
      </w:tr>
      <w:tr>
        <w:trPr>
          <w:trHeight w:val="243"/>
        </w:trPr>
        <w:tc>
          <w:tcPr>
            <w:tcW w:w="6420" w:type="dxa"/>
            <w:vAlign w:val="bottom"/>
          </w:tcPr>
          <w:p>
            <w:pPr>
              <w:ind w:left="380"/>
              <w:spacing w:after="0"/>
              <w:rPr>
                <w:sz w:val="20"/>
                <w:szCs w:val="20"/>
                <w:color w:val="auto"/>
              </w:rPr>
            </w:pPr>
            <w:r>
              <w:rPr>
                <w:rFonts w:ascii="Arial" w:cs="Arial" w:eastAsia="Arial" w:hAnsi="Arial"/>
                <w:sz w:val="18"/>
                <w:szCs w:val="18"/>
                <w:color w:val="auto"/>
              </w:rPr>
              <w:t>Luz del Sur</w:t>
            </w:r>
          </w:p>
        </w:tc>
        <w:tc>
          <w:tcPr>
            <w:tcW w:w="240" w:type="dxa"/>
            <w:vAlign w:val="bottom"/>
          </w:tcPr>
          <w:p>
            <w:pPr>
              <w:spacing w:after="0"/>
              <w:rPr>
                <w:sz w:val="21"/>
                <w:szCs w:val="21"/>
                <w:color w:val="auto"/>
              </w:rPr>
            </w:pPr>
          </w:p>
        </w:tc>
        <w:tc>
          <w:tcPr>
            <w:tcW w:w="820" w:type="dxa"/>
            <w:vAlign w:val="bottom"/>
          </w:tcPr>
          <w:p>
            <w:pPr>
              <w:jc w:val="right"/>
              <w:ind w:right="150"/>
              <w:spacing w:after="0"/>
              <w:rPr>
                <w:sz w:val="20"/>
                <w:szCs w:val="20"/>
                <w:color w:val="auto"/>
              </w:rPr>
            </w:pPr>
            <w:r>
              <w:rPr>
                <w:rFonts w:ascii="Arial" w:cs="Arial" w:eastAsia="Arial" w:hAnsi="Arial"/>
                <w:sz w:val="18"/>
                <w:szCs w:val="18"/>
                <w:color w:val="auto"/>
              </w:rPr>
              <w:t>182</w:t>
            </w:r>
          </w:p>
        </w:tc>
        <w:tc>
          <w:tcPr>
            <w:tcW w:w="600" w:type="dxa"/>
            <w:vAlign w:val="bottom"/>
          </w:tcPr>
          <w:p>
            <w:pPr>
              <w:spacing w:after="0"/>
              <w:rPr>
                <w:sz w:val="21"/>
                <w:szCs w:val="21"/>
                <w:color w:val="auto"/>
              </w:rPr>
            </w:pPr>
          </w:p>
        </w:tc>
        <w:tc>
          <w:tcPr>
            <w:tcW w:w="640" w:type="dxa"/>
            <w:vAlign w:val="bottom"/>
          </w:tcPr>
          <w:p>
            <w:pPr>
              <w:jc w:val="right"/>
              <w:ind w:right="130"/>
              <w:spacing w:after="0"/>
              <w:rPr>
                <w:sz w:val="20"/>
                <w:szCs w:val="20"/>
                <w:color w:val="auto"/>
              </w:rPr>
            </w:pPr>
            <w:r>
              <w:rPr>
                <w:rFonts w:ascii="Arial" w:cs="Arial" w:eastAsia="Arial" w:hAnsi="Arial"/>
                <w:sz w:val="18"/>
                <w:szCs w:val="18"/>
                <w:color w:val="auto"/>
              </w:rPr>
              <w:t>164</w:t>
            </w:r>
          </w:p>
        </w:tc>
      </w:tr>
      <w:tr>
        <w:trPr>
          <w:trHeight w:val="243"/>
        </w:trPr>
        <w:tc>
          <w:tcPr>
            <w:tcW w:w="6420" w:type="dxa"/>
            <w:vAlign w:val="bottom"/>
          </w:tcPr>
          <w:p>
            <w:pPr>
              <w:ind w:left="380"/>
              <w:spacing w:after="0"/>
              <w:rPr>
                <w:sz w:val="20"/>
                <w:szCs w:val="20"/>
                <w:color w:val="auto"/>
              </w:rPr>
            </w:pPr>
            <w:r>
              <w:rPr>
                <w:rFonts w:ascii="Arial" w:cs="Arial" w:eastAsia="Arial" w:hAnsi="Arial"/>
                <w:sz w:val="18"/>
                <w:szCs w:val="18"/>
                <w:color w:val="auto"/>
              </w:rPr>
              <w:t>Rockies Express</w:t>
            </w:r>
          </w:p>
        </w:tc>
        <w:tc>
          <w:tcPr>
            <w:tcW w:w="240" w:type="dxa"/>
            <w:vAlign w:val="bottom"/>
          </w:tcPr>
          <w:p>
            <w:pPr>
              <w:spacing w:after="0"/>
              <w:rPr>
                <w:sz w:val="21"/>
                <w:szCs w:val="21"/>
                <w:color w:val="auto"/>
              </w:rPr>
            </w:pPr>
          </w:p>
        </w:tc>
        <w:tc>
          <w:tcPr>
            <w:tcW w:w="820" w:type="dxa"/>
            <w:vAlign w:val="bottom"/>
          </w:tcPr>
          <w:p>
            <w:pPr>
              <w:jc w:val="right"/>
              <w:ind w:right="150"/>
              <w:spacing w:after="0"/>
              <w:rPr>
                <w:sz w:val="20"/>
                <w:szCs w:val="20"/>
                <w:color w:val="auto"/>
              </w:rPr>
            </w:pPr>
            <w:r>
              <w:rPr>
                <w:rFonts w:ascii="Arial" w:cs="Arial" w:eastAsia="Arial" w:hAnsi="Arial"/>
                <w:sz w:val="18"/>
                <w:szCs w:val="18"/>
                <w:color w:val="auto"/>
              </w:rPr>
              <w:t>97</w:t>
            </w:r>
          </w:p>
        </w:tc>
        <w:tc>
          <w:tcPr>
            <w:tcW w:w="600" w:type="dxa"/>
            <w:vAlign w:val="bottom"/>
          </w:tcPr>
          <w:p>
            <w:pPr>
              <w:spacing w:after="0"/>
              <w:rPr>
                <w:sz w:val="21"/>
                <w:szCs w:val="21"/>
                <w:color w:val="auto"/>
              </w:rPr>
            </w:pPr>
          </w:p>
        </w:tc>
        <w:tc>
          <w:tcPr>
            <w:tcW w:w="64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43"/>
        </w:trPr>
        <w:tc>
          <w:tcPr>
            <w:tcW w:w="6420" w:type="dxa"/>
            <w:vAlign w:val="bottom"/>
          </w:tcPr>
          <w:p>
            <w:pPr>
              <w:ind w:left="180"/>
              <w:spacing w:after="0"/>
              <w:rPr>
                <w:sz w:val="20"/>
                <w:szCs w:val="20"/>
                <w:color w:val="auto"/>
              </w:rPr>
            </w:pPr>
            <w:r>
              <w:rPr>
                <w:rFonts w:ascii="Arial" w:cs="Arial" w:eastAsia="Arial" w:hAnsi="Arial"/>
                <w:sz w:val="18"/>
                <w:szCs w:val="18"/>
                <w:color w:val="auto"/>
              </w:rPr>
              <w:t>Sempra Generation:</w:t>
            </w: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40" w:type="dxa"/>
            <w:vAlign w:val="bottom"/>
          </w:tcPr>
          <w:p>
            <w:pPr>
              <w:spacing w:after="0"/>
              <w:rPr>
                <w:sz w:val="21"/>
                <w:szCs w:val="21"/>
                <w:color w:val="auto"/>
              </w:rPr>
            </w:pPr>
          </w:p>
        </w:tc>
      </w:tr>
      <w:tr>
        <w:trPr>
          <w:trHeight w:val="243"/>
        </w:trPr>
        <w:tc>
          <w:tcPr>
            <w:tcW w:w="6420" w:type="dxa"/>
            <w:vAlign w:val="bottom"/>
          </w:tcPr>
          <w:p>
            <w:pPr>
              <w:ind w:left="380"/>
              <w:spacing w:after="0"/>
              <w:rPr>
                <w:sz w:val="20"/>
                <w:szCs w:val="20"/>
                <w:color w:val="auto"/>
              </w:rPr>
            </w:pPr>
            <w:r>
              <w:rPr>
                <w:rFonts w:ascii="Arial" w:cs="Arial" w:eastAsia="Arial" w:hAnsi="Arial"/>
                <w:sz w:val="18"/>
                <w:szCs w:val="18"/>
                <w:color w:val="auto"/>
              </w:rPr>
              <w:t>Elk Hills Power</w:t>
            </w:r>
          </w:p>
        </w:tc>
        <w:tc>
          <w:tcPr>
            <w:tcW w:w="240" w:type="dxa"/>
            <w:vAlign w:val="bottom"/>
          </w:tcPr>
          <w:p>
            <w:pPr>
              <w:spacing w:after="0"/>
              <w:rPr>
                <w:sz w:val="21"/>
                <w:szCs w:val="21"/>
                <w:color w:val="auto"/>
              </w:rPr>
            </w:pPr>
          </w:p>
        </w:tc>
        <w:tc>
          <w:tcPr>
            <w:tcW w:w="820" w:type="dxa"/>
            <w:vAlign w:val="bottom"/>
          </w:tcPr>
          <w:p>
            <w:pPr>
              <w:jc w:val="right"/>
              <w:ind w:right="150"/>
              <w:spacing w:after="0"/>
              <w:rPr>
                <w:sz w:val="20"/>
                <w:szCs w:val="20"/>
                <w:color w:val="auto"/>
              </w:rPr>
            </w:pPr>
            <w:r>
              <w:rPr>
                <w:rFonts w:ascii="Arial" w:cs="Arial" w:eastAsia="Arial" w:hAnsi="Arial"/>
                <w:sz w:val="18"/>
                <w:szCs w:val="18"/>
                <w:color w:val="auto"/>
              </w:rPr>
              <w:t>205</w:t>
            </w:r>
          </w:p>
        </w:tc>
        <w:tc>
          <w:tcPr>
            <w:tcW w:w="600" w:type="dxa"/>
            <w:vAlign w:val="bottom"/>
          </w:tcPr>
          <w:p>
            <w:pPr>
              <w:spacing w:after="0"/>
              <w:rPr>
                <w:sz w:val="21"/>
                <w:szCs w:val="21"/>
                <w:color w:val="auto"/>
              </w:rPr>
            </w:pPr>
          </w:p>
        </w:tc>
        <w:tc>
          <w:tcPr>
            <w:tcW w:w="640" w:type="dxa"/>
            <w:vAlign w:val="bottom"/>
          </w:tcPr>
          <w:p>
            <w:pPr>
              <w:jc w:val="right"/>
              <w:ind w:right="130"/>
              <w:spacing w:after="0"/>
              <w:rPr>
                <w:sz w:val="20"/>
                <w:szCs w:val="20"/>
                <w:color w:val="auto"/>
              </w:rPr>
            </w:pPr>
            <w:r>
              <w:rPr>
                <w:rFonts w:ascii="Arial" w:cs="Arial" w:eastAsia="Arial" w:hAnsi="Arial"/>
                <w:sz w:val="18"/>
                <w:szCs w:val="18"/>
                <w:color w:val="auto"/>
              </w:rPr>
              <w:t>212</w:t>
            </w:r>
          </w:p>
        </w:tc>
      </w:tr>
      <w:tr>
        <w:trPr>
          <w:trHeight w:val="243"/>
        </w:trPr>
        <w:tc>
          <w:tcPr>
            <w:tcW w:w="6420" w:type="dxa"/>
            <w:vAlign w:val="bottom"/>
          </w:tcPr>
          <w:p>
            <w:pPr>
              <w:ind w:left="180"/>
              <w:spacing w:after="0"/>
              <w:rPr>
                <w:sz w:val="20"/>
                <w:szCs w:val="20"/>
                <w:color w:val="auto"/>
              </w:rPr>
            </w:pPr>
            <w:r>
              <w:rPr>
                <w:rFonts w:ascii="Arial" w:cs="Arial" w:eastAsia="Arial" w:hAnsi="Arial"/>
                <w:sz w:val="18"/>
                <w:szCs w:val="18"/>
                <w:color w:val="auto"/>
              </w:rPr>
              <w:t>Sempra Commodities—investments</w:t>
            </w:r>
          </w:p>
        </w:tc>
        <w:tc>
          <w:tcPr>
            <w:tcW w:w="240" w:type="dxa"/>
            <w:vAlign w:val="bottom"/>
          </w:tcPr>
          <w:p>
            <w:pPr>
              <w:spacing w:after="0"/>
              <w:rPr>
                <w:sz w:val="21"/>
                <w:szCs w:val="21"/>
                <w:color w:val="auto"/>
              </w:rPr>
            </w:pPr>
          </w:p>
        </w:tc>
        <w:tc>
          <w:tcPr>
            <w:tcW w:w="820" w:type="dxa"/>
            <w:vAlign w:val="bottom"/>
          </w:tcPr>
          <w:p>
            <w:pPr>
              <w:jc w:val="right"/>
              <w:ind w:right="150"/>
              <w:spacing w:after="0"/>
              <w:rPr>
                <w:sz w:val="20"/>
                <w:szCs w:val="20"/>
                <w:color w:val="auto"/>
              </w:rPr>
            </w:pPr>
            <w:r>
              <w:rPr>
                <w:rFonts w:ascii="Arial" w:cs="Arial" w:eastAsia="Arial" w:hAnsi="Arial"/>
                <w:sz w:val="18"/>
                <w:szCs w:val="18"/>
                <w:color w:val="auto"/>
              </w:rPr>
              <w:t>32</w:t>
            </w:r>
          </w:p>
        </w:tc>
        <w:tc>
          <w:tcPr>
            <w:tcW w:w="600" w:type="dxa"/>
            <w:vAlign w:val="bottom"/>
          </w:tcPr>
          <w:p>
            <w:pPr>
              <w:spacing w:after="0"/>
              <w:rPr>
                <w:sz w:val="21"/>
                <w:szCs w:val="21"/>
                <w:color w:val="auto"/>
              </w:rPr>
            </w:pPr>
          </w:p>
        </w:tc>
        <w:tc>
          <w:tcPr>
            <w:tcW w:w="64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50"/>
        </w:trPr>
        <w:tc>
          <w:tcPr>
            <w:tcW w:w="6420" w:type="dxa"/>
            <w:vAlign w:val="bottom"/>
          </w:tcPr>
          <w:p>
            <w:pPr>
              <w:ind w:left="180"/>
              <w:spacing w:after="0"/>
              <w:rPr>
                <w:sz w:val="20"/>
                <w:szCs w:val="20"/>
                <w:color w:val="auto"/>
              </w:rPr>
            </w:pPr>
            <w:r>
              <w:rPr>
                <w:rFonts w:ascii="Arial" w:cs="Arial" w:eastAsia="Arial" w:hAnsi="Arial"/>
                <w:sz w:val="18"/>
                <w:szCs w:val="18"/>
                <w:color w:val="auto"/>
              </w:rPr>
              <w:t>Housing partnerships</w:t>
            </w: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46</w:t>
            </w:r>
          </w:p>
        </w:tc>
        <w:tc>
          <w:tcPr>
            <w:tcW w:w="6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78</w:t>
            </w:r>
          </w:p>
        </w:tc>
      </w:tr>
      <w:tr>
        <w:trPr>
          <w:trHeight w:val="230"/>
        </w:trPr>
        <w:tc>
          <w:tcPr>
            <w:tcW w:w="6420" w:type="dxa"/>
            <w:vAlign w:val="bottom"/>
          </w:tcPr>
          <w:p>
            <w:pPr>
              <w:ind w:left="380"/>
              <w:spacing w:after="0"/>
              <w:rPr>
                <w:sz w:val="20"/>
                <w:szCs w:val="20"/>
                <w:color w:val="auto"/>
              </w:rPr>
            </w:pPr>
            <w:r>
              <w:rPr>
                <w:rFonts w:ascii="Arial" w:cs="Arial" w:eastAsia="Arial" w:hAnsi="Arial"/>
                <w:sz w:val="18"/>
                <w:szCs w:val="18"/>
                <w:color w:val="auto"/>
              </w:rPr>
              <w:t>Total</w:t>
            </w:r>
          </w:p>
        </w:tc>
        <w:tc>
          <w:tcPr>
            <w:tcW w:w="240" w:type="dxa"/>
            <w:vAlign w:val="bottom"/>
          </w:tcPr>
          <w:p>
            <w:pPr>
              <w:spacing w:after="0"/>
              <w:rPr>
                <w:sz w:val="20"/>
                <w:szCs w:val="20"/>
                <w:color w:val="auto"/>
              </w:rPr>
            </w:pPr>
          </w:p>
        </w:tc>
        <w:tc>
          <w:tcPr>
            <w:tcW w:w="820" w:type="dxa"/>
            <w:vAlign w:val="bottom"/>
          </w:tcPr>
          <w:p>
            <w:pPr>
              <w:jc w:val="right"/>
              <w:ind w:right="150"/>
              <w:spacing w:after="0"/>
              <w:rPr>
                <w:sz w:val="20"/>
                <w:szCs w:val="20"/>
                <w:color w:val="auto"/>
              </w:rPr>
            </w:pPr>
            <w:r>
              <w:rPr>
                <w:rFonts w:ascii="Arial" w:cs="Arial" w:eastAsia="Arial" w:hAnsi="Arial"/>
                <w:sz w:val="18"/>
                <w:szCs w:val="18"/>
                <w:color w:val="auto"/>
              </w:rPr>
              <w:t>1,059</w:t>
            </w:r>
          </w:p>
        </w:tc>
        <w:tc>
          <w:tcPr>
            <w:tcW w:w="600" w:type="dxa"/>
            <w:vAlign w:val="bottom"/>
          </w:tcPr>
          <w:p>
            <w:pPr>
              <w:spacing w:after="0"/>
              <w:rPr>
                <w:sz w:val="20"/>
                <w:szCs w:val="20"/>
                <w:color w:val="auto"/>
              </w:rPr>
            </w:pPr>
          </w:p>
        </w:tc>
        <w:tc>
          <w:tcPr>
            <w:tcW w:w="640" w:type="dxa"/>
            <w:vAlign w:val="bottom"/>
          </w:tcPr>
          <w:p>
            <w:pPr>
              <w:jc w:val="right"/>
              <w:ind w:right="130"/>
              <w:spacing w:after="0"/>
              <w:rPr>
                <w:sz w:val="20"/>
                <w:szCs w:val="20"/>
                <w:color w:val="auto"/>
              </w:rPr>
            </w:pPr>
            <w:r>
              <w:rPr>
                <w:rFonts w:ascii="Arial" w:cs="Arial" w:eastAsia="Arial" w:hAnsi="Arial"/>
                <w:sz w:val="18"/>
                <w:szCs w:val="18"/>
                <w:color w:val="auto"/>
              </w:rPr>
              <w:t>894</w:t>
            </w:r>
          </w:p>
        </w:tc>
      </w:tr>
      <w:tr>
        <w:trPr>
          <w:trHeight w:val="249"/>
        </w:trPr>
        <w:tc>
          <w:tcPr>
            <w:tcW w:w="6420" w:type="dxa"/>
            <w:vAlign w:val="bottom"/>
          </w:tcPr>
          <w:p>
            <w:pPr>
              <w:spacing w:after="0"/>
              <w:rPr>
                <w:sz w:val="20"/>
                <w:szCs w:val="20"/>
                <w:color w:val="auto"/>
              </w:rPr>
            </w:pPr>
            <w:r>
              <w:rPr>
                <w:rFonts w:ascii="Arial" w:cs="Arial" w:eastAsia="Arial" w:hAnsi="Arial"/>
                <w:sz w:val="18"/>
                <w:szCs w:val="18"/>
                <w:color w:val="auto"/>
              </w:rPr>
              <w:t>Cost method investments—housing partnerships</w:t>
            </w: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15</w:t>
            </w:r>
          </w:p>
        </w:tc>
        <w:tc>
          <w:tcPr>
            <w:tcW w:w="6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18</w:t>
            </w:r>
          </w:p>
        </w:tc>
      </w:tr>
      <w:tr>
        <w:trPr>
          <w:trHeight w:val="230"/>
        </w:trPr>
        <w:tc>
          <w:tcPr>
            <w:tcW w:w="6420" w:type="dxa"/>
            <w:vAlign w:val="bottom"/>
          </w:tcPr>
          <w:p>
            <w:pPr>
              <w:ind w:left="180"/>
              <w:spacing w:after="0"/>
              <w:rPr>
                <w:sz w:val="20"/>
                <w:szCs w:val="20"/>
                <w:color w:val="auto"/>
              </w:rPr>
            </w:pPr>
            <w:r>
              <w:rPr>
                <w:rFonts w:ascii="Arial" w:cs="Arial" w:eastAsia="Arial" w:hAnsi="Arial"/>
                <w:sz w:val="18"/>
                <w:szCs w:val="18"/>
                <w:color w:val="auto"/>
              </w:rPr>
              <w:t>Investments in unconsolidated subsidiaries</w:t>
            </w:r>
          </w:p>
        </w:tc>
        <w:tc>
          <w:tcPr>
            <w:tcW w:w="240" w:type="dxa"/>
            <w:vAlign w:val="bottom"/>
          </w:tcPr>
          <w:p>
            <w:pPr>
              <w:spacing w:after="0"/>
              <w:rPr>
                <w:sz w:val="20"/>
                <w:szCs w:val="20"/>
                <w:color w:val="auto"/>
              </w:rPr>
            </w:pPr>
          </w:p>
        </w:tc>
        <w:tc>
          <w:tcPr>
            <w:tcW w:w="820" w:type="dxa"/>
            <w:vAlign w:val="bottom"/>
          </w:tcPr>
          <w:p>
            <w:pPr>
              <w:jc w:val="right"/>
              <w:ind w:right="150"/>
              <w:spacing w:after="0"/>
              <w:rPr>
                <w:sz w:val="20"/>
                <w:szCs w:val="20"/>
                <w:color w:val="auto"/>
              </w:rPr>
            </w:pPr>
            <w:r>
              <w:rPr>
                <w:rFonts w:ascii="Arial" w:cs="Arial" w:eastAsia="Arial" w:hAnsi="Arial"/>
                <w:sz w:val="18"/>
                <w:szCs w:val="18"/>
                <w:color w:val="auto"/>
              </w:rPr>
              <w:t>1,074</w:t>
            </w:r>
          </w:p>
        </w:tc>
        <w:tc>
          <w:tcPr>
            <w:tcW w:w="600" w:type="dxa"/>
            <w:vAlign w:val="bottom"/>
          </w:tcPr>
          <w:p>
            <w:pPr>
              <w:spacing w:after="0"/>
              <w:rPr>
                <w:sz w:val="20"/>
                <w:szCs w:val="20"/>
                <w:color w:val="auto"/>
              </w:rPr>
            </w:pPr>
          </w:p>
        </w:tc>
        <w:tc>
          <w:tcPr>
            <w:tcW w:w="640" w:type="dxa"/>
            <w:vAlign w:val="bottom"/>
          </w:tcPr>
          <w:p>
            <w:pPr>
              <w:jc w:val="right"/>
              <w:ind w:right="130"/>
              <w:spacing w:after="0"/>
              <w:rPr>
                <w:sz w:val="20"/>
                <w:szCs w:val="20"/>
                <w:color w:val="auto"/>
              </w:rPr>
            </w:pPr>
            <w:r>
              <w:rPr>
                <w:rFonts w:ascii="Arial" w:cs="Arial" w:eastAsia="Arial" w:hAnsi="Arial"/>
                <w:sz w:val="18"/>
                <w:szCs w:val="18"/>
                <w:color w:val="auto"/>
              </w:rPr>
              <w:t>912</w:t>
            </w:r>
          </w:p>
        </w:tc>
      </w:tr>
      <w:tr>
        <w:trPr>
          <w:trHeight w:val="249"/>
        </w:trPr>
        <w:tc>
          <w:tcPr>
            <w:tcW w:w="6420" w:type="dxa"/>
            <w:vAlign w:val="bottom"/>
          </w:tcPr>
          <w:p>
            <w:pPr>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229</w:t>
            </w:r>
          </w:p>
        </w:tc>
        <w:tc>
          <w:tcPr>
            <w:tcW w:w="6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174</w:t>
            </w:r>
          </w:p>
        </w:tc>
      </w:tr>
      <w:tr>
        <w:trPr>
          <w:trHeight w:val="230"/>
        </w:trPr>
        <w:tc>
          <w:tcPr>
            <w:tcW w:w="6420" w:type="dxa"/>
            <w:vAlign w:val="bottom"/>
          </w:tcPr>
          <w:p>
            <w:pPr>
              <w:spacing w:after="0"/>
              <w:rPr>
                <w:sz w:val="20"/>
                <w:szCs w:val="20"/>
                <w:color w:val="auto"/>
              </w:rPr>
            </w:pPr>
            <w:r>
              <w:rPr>
                <w:rFonts w:ascii="Arial" w:cs="Arial" w:eastAsia="Arial" w:hAnsi="Arial"/>
                <w:sz w:val="18"/>
                <w:szCs w:val="18"/>
                <w:color w:val="auto"/>
              </w:rPr>
              <w:t>Total investments**</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50"/>
              <w:spacing w:after="0"/>
              <w:rPr>
                <w:sz w:val="20"/>
                <w:szCs w:val="20"/>
                <w:color w:val="auto"/>
              </w:rPr>
            </w:pPr>
            <w:r>
              <w:rPr>
                <w:rFonts w:ascii="Arial" w:cs="Arial" w:eastAsia="Arial" w:hAnsi="Arial"/>
                <w:sz w:val="18"/>
                <w:szCs w:val="18"/>
                <w:color w:val="auto"/>
              </w:rPr>
              <w:t>1,303</w:t>
            </w:r>
          </w:p>
        </w:tc>
        <w:tc>
          <w:tcPr>
            <w:tcW w:w="6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30"/>
              <w:spacing w:after="0"/>
              <w:rPr>
                <w:sz w:val="20"/>
                <w:szCs w:val="20"/>
                <w:color w:val="auto"/>
              </w:rPr>
            </w:pPr>
            <w:r>
              <w:rPr>
                <w:rFonts w:ascii="Arial" w:cs="Arial" w:eastAsia="Arial" w:hAnsi="Arial"/>
                <w:sz w:val="18"/>
                <w:szCs w:val="18"/>
                <w:color w:val="auto"/>
                <w:w w:val="88"/>
              </w:rPr>
              <w:t>1,086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862965</wp:posOffset>
            </wp:positionH>
            <wp:positionV relativeFrom="paragraph">
              <wp:posOffset>8255</wp:posOffset>
            </wp:positionV>
            <wp:extent cx="553974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539740" cy="26035"/>
                    </a:xfrm>
                    <a:prstGeom prst="rect">
                      <a:avLst/>
                    </a:prstGeom>
                    <a:noFill/>
                  </pic:spPr>
                </pic:pic>
              </a:graphicData>
            </a:graphic>
          </wp:anchor>
        </w:drawing>
      </w:r>
    </w:p>
    <w:p>
      <w:pPr>
        <w:spacing w:after="0" w:line="32" w:lineRule="exact"/>
        <w:rPr>
          <w:sz w:val="20"/>
          <w:szCs w:val="20"/>
          <w:color w:val="auto"/>
        </w:rPr>
      </w:pPr>
    </w:p>
    <w:p>
      <w:pPr>
        <w:ind w:left="1800" w:right="1420" w:hanging="119"/>
        <w:spacing w:after="0" w:line="266" w:lineRule="auto"/>
        <w:tabs>
          <w:tab w:leader="none" w:pos="18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Other includes Sempra Pipelines &amp; Storage’s $128 million investment in bonds as discussed in "Unsecured Long-Term Debt" in Note 6.</w:t>
      </w:r>
    </w:p>
    <w:p>
      <w:pPr>
        <w:ind w:left="1800" w:hanging="210"/>
        <w:spacing w:after="0"/>
        <w:tabs>
          <w:tab w:leader="none" w:pos="1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Includes $60 million in Other Current Assets on the Consolidated Balance Sheets at December 31, 2007.</w:t>
      </w:r>
    </w:p>
    <w:p>
      <w:pPr>
        <w:spacing w:after="0" w:line="306"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5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Earnings for the</w:t>
            </w: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7"/>
        </w:trPr>
        <w:tc>
          <w:tcPr>
            <w:tcW w:w="55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89"/>
              </w:rPr>
              <w:t>years ended December 31,</w:t>
            </w:r>
          </w:p>
        </w:tc>
        <w:tc>
          <w:tcPr>
            <w:tcW w:w="820" w:type="dxa"/>
            <w:vAlign w:val="bottom"/>
            <w:tcBorders>
              <w:bottom w:val="single" w:sz="8" w:color="auto"/>
            </w:tcBorders>
          </w:tcPr>
          <w:p>
            <w:pPr>
              <w:spacing w:after="0"/>
              <w:rPr>
                <w:sz w:val="20"/>
                <w:szCs w:val="20"/>
                <w:color w:val="auto"/>
              </w:rPr>
            </w:pPr>
          </w:p>
        </w:tc>
      </w:tr>
      <w:tr>
        <w:trPr>
          <w:trHeight w:val="237"/>
        </w:trPr>
        <w:tc>
          <w:tcPr>
            <w:tcW w:w="5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(Dollars in millions)</w:t>
            </w:r>
          </w:p>
        </w:tc>
        <w:tc>
          <w:tcPr>
            <w:tcW w:w="2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4"/>
              </w:rPr>
              <w:t>2007</w:t>
            </w:r>
          </w:p>
        </w:tc>
        <w:tc>
          <w:tcPr>
            <w:tcW w:w="6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w w:val="94"/>
              </w:rPr>
              <w:t>2006</w:t>
            </w: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2005</w:t>
            </w:r>
          </w:p>
        </w:tc>
      </w:tr>
      <w:tr>
        <w:trPr>
          <w:trHeight w:val="230"/>
        </w:trPr>
        <w:tc>
          <w:tcPr>
            <w:tcW w:w="5560" w:type="dxa"/>
            <w:vAlign w:val="bottom"/>
          </w:tcPr>
          <w:p>
            <w:pPr>
              <w:spacing w:after="0"/>
              <w:rPr>
                <w:sz w:val="20"/>
                <w:szCs w:val="20"/>
                <w:color w:val="auto"/>
              </w:rPr>
            </w:pPr>
            <w:r>
              <w:rPr>
                <w:rFonts w:ascii="Arial" w:cs="Arial" w:eastAsia="Arial" w:hAnsi="Arial"/>
                <w:sz w:val="18"/>
                <w:szCs w:val="18"/>
                <w:color w:val="auto"/>
              </w:rPr>
              <w:t>Equity method investments:</w:t>
            </w: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42"/>
        </w:trPr>
        <w:tc>
          <w:tcPr>
            <w:tcW w:w="5560" w:type="dxa"/>
            <w:vAlign w:val="bottom"/>
          </w:tcPr>
          <w:p>
            <w:pPr>
              <w:ind w:left="180"/>
              <w:spacing w:after="0"/>
              <w:rPr>
                <w:sz w:val="20"/>
                <w:szCs w:val="20"/>
                <w:color w:val="auto"/>
              </w:rPr>
            </w:pPr>
            <w:r>
              <w:rPr>
                <w:rFonts w:ascii="Arial" w:cs="Arial" w:eastAsia="Arial" w:hAnsi="Arial"/>
                <w:sz w:val="18"/>
                <w:szCs w:val="18"/>
                <w:color w:val="auto"/>
              </w:rPr>
              <w:t>Earnings recorded before tax included in other income:</w:t>
            </w:r>
          </w:p>
        </w:tc>
        <w:tc>
          <w:tcPr>
            <w:tcW w:w="2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43"/>
        </w:trPr>
        <w:tc>
          <w:tcPr>
            <w:tcW w:w="5560" w:type="dxa"/>
            <w:vAlign w:val="bottom"/>
          </w:tcPr>
          <w:p>
            <w:pPr>
              <w:ind w:left="360"/>
              <w:spacing w:after="0"/>
              <w:rPr>
                <w:sz w:val="20"/>
                <w:szCs w:val="20"/>
                <w:color w:val="auto"/>
              </w:rPr>
            </w:pPr>
            <w:r>
              <w:rPr>
                <w:rFonts w:ascii="Arial" w:cs="Arial" w:eastAsia="Arial" w:hAnsi="Arial"/>
                <w:sz w:val="18"/>
                <w:szCs w:val="18"/>
                <w:color w:val="auto"/>
              </w:rPr>
              <w:t>Elk Hills Power</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50"/>
              <w:spacing w:after="0"/>
              <w:rPr>
                <w:sz w:val="20"/>
                <w:szCs w:val="20"/>
                <w:color w:val="auto"/>
              </w:rPr>
            </w:pPr>
            <w:r>
              <w:rPr>
                <w:rFonts w:ascii="Arial" w:cs="Arial" w:eastAsia="Arial" w:hAnsi="Arial"/>
                <w:sz w:val="18"/>
                <w:szCs w:val="18"/>
                <w:color w:val="auto"/>
              </w:rPr>
              <w:t>9</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450"/>
              <w:spacing w:after="0"/>
              <w:rPr>
                <w:sz w:val="20"/>
                <w:szCs w:val="20"/>
                <w:color w:val="auto"/>
              </w:rPr>
            </w:pPr>
            <w:r>
              <w:rPr>
                <w:rFonts w:ascii="Arial" w:cs="Arial" w:eastAsia="Arial" w:hAnsi="Arial"/>
                <w:sz w:val="18"/>
                <w:szCs w:val="18"/>
                <w:color w:val="auto"/>
              </w:rPr>
              <w:t>1</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50"/>
              <w:spacing w:after="0"/>
              <w:rPr>
                <w:sz w:val="20"/>
                <w:szCs w:val="20"/>
                <w:color w:val="auto"/>
              </w:rPr>
            </w:pPr>
            <w:r>
              <w:rPr>
                <w:rFonts w:ascii="Arial" w:cs="Arial" w:eastAsia="Arial" w:hAnsi="Arial"/>
                <w:sz w:val="18"/>
                <w:szCs w:val="18"/>
                <w:color w:val="auto"/>
              </w:rPr>
              <w:t>3</w:t>
            </w:r>
          </w:p>
        </w:tc>
      </w:tr>
      <w:tr>
        <w:trPr>
          <w:trHeight w:val="243"/>
        </w:trPr>
        <w:tc>
          <w:tcPr>
            <w:tcW w:w="5560" w:type="dxa"/>
            <w:vAlign w:val="bottom"/>
          </w:tcPr>
          <w:p>
            <w:pPr>
              <w:ind w:left="360"/>
              <w:spacing w:after="0"/>
              <w:rPr>
                <w:sz w:val="20"/>
                <w:szCs w:val="20"/>
                <w:color w:val="auto"/>
              </w:rPr>
            </w:pPr>
            <w:r>
              <w:rPr>
                <w:rFonts w:ascii="Arial" w:cs="Arial" w:eastAsia="Arial" w:hAnsi="Arial"/>
                <w:sz w:val="18"/>
                <w:szCs w:val="18"/>
                <w:color w:val="auto"/>
              </w:rPr>
              <w:t>El Dorado Energy</w:t>
            </w:r>
          </w:p>
        </w:tc>
        <w:tc>
          <w:tcPr>
            <w:tcW w:w="220" w:type="dxa"/>
            <w:vAlign w:val="bottom"/>
          </w:tcPr>
          <w:p>
            <w:pPr>
              <w:spacing w:after="0"/>
              <w:rPr>
                <w:sz w:val="21"/>
                <w:szCs w:val="21"/>
                <w:color w:val="auto"/>
              </w:rPr>
            </w:pPr>
          </w:p>
        </w:tc>
        <w:tc>
          <w:tcPr>
            <w:tcW w:w="6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1"/>
                <w:szCs w:val="21"/>
                <w:color w:val="auto"/>
              </w:rPr>
            </w:pPr>
          </w:p>
        </w:tc>
        <w:tc>
          <w:tcPr>
            <w:tcW w:w="102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820" w:type="dxa"/>
            <w:vAlign w:val="bottom"/>
          </w:tcPr>
          <w:p>
            <w:pPr>
              <w:jc w:val="right"/>
              <w:ind w:right="270"/>
              <w:spacing w:after="0"/>
              <w:rPr>
                <w:sz w:val="20"/>
                <w:szCs w:val="20"/>
                <w:color w:val="auto"/>
              </w:rPr>
            </w:pPr>
            <w:r>
              <w:rPr>
                <w:rFonts w:ascii="Arial" w:cs="Arial" w:eastAsia="Arial" w:hAnsi="Arial"/>
                <w:sz w:val="18"/>
                <w:szCs w:val="18"/>
                <w:color w:val="auto"/>
              </w:rPr>
              <w:t>(6 )</w:t>
            </w:r>
          </w:p>
        </w:tc>
      </w:tr>
      <w:tr>
        <w:trPr>
          <w:trHeight w:val="243"/>
        </w:trPr>
        <w:tc>
          <w:tcPr>
            <w:tcW w:w="5560" w:type="dxa"/>
            <w:vAlign w:val="bottom"/>
          </w:tcPr>
          <w:p>
            <w:pPr>
              <w:ind w:left="360"/>
              <w:spacing w:after="0"/>
              <w:rPr>
                <w:sz w:val="20"/>
                <w:szCs w:val="20"/>
                <w:color w:val="auto"/>
              </w:rPr>
            </w:pPr>
            <w:r>
              <w:rPr>
                <w:rFonts w:ascii="Arial" w:cs="Arial" w:eastAsia="Arial" w:hAnsi="Arial"/>
                <w:sz w:val="18"/>
                <w:szCs w:val="18"/>
                <w:color w:val="auto"/>
              </w:rPr>
              <w:t>Topaz Power Partners:</w:t>
            </w:r>
          </w:p>
        </w:tc>
        <w:tc>
          <w:tcPr>
            <w:tcW w:w="2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43"/>
        </w:trPr>
        <w:tc>
          <w:tcPr>
            <w:tcW w:w="5560" w:type="dxa"/>
            <w:vAlign w:val="bottom"/>
          </w:tcPr>
          <w:p>
            <w:pPr>
              <w:ind w:left="720"/>
              <w:spacing w:after="0"/>
              <w:rPr>
                <w:sz w:val="20"/>
                <w:szCs w:val="20"/>
                <w:color w:val="auto"/>
              </w:rPr>
            </w:pPr>
            <w:r>
              <w:rPr>
                <w:rFonts w:ascii="Arial" w:cs="Arial" w:eastAsia="Arial" w:hAnsi="Arial"/>
                <w:sz w:val="18"/>
                <w:szCs w:val="18"/>
                <w:color w:val="auto"/>
              </w:rPr>
              <w:t>Earnings from operations</w:t>
            </w:r>
          </w:p>
        </w:tc>
        <w:tc>
          <w:tcPr>
            <w:tcW w:w="220" w:type="dxa"/>
            <w:vAlign w:val="bottom"/>
          </w:tcPr>
          <w:p>
            <w:pPr>
              <w:spacing w:after="0"/>
              <w:rPr>
                <w:sz w:val="21"/>
                <w:szCs w:val="21"/>
                <w:color w:val="auto"/>
              </w:rPr>
            </w:pPr>
          </w:p>
        </w:tc>
        <w:tc>
          <w:tcPr>
            <w:tcW w:w="6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1"/>
                <w:szCs w:val="21"/>
                <w:color w:val="auto"/>
              </w:rPr>
            </w:pPr>
          </w:p>
        </w:tc>
        <w:tc>
          <w:tcPr>
            <w:tcW w:w="1020" w:type="dxa"/>
            <w:vAlign w:val="bottom"/>
          </w:tcPr>
          <w:p>
            <w:pPr>
              <w:jc w:val="right"/>
              <w:ind w:right="450"/>
              <w:spacing w:after="0"/>
              <w:rPr>
                <w:sz w:val="20"/>
                <w:szCs w:val="20"/>
                <w:color w:val="auto"/>
              </w:rPr>
            </w:pPr>
            <w:r>
              <w:rPr>
                <w:rFonts w:ascii="Arial" w:cs="Arial" w:eastAsia="Arial" w:hAnsi="Arial"/>
                <w:sz w:val="18"/>
                <w:szCs w:val="18"/>
                <w:color w:val="auto"/>
              </w:rPr>
              <w:t>9</w:t>
            </w:r>
          </w:p>
        </w:tc>
        <w:tc>
          <w:tcPr>
            <w:tcW w:w="360" w:type="dxa"/>
            <w:vAlign w:val="bottom"/>
          </w:tcPr>
          <w:p>
            <w:pPr>
              <w:spacing w:after="0"/>
              <w:rPr>
                <w:sz w:val="21"/>
                <w:szCs w:val="21"/>
                <w:color w:val="auto"/>
              </w:rPr>
            </w:pPr>
          </w:p>
        </w:tc>
        <w:tc>
          <w:tcPr>
            <w:tcW w:w="820" w:type="dxa"/>
            <w:vAlign w:val="bottom"/>
          </w:tcPr>
          <w:p>
            <w:pPr>
              <w:jc w:val="right"/>
              <w:ind w:right="350"/>
              <w:spacing w:after="0"/>
              <w:rPr>
                <w:sz w:val="20"/>
                <w:szCs w:val="20"/>
                <w:color w:val="auto"/>
              </w:rPr>
            </w:pPr>
            <w:r>
              <w:rPr>
                <w:rFonts w:ascii="Arial" w:cs="Arial" w:eastAsia="Arial" w:hAnsi="Arial"/>
                <w:sz w:val="18"/>
                <w:szCs w:val="18"/>
                <w:color w:val="auto"/>
              </w:rPr>
              <w:t>28</w:t>
            </w:r>
          </w:p>
        </w:tc>
      </w:tr>
      <w:tr>
        <w:trPr>
          <w:trHeight w:val="243"/>
        </w:trPr>
        <w:tc>
          <w:tcPr>
            <w:tcW w:w="5560" w:type="dxa"/>
            <w:vAlign w:val="bottom"/>
          </w:tcPr>
          <w:p>
            <w:pPr>
              <w:ind w:left="720"/>
              <w:spacing w:after="0"/>
              <w:rPr>
                <w:sz w:val="20"/>
                <w:szCs w:val="20"/>
                <w:color w:val="auto"/>
              </w:rPr>
            </w:pPr>
            <w:r>
              <w:rPr>
                <w:rFonts w:ascii="Arial" w:cs="Arial" w:eastAsia="Arial" w:hAnsi="Arial"/>
                <w:sz w:val="18"/>
                <w:szCs w:val="18"/>
                <w:color w:val="auto"/>
              </w:rPr>
              <w:t>Gain on sale of power plants</w:t>
            </w:r>
          </w:p>
        </w:tc>
        <w:tc>
          <w:tcPr>
            <w:tcW w:w="220" w:type="dxa"/>
            <w:vAlign w:val="bottom"/>
          </w:tcPr>
          <w:p>
            <w:pPr>
              <w:spacing w:after="0"/>
              <w:rPr>
                <w:sz w:val="21"/>
                <w:szCs w:val="21"/>
                <w:color w:val="auto"/>
              </w:rPr>
            </w:pPr>
          </w:p>
        </w:tc>
        <w:tc>
          <w:tcPr>
            <w:tcW w:w="6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1"/>
                <w:szCs w:val="21"/>
                <w:color w:val="auto"/>
              </w:rPr>
            </w:pPr>
          </w:p>
        </w:tc>
        <w:tc>
          <w:tcPr>
            <w:tcW w:w="1020" w:type="dxa"/>
            <w:vAlign w:val="bottom"/>
          </w:tcPr>
          <w:p>
            <w:pPr>
              <w:jc w:val="right"/>
              <w:ind w:right="450"/>
              <w:spacing w:after="0"/>
              <w:rPr>
                <w:sz w:val="20"/>
                <w:szCs w:val="20"/>
                <w:color w:val="auto"/>
              </w:rPr>
            </w:pPr>
            <w:r>
              <w:rPr>
                <w:rFonts w:ascii="Arial" w:cs="Arial" w:eastAsia="Arial" w:hAnsi="Arial"/>
                <w:sz w:val="18"/>
                <w:szCs w:val="18"/>
                <w:color w:val="auto"/>
              </w:rPr>
              <w:t>344</w:t>
            </w:r>
          </w:p>
        </w:tc>
        <w:tc>
          <w:tcPr>
            <w:tcW w:w="360" w:type="dxa"/>
            <w:vAlign w:val="bottom"/>
          </w:tcPr>
          <w:p>
            <w:pPr>
              <w:spacing w:after="0"/>
              <w:rPr>
                <w:sz w:val="21"/>
                <w:szCs w:val="21"/>
                <w:color w:val="auto"/>
              </w:rPr>
            </w:pPr>
          </w:p>
        </w:tc>
        <w:tc>
          <w:tcPr>
            <w:tcW w:w="820" w:type="dxa"/>
            <w:vAlign w:val="bottom"/>
          </w:tcPr>
          <w:p>
            <w:pPr>
              <w:jc w:val="right"/>
              <w:ind w:right="350"/>
              <w:spacing w:after="0"/>
              <w:rPr>
                <w:sz w:val="20"/>
                <w:szCs w:val="20"/>
                <w:color w:val="auto"/>
              </w:rPr>
            </w:pPr>
            <w:r>
              <w:rPr>
                <w:rFonts w:ascii="Arial" w:cs="Arial" w:eastAsia="Arial" w:hAnsi="Arial"/>
                <w:sz w:val="18"/>
                <w:szCs w:val="18"/>
                <w:color w:val="auto"/>
              </w:rPr>
              <w:t>--</w:t>
            </w:r>
          </w:p>
        </w:tc>
      </w:tr>
      <w:tr>
        <w:trPr>
          <w:trHeight w:val="243"/>
        </w:trPr>
        <w:tc>
          <w:tcPr>
            <w:tcW w:w="5560" w:type="dxa"/>
            <w:vAlign w:val="bottom"/>
          </w:tcPr>
          <w:p>
            <w:pPr>
              <w:ind w:left="360"/>
              <w:spacing w:after="0"/>
              <w:rPr>
                <w:sz w:val="20"/>
                <w:szCs w:val="20"/>
                <w:color w:val="auto"/>
              </w:rPr>
            </w:pPr>
            <w:r>
              <w:rPr>
                <w:rFonts w:ascii="Arial" w:cs="Arial" w:eastAsia="Arial" w:hAnsi="Arial"/>
                <w:sz w:val="18"/>
                <w:szCs w:val="18"/>
                <w:color w:val="auto"/>
              </w:rPr>
              <w:t>Housing partnerships</w:t>
            </w:r>
          </w:p>
        </w:tc>
        <w:tc>
          <w:tcPr>
            <w:tcW w:w="2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(14 )</w:t>
            </w:r>
          </w:p>
        </w:tc>
        <w:tc>
          <w:tcPr>
            <w:tcW w:w="620" w:type="dxa"/>
            <w:vAlign w:val="bottom"/>
          </w:tcPr>
          <w:p>
            <w:pPr>
              <w:spacing w:after="0"/>
              <w:rPr>
                <w:sz w:val="21"/>
                <w:szCs w:val="21"/>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color w:val="auto"/>
              </w:rPr>
              <w:t>(17 )</w:t>
            </w:r>
          </w:p>
        </w:tc>
        <w:tc>
          <w:tcPr>
            <w:tcW w:w="360" w:type="dxa"/>
            <w:vAlign w:val="bottom"/>
          </w:tcPr>
          <w:p>
            <w:pPr>
              <w:spacing w:after="0"/>
              <w:rPr>
                <w:sz w:val="21"/>
                <w:szCs w:val="21"/>
                <w:color w:val="auto"/>
              </w:rPr>
            </w:pPr>
          </w:p>
        </w:tc>
        <w:tc>
          <w:tcPr>
            <w:tcW w:w="820" w:type="dxa"/>
            <w:vAlign w:val="bottom"/>
          </w:tcPr>
          <w:p>
            <w:pPr>
              <w:jc w:val="right"/>
              <w:ind w:right="270"/>
              <w:spacing w:after="0"/>
              <w:rPr>
                <w:sz w:val="20"/>
                <w:szCs w:val="20"/>
                <w:color w:val="auto"/>
              </w:rPr>
            </w:pPr>
            <w:r>
              <w:rPr>
                <w:rFonts w:ascii="Arial" w:cs="Arial" w:eastAsia="Arial" w:hAnsi="Arial"/>
                <w:sz w:val="18"/>
                <w:szCs w:val="18"/>
                <w:color w:val="auto"/>
              </w:rPr>
              <w:t>(17 )</w:t>
            </w:r>
          </w:p>
        </w:tc>
      </w:tr>
      <w:tr>
        <w:trPr>
          <w:trHeight w:val="243"/>
        </w:trPr>
        <w:tc>
          <w:tcPr>
            <w:tcW w:w="5560" w:type="dxa"/>
            <w:vAlign w:val="bottom"/>
          </w:tcPr>
          <w:p>
            <w:pPr>
              <w:ind w:left="360"/>
              <w:spacing w:after="0"/>
              <w:rPr>
                <w:sz w:val="20"/>
                <w:szCs w:val="20"/>
                <w:color w:val="auto"/>
              </w:rPr>
            </w:pPr>
            <w:r>
              <w:rPr>
                <w:rFonts w:ascii="Arial" w:cs="Arial" w:eastAsia="Arial" w:hAnsi="Arial"/>
                <w:sz w:val="18"/>
                <w:szCs w:val="18"/>
                <w:color w:val="auto"/>
              </w:rPr>
              <w:t>Sempra Financial synthetic fuels partnerships</w:t>
            </w:r>
          </w:p>
        </w:tc>
        <w:tc>
          <w:tcPr>
            <w:tcW w:w="220" w:type="dxa"/>
            <w:vAlign w:val="bottom"/>
          </w:tcPr>
          <w:p>
            <w:pPr>
              <w:spacing w:after="0"/>
              <w:rPr>
                <w:sz w:val="21"/>
                <w:szCs w:val="21"/>
                <w:color w:val="auto"/>
              </w:rPr>
            </w:pPr>
          </w:p>
        </w:tc>
        <w:tc>
          <w:tcPr>
            <w:tcW w:w="6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1"/>
                <w:szCs w:val="21"/>
                <w:color w:val="auto"/>
              </w:rPr>
            </w:pPr>
          </w:p>
        </w:tc>
        <w:tc>
          <w:tcPr>
            <w:tcW w:w="102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820" w:type="dxa"/>
            <w:vAlign w:val="bottom"/>
          </w:tcPr>
          <w:p>
            <w:pPr>
              <w:jc w:val="right"/>
              <w:ind w:right="350"/>
              <w:spacing w:after="0"/>
              <w:rPr>
                <w:sz w:val="20"/>
                <w:szCs w:val="20"/>
                <w:color w:val="auto"/>
              </w:rPr>
            </w:pPr>
            <w:r>
              <w:rPr>
                <w:rFonts w:ascii="Arial" w:cs="Arial" w:eastAsia="Arial" w:hAnsi="Arial"/>
                <w:sz w:val="18"/>
                <w:szCs w:val="18"/>
                <w:color w:val="auto"/>
              </w:rPr>
              <w:t>3</w:t>
            </w:r>
          </w:p>
        </w:tc>
      </w:tr>
      <w:tr>
        <w:trPr>
          <w:trHeight w:val="257"/>
        </w:trPr>
        <w:tc>
          <w:tcPr>
            <w:tcW w:w="5560" w:type="dxa"/>
            <w:vAlign w:val="bottom"/>
          </w:tcPr>
          <w:p>
            <w:pPr>
              <w:ind w:left="360"/>
              <w:spacing w:after="0"/>
              <w:rPr>
                <w:sz w:val="20"/>
                <w:szCs w:val="20"/>
                <w:color w:val="auto"/>
              </w:rPr>
            </w:pPr>
            <w:r>
              <w:rPr>
                <w:rFonts w:ascii="Arial" w:cs="Arial" w:eastAsia="Arial" w:hAnsi="Arial"/>
                <w:sz w:val="18"/>
                <w:szCs w:val="18"/>
                <w:color w:val="auto"/>
              </w:rPr>
              <w:t>Rockies Express</w:t>
            </w:r>
          </w:p>
        </w:tc>
        <w:tc>
          <w:tcPr>
            <w:tcW w:w="2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(4 )</w:t>
            </w:r>
          </w:p>
        </w:tc>
        <w:tc>
          <w:tcPr>
            <w:tcW w:w="6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1</w:t>
            </w:r>
          </w:p>
        </w:tc>
        <w:tc>
          <w:tcPr>
            <w:tcW w:w="3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r>
      <w:tr>
        <w:trPr>
          <w:trHeight w:val="257"/>
        </w:trPr>
        <w:tc>
          <w:tcPr>
            <w:tcW w:w="5560" w:type="dxa"/>
            <w:vAlign w:val="bottom"/>
          </w:tcPr>
          <w:p>
            <w:pPr>
              <w:ind w:left="540"/>
              <w:spacing w:after="0"/>
              <w:rPr>
                <w:sz w:val="20"/>
                <w:szCs w:val="20"/>
                <w:color w:val="auto"/>
              </w:rPr>
            </w:pPr>
            <w:r>
              <w:rPr>
                <w:rFonts w:ascii="Arial" w:cs="Arial" w:eastAsia="Arial" w:hAnsi="Arial"/>
                <w:sz w:val="18"/>
                <w:szCs w:val="18"/>
                <w:color w:val="auto"/>
              </w:rPr>
              <w:t>Total earnings recorded before tax</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(9 )</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338</w:t>
            </w:r>
          </w:p>
        </w:tc>
        <w:tc>
          <w:tcPr>
            <w:tcW w:w="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11</w:t>
            </w:r>
          </w:p>
        </w:tc>
      </w:tr>
      <w:tr>
        <w:trPr>
          <w:trHeight w:val="230"/>
        </w:trPr>
        <w:tc>
          <w:tcPr>
            <w:tcW w:w="5560" w:type="dxa"/>
            <w:vAlign w:val="bottom"/>
          </w:tcPr>
          <w:p>
            <w:pPr>
              <w:ind w:left="180"/>
              <w:spacing w:after="0"/>
              <w:rPr>
                <w:sz w:val="20"/>
                <w:szCs w:val="20"/>
                <w:color w:val="auto"/>
              </w:rPr>
            </w:pPr>
            <w:r>
              <w:rPr>
                <w:rFonts w:ascii="Arial" w:cs="Arial" w:eastAsia="Arial" w:hAnsi="Arial"/>
                <w:sz w:val="18"/>
                <w:szCs w:val="18"/>
                <w:color w:val="auto"/>
              </w:rPr>
              <w:t>Earnings recorded net of tax:</w:t>
            </w: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43"/>
        </w:trPr>
        <w:tc>
          <w:tcPr>
            <w:tcW w:w="5560" w:type="dxa"/>
            <w:vAlign w:val="bottom"/>
          </w:tcPr>
          <w:p>
            <w:pPr>
              <w:ind w:left="360"/>
              <w:spacing w:after="0"/>
              <w:rPr>
                <w:sz w:val="20"/>
                <w:szCs w:val="20"/>
                <w:color w:val="auto"/>
              </w:rPr>
            </w:pPr>
            <w:r>
              <w:rPr>
                <w:rFonts w:ascii="Arial" w:cs="Arial" w:eastAsia="Arial" w:hAnsi="Arial"/>
                <w:sz w:val="18"/>
                <w:szCs w:val="18"/>
                <w:color w:val="auto"/>
              </w:rPr>
              <w:t>Chilquinta Energía</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50"/>
              <w:spacing w:after="0"/>
              <w:rPr>
                <w:sz w:val="20"/>
                <w:szCs w:val="20"/>
                <w:color w:val="auto"/>
              </w:rPr>
            </w:pPr>
            <w:r>
              <w:rPr>
                <w:rFonts w:ascii="Arial" w:cs="Arial" w:eastAsia="Arial" w:hAnsi="Arial"/>
                <w:sz w:val="18"/>
                <w:szCs w:val="18"/>
                <w:color w:val="auto"/>
              </w:rPr>
              <w:t>28</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450"/>
              <w:spacing w:after="0"/>
              <w:rPr>
                <w:sz w:val="20"/>
                <w:szCs w:val="20"/>
                <w:color w:val="auto"/>
              </w:rPr>
            </w:pPr>
            <w:r>
              <w:rPr>
                <w:rFonts w:ascii="Arial" w:cs="Arial" w:eastAsia="Arial" w:hAnsi="Arial"/>
                <w:sz w:val="18"/>
                <w:szCs w:val="18"/>
                <w:color w:val="auto"/>
              </w:rPr>
              <w:t>25</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50"/>
              <w:spacing w:after="0"/>
              <w:rPr>
                <w:sz w:val="20"/>
                <w:szCs w:val="20"/>
                <w:color w:val="auto"/>
              </w:rPr>
            </w:pPr>
            <w:r>
              <w:rPr>
                <w:rFonts w:ascii="Arial" w:cs="Arial" w:eastAsia="Arial" w:hAnsi="Arial"/>
                <w:sz w:val="18"/>
                <w:szCs w:val="18"/>
                <w:color w:val="auto"/>
              </w:rPr>
              <w:t>25</w:t>
            </w:r>
          </w:p>
        </w:tc>
      </w:tr>
      <w:tr>
        <w:trPr>
          <w:trHeight w:val="243"/>
        </w:trPr>
        <w:tc>
          <w:tcPr>
            <w:tcW w:w="5560" w:type="dxa"/>
            <w:vAlign w:val="bottom"/>
          </w:tcPr>
          <w:p>
            <w:pPr>
              <w:ind w:left="360"/>
              <w:spacing w:after="0"/>
              <w:rPr>
                <w:sz w:val="20"/>
                <w:szCs w:val="20"/>
                <w:color w:val="auto"/>
              </w:rPr>
            </w:pPr>
            <w:r>
              <w:rPr>
                <w:rFonts w:ascii="Arial" w:cs="Arial" w:eastAsia="Arial" w:hAnsi="Arial"/>
                <w:sz w:val="18"/>
                <w:szCs w:val="18"/>
                <w:color w:val="auto"/>
              </w:rPr>
              <w:t>Luz del Sur</w:t>
            </w:r>
          </w:p>
        </w:tc>
        <w:tc>
          <w:tcPr>
            <w:tcW w:w="220" w:type="dxa"/>
            <w:vAlign w:val="bottom"/>
          </w:tcPr>
          <w:p>
            <w:pPr>
              <w:spacing w:after="0"/>
              <w:rPr>
                <w:sz w:val="21"/>
                <w:szCs w:val="21"/>
                <w:color w:val="auto"/>
              </w:rPr>
            </w:pPr>
          </w:p>
        </w:tc>
        <w:tc>
          <w:tcPr>
            <w:tcW w:w="600" w:type="dxa"/>
            <w:vAlign w:val="bottom"/>
          </w:tcPr>
          <w:p>
            <w:pPr>
              <w:jc w:val="right"/>
              <w:ind w:right="50"/>
              <w:spacing w:after="0"/>
              <w:rPr>
                <w:sz w:val="20"/>
                <w:szCs w:val="20"/>
                <w:color w:val="auto"/>
              </w:rPr>
            </w:pPr>
            <w:r>
              <w:rPr>
                <w:rFonts w:ascii="Arial" w:cs="Arial" w:eastAsia="Arial" w:hAnsi="Arial"/>
                <w:sz w:val="18"/>
                <w:szCs w:val="18"/>
                <w:color w:val="auto"/>
              </w:rPr>
              <w:t>27</w:t>
            </w:r>
          </w:p>
        </w:tc>
        <w:tc>
          <w:tcPr>
            <w:tcW w:w="620" w:type="dxa"/>
            <w:vAlign w:val="bottom"/>
          </w:tcPr>
          <w:p>
            <w:pPr>
              <w:spacing w:after="0"/>
              <w:rPr>
                <w:sz w:val="21"/>
                <w:szCs w:val="21"/>
                <w:color w:val="auto"/>
              </w:rPr>
            </w:pPr>
          </w:p>
        </w:tc>
        <w:tc>
          <w:tcPr>
            <w:tcW w:w="1020" w:type="dxa"/>
            <w:vAlign w:val="bottom"/>
          </w:tcPr>
          <w:p>
            <w:pPr>
              <w:jc w:val="right"/>
              <w:ind w:right="450"/>
              <w:spacing w:after="0"/>
              <w:rPr>
                <w:sz w:val="20"/>
                <w:szCs w:val="20"/>
                <w:color w:val="auto"/>
              </w:rPr>
            </w:pPr>
            <w:r>
              <w:rPr>
                <w:rFonts w:ascii="Arial" w:cs="Arial" w:eastAsia="Arial" w:hAnsi="Arial"/>
                <w:sz w:val="18"/>
                <w:szCs w:val="18"/>
                <w:color w:val="auto"/>
              </w:rPr>
              <w:t>24</w:t>
            </w:r>
          </w:p>
        </w:tc>
        <w:tc>
          <w:tcPr>
            <w:tcW w:w="360" w:type="dxa"/>
            <w:vAlign w:val="bottom"/>
          </w:tcPr>
          <w:p>
            <w:pPr>
              <w:spacing w:after="0"/>
              <w:rPr>
                <w:sz w:val="21"/>
                <w:szCs w:val="21"/>
                <w:color w:val="auto"/>
              </w:rPr>
            </w:pPr>
          </w:p>
        </w:tc>
        <w:tc>
          <w:tcPr>
            <w:tcW w:w="820" w:type="dxa"/>
            <w:vAlign w:val="bottom"/>
          </w:tcPr>
          <w:p>
            <w:pPr>
              <w:jc w:val="right"/>
              <w:ind w:right="350"/>
              <w:spacing w:after="0"/>
              <w:rPr>
                <w:sz w:val="20"/>
                <w:szCs w:val="20"/>
                <w:color w:val="auto"/>
              </w:rPr>
            </w:pPr>
            <w:r>
              <w:rPr>
                <w:rFonts w:ascii="Arial" w:cs="Arial" w:eastAsia="Arial" w:hAnsi="Arial"/>
                <w:sz w:val="18"/>
                <w:szCs w:val="18"/>
                <w:color w:val="auto"/>
              </w:rPr>
              <w:t>21</w:t>
            </w:r>
          </w:p>
        </w:tc>
      </w:tr>
      <w:tr>
        <w:trPr>
          <w:trHeight w:val="243"/>
        </w:trPr>
        <w:tc>
          <w:tcPr>
            <w:tcW w:w="5560" w:type="dxa"/>
            <w:vAlign w:val="bottom"/>
          </w:tcPr>
          <w:p>
            <w:pPr>
              <w:ind w:left="360"/>
              <w:spacing w:after="0"/>
              <w:rPr>
                <w:sz w:val="20"/>
                <w:szCs w:val="20"/>
                <w:color w:val="auto"/>
              </w:rPr>
            </w:pPr>
            <w:r>
              <w:rPr>
                <w:rFonts w:ascii="Arial" w:cs="Arial" w:eastAsia="Arial" w:hAnsi="Arial"/>
                <w:sz w:val="18"/>
                <w:szCs w:val="18"/>
                <w:color w:val="auto"/>
              </w:rPr>
              <w:t>Sodigas Pampeana and Sodigas Sur:</w:t>
            </w:r>
          </w:p>
        </w:tc>
        <w:tc>
          <w:tcPr>
            <w:tcW w:w="2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43"/>
        </w:trPr>
        <w:tc>
          <w:tcPr>
            <w:tcW w:w="5560" w:type="dxa"/>
            <w:vAlign w:val="bottom"/>
          </w:tcPr>
          <w:p>
            <w:pPr>
              <w:ind w:left="720"/>
              <w:spacing w:after="0"/>
              <w:rPr>
                <w:sz w:val="20"/>
                <w:szCs w:val="20"/>
                <w:color w:val="auto"/>
              </w:rPr>
            </w:pPr>
            <w:r>
              <w:rPr>
                <w:rFonts w:ascii="Arial" w:cs="Arial" w:eastAsia="Arial" w:hAnsi="Arial"/>
                <w:sz w:val="18"/>
                <w:szCs w:val="18"/>
                <w:color w:val="auto"/>
              </w:rPr>
              <w:t>Earnings from operations</w:t>
            </w:r>
          </w:p>
        </w:tc>
        <w:tc>
          <w:tcPr>
            <w:tcW w:w="220" w:type="dxa"/>
            <w:vAlign w:val="bottom"/>
          </w:tcPr>
          <w:p>
            <w:pPr>
              <w:spacing w:after="0"/>
              <w:rPr>
                <w:sz w:val="21"/>
                <w:szCs w:val="21"/>
                <w:color w:val="auto"/>
              </w:rPr>
            </w:pPr>
          </w:p>
        </w:tc>
        <w:tc>
          <w:tcPr>
            <w:tcW w:w="600" w:type="dxa"/>
            <w:vAlign w:val="bottom"/>
          </w:tcPr>
          <w:p>
            <w:pPr>
              <w:jc w:val="right"/>
              <w:ind w:right="50"/>
              <w:spacing w:after="0"/>
              <w:rPr>
                <w:sz w:val="20"/>
                <w:szCs w:val="20"/>
                <w:color w:val="auto"/>
              </w:rPr>
            </w:pPr>
            <w:r>
              <w:rPr>
                <w:rFonts w:ascii="Arial" w:cs="Arial" w:eastAsia="Arial" w:hAnsi="Arial"/>
                <w:sz w:val="18"/>
                <w:szCs w:val="18"/>
                <w:color w:val="auto"/>
              </w:rPr>
              <w:t>4</w:t>
            </w:r>
          </w:p>
        </w:tc>
        <w:tc>
          <w:tcPr>
            <w:tcW w:w="620" w:type="dxa"/>
            <w:vAlign w:val="bottom"/>
          </w:tcPr>
          <w:p>
            <w:pPr>
              <w:spacing w:after="0"/>
              <w:rPr>
                <w:sz w:val="21"/>
                <w:szCs w:val="21"/>
                <w:color w:val="auto"/>
              </w:rPr>
            </w:pPr>
          </w:p>
        </w:tc>
        <w:tc>
          <w:tcPr>
            <w:tcW w:w="1020" w:type="dxa"/>
            <w:vAlign w:val="bottom"/>
          </w:tcPr>
          <w:p>
            <w:pPr>
              <w:jc w:val="right"/>
              <w:ind w:right="450"/>
              <w:spacing w:after="0"/>
              <w:rPr>
                <w:sz w:val="20"/>
                <w:szCs w:val="20"/>
                <w:color w:val="auto"/>
              </w:rPr>
            </w:pPr>
            <w:r>
              <w:rPr>
                <w:rFonts w:ascii="Arial" w:cs="Arial" w:eastAsia="Arial" w:hAnsi="Arial"/>
                <w:sz w:val="18"/>
                <w:szCs w:val="18"/>
                <w:color w:val="auto"/>
              </w:rPr>
              <w:t>6</w:t>
            </w:r>
          </w:p>
        </w:tc>
        <w:tc>
          <w:tcPr>
            <w:tcW w:w="360" w:type="dxa"/>
            <w:vAlign w:val="bottom"/>
          </w:tcPr>
          <w:p>
            <w:pPr>
              <w:spacing w:after="0"/>
              <w:rPr>
                <w:sz w:val="21"/>
                <w:szCs w:val="21"/>
                <w:color w:val="auto"/>
              </w:rPr>
            </w:pPr>
          </w:p>
        </w:tc>
        <w:tc>
          <w:tcPr>
            <w:tcW w:w="820" w:type="dxa"/>
            <w:vAlign w:val="bottom"/>
          </w:tcPr>
          <w:p>
            <w:pPr>
              <w:jc w:val="right"/>
              <w:ind w:right="350"/>
              <w:spacing w:after="0"/>
              <w:rPr>
                <w:sz w:val="20"/>
                <w:szCs w:val="20"/>
                <w:color w:val="auto"/>
              </w:rPr>
            </w:pPr>
            <w:r>
              <w:rPr>
                <w:rFonts w:ascii="Arial" w:cs="Arial" w:eastAsia="Arial" w:hAnsi="Arial"/>
                <w:sz w:val="18"/>
                <w:szCs w:val="18"/>
                <w:color w:val="auto"/>
              </w:rPr>
              <w:t>9</w:t>
            </w:r>
          </w:p>
        </w:tc>
      </w:tr>
      <w:tr>
        <w:trPr>
          <w:trHeight w:val="243"/>
        </w:trPr>
        <w:tc>
          <w:tcPr>
            <w:tcW w:w="5560" w:type="dxa"/>
            <w:vAlign w:val="bottom"/>
          </w:tcPr>
          <w:p>
            <w:pPr>
              <w:ind w:left="720"/>
              <w:spacing w:after="0"/>
              <w:rPr>
                <w:sz w:val="20"/>
                <w:szCs w:val="20"/>
                <w:color w:val="auto"/>
              </w:rPr>
            </w:pPr>
            <w:r>
              <w:rPr>
                <w:rFonts w:ascii="Arial" w:cs="Arial" w:eastAsia="Arial" w:hAnsi="Arial"/>
                <w:sz w:val="18"/>
                <w:szCs w:val="18"/>
                <w:color w:val="auto"/>
              </w:rPr>
              <w:t>Impairment loss, net of tax benefit of $86</w:t>
            </w:r>
          </w:p>
        </w:tc>
        <w:tc>
          <w:tcPr>
            <w:tcW w:w="220" w:type="dxa"/>
            <w:vAlign w:val="bottom"/>
          </w:tcPr>
          <w:p>
            <w:pPr>
              <w:spacing w:after="0"/>
              <w:rPr>
                <w:sz w:val="21"/>
                <w:szCs w:val="21"/>
                <w:color w:val="auto"/>
              </w:rPr>
            </w:pPr>
          </w:p>
        </w:tc>
        <w:tc>
          <w:tcPr>
            <w:tcW w:w="6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1"/>
                <w:szCs w:val="21"/>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color w:val="auto"/>
              </w:rPr>
              <w:t>(221 )</w:t>
            </w:r>
          </w:p>
        </w:tc>
        <w:tc>
          <w:tcPr>
            <w:tcW w:w="360" w:type="dxa"/>
            <w:vAlign w:val="bottom"/>
          </w:tcPr>
          <w:p>
            <w:pPr>
              <w:spacing w:after="0"/>
              <w:rPr>
                <w:sz w:val="21"/>
                <w:szCs w:val="21"/>
                <w:color w:val="auto"/>
              </w:rPr>
            </w:pPr>
          </w:p>
        </w:tc>
        <w:tc>
          <w:tcPr>
            <w:tcW w:w="820" w:type="dxa"/>
            <w:vAlign w:val="bottom"/>
          </w:tcPr>
          <w:p>
            <w:pPr>
              <w:jc w:val="right"/>
              <w:ind w:right="350"/>
              <w:spacing w:after="0"/>
              <w:rPr>
                <w:sz w:val="20"/>
                <w:szCs w:val="20"/>
                <w:color w:val="auto"/>
              </w:rPr>
            </w:pPr>
            <w:r>
              <w:rPr>
                <w:rFonts w:ascii="Arial" w:cs="Arial" w:eastAsia="Arial" w:hAnsi="Arial"/>
                <w:sz w:val="18"/>
                <w:szCs w:val="18"/>
                <w:color w:val="auto"/>
              </w:rPr>
              <w:t>--</w:t>
            </w:r>
          </w:p>
        </w:tc>
      </w:tr>
      <w:tr>
        <w:trPr>
          <w:trHeight w:val="243"/>
        </w:trPr>
        <w:tc>
          <w:tcPr>
            <w:tcW w:w="5560" w:type="dxa"/>
            <w:vAlign w:val="bottom"/>
          </w:tcPr>
          <w:p>
            <w:pPr>
              <w:ind w:left="360"/>
              <w:spacing w:after="0"/>
              <w:rPr>
                <w:sz w:val="20"/>
                <w:szCs w:val="20"/>
                <w:color w:val="auto"/>
              </w:rPr>
            </w:pPr>
            <w:r>
              <w:rPr>
                <w:rFonts w:ascii="Arial" w:cs="Arial" w:eastAsia="Arial" w:hAnsi="Arial"/>
                <w:sz w:val="18"/>
                <w:szCs w:val="18"/>
                <w:color w:val="auto"/>
              </w:rPr>
              <w:t>Sempra Commodities:</w:t>
            </w:r>
          </w:p>
        </w:tc>
        <w:tc>
          <w:tcPr>
            <w:tcW w:w="2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43"/>
        </w:trPr>
        <w:tc>
          <w:tcPr>
            <w:tcW w:w="5560" w:type="dxa"/>
            <w:vAlign w:val="bottom"/>
          </w:tcPr>
          <w:p>
            <w:pPr>
              <w:ind w:left="720"/>
              <w:spacing w:after="0"/>
              <w:rPr>
                <w:sz w:val="20"/>
                <w:szCs w:val="20"/>
                <w:color w:val="auto"/>
              </w:rPr>
            </w:pPr>
            <w:r>
              <w:rPr>
                <w:rFonts w:ascii="Arial" w:cs="Arial" w:eastAsia="Arial" w:hAnsi="Arial"/>
                <w:sz w:val="18"/>
                <w:szCs w:val="18"/>
                <w:color w:val="auto"/>
              </w:rPr>
              <w:t>Gain on sale of investments</w:t>
            </w:r>
          </w:p>
        </w:tc>
        <w:tc>
          <w:tcPr>
            <w:tcW w:w="220" w:type="dxa"/>
            <w:vAlign w:val="bottom"/>
          </w:tcPr>
          <w:p>
            <w:pPr>
              <w:spacing w:after="0"/>
              <w:rPr>
                <w:sz w:val="21"/>
                <w:szCs w:val="21"/>
                <w:color w:val="auto"/>
              </w:rPr>
            </w:pPr>
          </w:p>
        </w:tc>
        <w:tc>
          <w:tcPr>
            <w:tcW w:w="600" w:type="dxa"/>
            <w:vAlign w:val="bottom"/>
          </w:tcPr>
          <w:p>
            <w:pPr>
              <w:jc w:val="right"/>
              <w:ind w:right="50"/>
              <w:spacing w:after="0"/>
              <w:rPr>
                <w:sz w:val="20"/>
                <w:szCs w:val="20"/>
                <w:color w:val="auto"/>
              </w:rPr>
            </w:pPr>
            <w:r>
              <w:rPr>
                <w:rFonts w:ascii="Arial" w:cs="Arial" w:eastAsia="Arial" w:hAnsi="Arial"/>
                <w:sz w:val="18"/>
                <w:szCs w:val="18"/>
                <w:color w:val="auto"/>
              </w:rPr>
              <w:t>30</w:t>
            </w:r>
          </w:p>
        </w:tc>
        <w:tc>
          <w:tcPr>
            <w:tcW w:w="620" w:type="dxa"/>
            <w:vAlign w:val="bottom"/>
          </w:tcPr>
          <w:p>
            <w:pPr>
              <w:spacing w:after="0"/>
              <w:rPr>
                <w:sz w:val="21"/>
                <w:szCs w:val="21"/>
                <w:color w:val="auto"/>
              </w:rPr>
            </w:pPr>
          </w:p>
        </w:tc>
        <w:tc>
          <w:tcPr>
            <w:tcW w:w="102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820" w:type="dxa"/>
            <w:vAlign w:val="bottom"/>
          </w:tcPr>
          <w:p>
            <w:pPr>
              <w:jc w:val="right"/>
              <w:ind w:right="350"/>
              <w:spacing w:after="0"/>
              <w:rPr>
                <w:sz w:val="20"/>
                <w:szCs w:val="20"/>
                <w:color w:val="auto"/>
              </w:rPr>
            </w:pPr>
            <w:r>
              <w:rPr>
                <w:rFonts w:ascii="Arial" w:cs="Arial" w:eastAsia="Arial" w:hAnsi="Arial"/>
                <w:sz w:val="18"/>
                <w:szCs w:val="18"/>
                <w:color w:val="auto"/>
              </w:rPr>
              <w:t>--</w:t>
            </w:r>
          </w:p>
        </w:tc>
      </w:tr>
      <w:tr>
        <w:trPr>
          <w:trHeight w:val="250"/>
        </w:trPr>
        <w:tc>
          <w:tcPr>
            <w:tcW w:w="5560" w:type="dxa"/>
            <w:vAlign w:val="bottom"/>
          </w:tcPr>
          <w:p>
            <w:pPr>
              <w:ind w:left="720"/>
              <w:spacing w:after="0"/>
              <w:rPr>
                <w:sz w:val="20"/>
                <w:szCs w:val="20"/>
                <w:color w:val="auto"/>
              </w:rPr>
            </w:pPr>
            <w:r>
              <w:rPr>
                <w:rFonts w:ascii="Arial" w:cs="Arial" w:eastAsia="Arial" w:hAnsi="Arial"/>
                <w:sz w:val="18"/>
                <w:szCs w:val="18"/>
                <w:color w:val="auto"/>
              </w:rPr>
              <w:t>Earnings from operations</w:t>
            </w:r>
          </w:p>
        </w:tc>
        <w:tc>
          <w:tcPr>
            <w:tcW w:w="2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w:t>
            </w:r>
          </w:p>
        </w:tc>
        <w:tc>
          <w:tcPr>
            <w:tcW w:w="6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(16 )</w:t>
            </w:r>
          </w:p>
        </w:tc>
        <w:tc>
          <w:tcPr>
            <w:tcW w:w="3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r>
      <w:tr>
        <w:trPr>
          <w:trHeight w:val="264"/>
        </w:trPr>
        <w:tc>
          <w:tcPr>
            <w:tcW w:w="556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Total earnings recorded net of tax</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99</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(182 )</w:t>
            </w:r>
          </w:p>
        </w:tc>
        <w:tc>
          <w:tcPr>
            <w:tcW w:w="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55</w:t>
            </w:r>
          </w:p>
        </w:tc>
      </w:tr>
    </w:tbl>
    <w:p>
      <w:pPr>
        <w:spacing w:after="0" w:line="22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For equity method investments, costs in excess of equity in net assets (goodwill) were $262 million and $248 million at December 31, 2007 and 2006, respectively. Costs in excess of the underlying equity in net assets will continue to be reviewed for impairment in accordance with APBO 18. Descriptive information concerning these investments follows.</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1420"/>
          </w:cols>
          <w:pgMar w:left="240" w:top="122" w:right="239" w:bottom="1440" w:gutter="0" w:footer="0" w:header="0"/>
          <w:type w:val="continuous"/>
        </w:sectPr>
      </w:pPr>
    </w:p>
    <w:bookmarkStart w:id="137" w:name="page138"/>
    <w:bookmarkEnd w:id="137"/>
    <w:p>
      <w:pPr>
        <w:spacing w:after="0"/>
        <w:rPr>
          <w:sz w:val="20"/>
          <w:szCs w:val="20"/>
          <w:color w:val="auto"/>
        </w:rPr>
      </w:pPr>
      <w:r>
        <w:rPr>
          <w:rFonts w:ascii="Arial" w:cs="Arial" w:eastAsia="Arial" w:hAnsi="Arial"/>
          <w:sz w:val="20"/>
          <w:szCs w:val="20"/>
          <w:b w:val="1"/>
          <w:bCs w:val="1"/>
          <w:color w:val="auto"/>
        </w:rPr>
        <w:t>Sempra Pipelines &amp; Storage</w:t>
      </w:r>
    </w:p>
    <w:p>
      <w:pPr>
        <w:spacing w:after="0" w:line="250" w:lineRule="exact"/>
        <w:rPr>
          <w:sz w:val="20"/>
          <w:szCs w:val="20"/>
          <w:color w:val="auto"/>
        </w:rPr>
      </w:pPr>
    </w:p>
    <w:p>
      <w:pPr>
        <w:ind w:right="60"/>
        <w:spacing w:after="0" w:line="278" w:lineRule="auto"/>
        <w:rPr>
          <w:sz w:val="20"/>
          <w:szCs w:val="20"/>
          <w:color w:val="auto"/>
        </w:rPr>
      </w:pPr>
      <w:r>
        <w:rPr>
          <w:rFonts w:ascii="Arial" w:cs="Arial" w:eastAsia="Arial" w:hAnsi="Arial"/>
          <w:sz w:val="18"/>
          <w:szCs w:val="18"/>
          <w:color w:val="auto"/>
        </w:rPr>
        <w:t>In 2006, Sempra Pipelines &amp; Storage consummated an agreement with Kinder Morgan Energy Partners, L.P. (KMP) to jointly pursue through Rockies Express the development of a proposed natural gas pipeline, the Rockies Express Pipeline (REX), that would link producing areas in the Rocky Mountain region to the upper Midwest and the eastern United States. Currently, KMP, Sempra Pipelines &amp; Storage and Conoco Phillips (Conoco) own interests of 51 percent, 25 percent and 24 percent, respectively, in Rockies Express. Upon completion of construction of the pipeline, Conoco will acquire an additional one-percent interest from KMP. Additional information is provided in Note 6.</w:t>
      </w:r>
    </w:p>
    <w:p>
      <w:pPr>
        <w:spacing w:after="0" w:line="192" w:lineRule="exact"/>
        <w:rPr>
          <w:sz w:val="20"/>
          <w:szCs w:val="20"/>
          <w:color w:val="auto"/>
        </w:rPr>
      </w:pPr>
    </w:p>
    <w:p>
      <w:pPr>
        <w:ind w:right="260"/>
        <w:spacing w:after="0" w:line="260" w:lineRule="auto"/>
        <w:rPr>
          <w:sz w:val="20"/>
          <w:szCs w:val="20"/>
          <w:color w:val="auto"/>
        </w:rPr>
      </w:pPr>
      <w:r>
        <w:rPr>
          <w:rFonts w:ascii="Arial" w:cs="Arial" w:eastAsia="Arial" w:hAnsi="Arial"/>
          <w:sz w:val="20"/>
          <w:szCs w:val="20"/>
          <w:color w:val="auto"/>
        </w:rPr>
        <w:t>Sempra Pipelines &amp; Storage owns a 50-percent interest in Chilquinta Energía S.A., a Chilean electric utility, and a 38-percent interest in Luz del Sur, a Peruvian electric utility.</w:t>
      </w:r>
    </w:p>
    <w:p>
      <w:pPr>
        <w:spacing w:after="0" w:line="204" w:lineRule="exact"/>
        <w:rPr>
          <w:sz w:val="20"/>
          <w:szCs w:val="20"/>
          <w:color w:val="auto"/>
        </w:rPr>
      </w:pPr>
    </w:p>
    <w:p>
      <w:pPr>
        <w:ind w:right="100"/>
        <w:spacing w:after="0" w:line="244" w:lineRule="auto"/>
        <w:rPr>
          <w:sz w:val="20"/>
          <w:szCs w:val="20"/>
          <w:color w:val="auto"/>
        </w:rPr>
      </w:pPr>
      <w:r>
        <w:rPr>
          <w:rFonts w:ascii="Arial" w:cs="Arial" w:eastAsia="Arial" w:hAnsi="Arial"/>
          <w:sz w:val="20"/>
          <w:szCs w:val="20"/>
          <w:color w:val="auto"/>
        </w:rPr>
        <w:t>Sempra Pipelines &amp; Storage also owns 43 percent of two Argentine natural gas utility holding companies, Sodigas Pampeana and Sodigas Sur. As a result of the devaluation of the Argentine peso at the end of 2001 and subsequent changes in the value of the peso, Sempra Pipelines &amp; Storage had reduced the carrying value of its investment downward by a cumulative total of $204 million as of December 31, 2007. These noncash adjustments, based on fluctuations in the value of the Argentine peso, did not affect net income, but were recorded in Comprehensive Income and Accumulated Other Comprehensive Income (Loss).</w:t>
      </w:r>
    </w:p>
    <w:p>
      <w:pPr>
        <w:spacing w:after="0" w:line="222" w:lineRule="exact"/>
        <w:rPr>
          <w:sz w:val="20"/>
          <w:szCs w:val="20"/>
          <w:color w:val="auto"/>
        </w:rPr>
      </w:pPr>
    </w:p>
    <w:p>
      <w:pPr>
        <w:ind w:right="40"/>
        <w:spacing w:after="0" w:line="258" w:lineRule="auto"/>
        <w:rPr>
          <w:sz w:val="20"/>
          <w:szCs w:val="20"/>
          <w:color w:val="auto"/>
        </w:rPr>
      </w:pPr>
      <w:r>
        <w:rPr>
          <w:rFonts w:ascii="Arial" w:cs="Arial" w:eastAsia="Arial" w:hAnsi="Arial"/>
          <w:sz w:val="19"/>
          <w:szCs w:val="19"/>
          <w:color w:val="auto"/>
        </w:rPr>
        <w:t>The related Argentine economic decline and government responses (including Argentina’s unilateral, retroactive abrogation of utility agreements early in 2002) continue to adversely affect the operations of these Argentine utilities. In 2002, Sempra Pipelines &amp; Storage initiated arbitration proceedings at the International Center for the Settlement of Investment Disputes (ICSID) under the 1994 Bilateral Investment Treaty between the United States and Argentina for recovery of the diminution of the value of its investments that has resulted from Argentine governmental actions. In September 2007, the tribunal officially closed the arbitration proceedings and awarded the company compensation of $172 million, which includes interest up to the award date. In January 2008, Argentina filed an action at the ICSID seeking to annul the award. The company will not recognize the award until collectibility is assured.</w:t>
      </w:r>
    </w:p>
    <w:p>
      <w:pPr>
        <w:spacing w:after="0" w:line="20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December 2006, the company decided to sell its Argentine investments, and continues to actively pursue their sale. The company adjusted its investments to estimated fair value and recorded a noncash impairment charge to fourth quarter 2006 net income of $221 million. The charge to net income is reported in Equity in Earnings (Losses) of Certain Unconsolidated Subsidiaries on the Statements of Consolidated Income.</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tables show selected financial data for Sodigas Pampeana and Sodigas Sur:</w:t>
      </w:r>
    </w:p>
    <w:p>
      <w:pPr>
        <w:spacing w:after="0" w:line="286" w:lineRule="exact"/>
        <w:rPr>
          <w:sz w:val="20"/>
          <w:szCs w:val="20"/>
          <w:color w:val="auto"/>
        </w:rPr>
      </w:pPr>
    </w:p>
    <w:tbl>
      <w:tblPr>
        <w:tblLayout w:type="fixed"/>
        <w:tblInd w:w="1300" w:type="dxa"/>
        <w:tblCellMar>
          <w:top w:w="0" w:type="dxa"/>
          <w:left w:w="0" w:type="dxa"/>
          <w:bottom w:w="0" w:type="dxa"/>
          <w:right w:w="0" w:type="dxa"/>
        </w:tblCellMar>
      </w:tblPr>
      <w:tr>
        <w:trPr>
          <w:trHeight w:val="237"/>
        </w:trPr>
        <w:tc>
          <w:tcPr>
            <w:tcW w:w="5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0"/>
              </w:rPr>
              <w:t>Years ended December 31,</w:t>
            </w:r>
          </w:p>
        </w:tc>
        <w:tc>
          <w:tcPr>
            <w:tcW w:w="740" w:type="dxa"/>
            <w:vAlign w:val="bottom"/>
            <w:tcBorders>
              <w:bottom w:val="single" w:sz="8" w:color="auto"/>
            </w:tcBorders>
          </w:tcPr>
          <w:p>
            <w:pPr>
              <w:spacing w:after="0"/>
              <w:rPr>
                <w:sz w:val="20"/>
                <w:szCs w:val="20"/>
                <w:color w:val="auto"/>
              </w:rPr>
            </w:pPr>
          </w:p>
        </w:tc>
      </w:tr>
      <w:tr>
        <w:trPr>
          <w:trHeight w:val="237"/>
        </w:trPr>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(Dollars in millions)</w:t>
            </w:r>
          </w:p>
        </w:tc>
        <w:tc>
          <w:tcPr>
            <w:tcW w:w="2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2007</w:t>
            </w:r>
          </w:p>
        </w:tc>
        <w:tc>
          <w:tcPr>
            <w:tcW w:w="7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2006</w:t>
            </w:r>
          </w:p>
        </w:tc>
        <w:tc>
          <w:tcPr>
            <w:tcW w:w="5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2005</w:t>
            </w:r>
          </w:p>
        </w:tc>
      </w:tr>
      <w:tr>
        <w:trPr>
          <w:trHeight w:val="230"/>
        </w:trPr>
        <w:tc>
          <w:tcPr>
            <w:tcW w:w="5240" w:type="dxa"/>
            <w:vAlign w:val="bottom"/>
          </w:tcPr>
          <w:p>
            <w:pPr>
              <w:ind w:left="20"/>
              <w:spacing w:after="0"/>
              <w:rPr>
                <w:sz w:val="20"/>
                <w:szCs w:val="20"/>
                <w:color w:val="auto"/>
              </w:rPr>
            </w:pPr>
            <w:r>
              <w:rPr>
                <w:rFonts w:ascii="Arial" w:cs="Arial" w:eastAsia="Arial" w:hAnsi="Arial"/>
                <w:sz w:val="18"/>
                <w:szCs w:val="18"/>
                <w:color w:val="auto"/>
              </w:rPr>
              <w:t>Gross revenues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227</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215</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30"/>
              <w:spacing w:after="0"/>
              <w:rPr>
                <w:sz w:val="20"/>
                <w:szCs w:val="20"/>
                <w:color w:val="auto"/>
              </w:rPr>
            </w:pPr>
            <w:r>
              <w:rPr>
                <w:rFonts w:ascii="Arial" w:cs="Arial" w:eastAsia="Arial" w:hAnsi="Arial"/>
                <w:sz w:val="18"/>
                <w:szCs w:val="18"/>
                <w:color w:val="auto"/>
              </w:rPr>
              <w:t>242</w:t>
            </w:r>
          </w:p>
        </w:tc>
      </w:tr>
      <w:tr>
        <w:trPr>
          <w:trHeight w:val="242"/>
        </w:trPr>
        <w:tc>
          <w:tcPr>
            <w:tcW w:w="524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111</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97</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30"/>
              <w:spacing w:after="0"/>
              <w:rPr>
                <w:sz w:val="20"/>
                <w:szCs w:val="20"/>
                <w:color w:val="auto"/>
              </w:rPr>
            </w:pPr>
            <w:r>
              <w:rPr>
                <w:rFonts w:ascii="Arial" w:cs="Arial" w:eastAsia="Arial" w:hAnsi="Arial"/>
                <w:sz w:val="18"/>
                <w:szCs w:val="18"/>
                <w:color w:val="auto"/>
              </w:rPr>
              <w:t>92</w:t>
            </w:r>
          </w:p>
        </w:tc>
      </w:tr>
      <w:tr>
        <w:trPr>
          <w:trHeight w:val="243"/>
        </w:trPr>
        <w:tc>
          <w:tcPr>
            <w:tcW w:w="524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21</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17</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30"/>
              <w:spacing w:after="0"/>
              <w:rPr>
                <w:sz w:val="20"/>
                <w:szCs w:val="20"/>
                <w:color w:val="auto"/>
              </w:rPr>
            </w:pPr>
            <w:r>
              <w:rPr>
                <w:rFonts w:ascii="Arial" w:cs="Arial" w:eastAsia="Arial" w:hAnsi="Arial"/>
                <w:sz w:val="18"/>
                <w:szCs w:val="18"/>
                <w:color w:val="auto"/>
              </w:rPr>
              <w:t>14</w:t>
            </w:r>
          </w:p>
        </w:tc>
      </w:tr>
      <w:tr>
        <w:trPr>
          <w:trHeight w:val="243"/>
        </w:trPr>
        <w:tc>
          <w:tcPr>
            <w:tcW w:w="5240" w:type="dxa"/>
            <w:vAlign w:val="bottom"/>
          </w:tcPr>
          <w:p>
            <w:pPr>
              <w:ind w:left="20"/>
              <w:spacing w:after="0"/>
              <w:rPr>
                <w:sz w:val="20"/>
                <w:szCs w:val="20"/>
                <w:color w:val="auto"/>
              </w:rPr>
            </w:pPr>
            <w:r>
              <w:rPr>
                <w:rFonts w:ascii="Arial" w:cs="Arial" w:eastAsia="Arial" w:hAnsi="Arial"/>
                <w:sz w:val="18"/>
                <w:szCs w:val="18"/>
                <w:color w:val="auto"/>
              </w:rPr>
              <w:t>Gain on sale of assets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1</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30"/>
              <w:spacing w:after="0"/>
              <w:rPr>
                <w:sz w:val="20"/>
                <w:szCs w:val="20"/>
                <w:color w:val="auto"/>
              </w:rPr>
            </w:pPr>
            <w:r>
              <w:rPr>
                <w:rFonts w:ascii="Arial" w:cs="Arial" w:eastAsia="Arial" w:hAnsi="Arial"/>
                <w:sz w:val="18"/>
                <w:szCs w:val="18"/>
                <w:color w:val="auto"/>
              </w:rPr>
              <w:t>1</w:t>
            </w:r>
          </w:p>
        </w:tc>
      </w:tr>
      <w:tr>
        <w:trPr>
          <w:trHeight w:val="277"/>
        </w:trPr>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11</w:t>
            </w:r>
          </w:p>
        </w:tc>
        <w:tc>
          <w:tcPr>
            <w:tcW w:w="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22</w:t>
            </w:r>
          </w:p>
        </w:tc>
      </w:tr>
    </w:tbl>
    <w:p>
      <w:pPr>
        <w:spacing w:after="0" w:line="269" w:lineRule="exact"/>
        <w:rPr>
          <w:sz w:val="20"/>
          <w:szCs w:val="20"/>
          <w:color w:val="auto"/>
        </w:rPr>
      </w:pPr>
    </w:p>
    <w:tbl>
      <w:tblPr>
        <w:tblLayout w:type="fixed"/>
        <w:tblInd w:w="1340" w:type="dxa"/>
        <w:tblCellMar>
          <w:top w:w="0" w:type="dxa"/>
          <w:left w:w="0" w:type="dxa"/>
          <w:bottom w:w="0" w:type="dxa"/>
          <w:right w:w="0" w:type="dxa"/>
        </w:tblCellMar>
      </w:tblPr>
      <w:tr>
        <w:trPr>
          <w:trHeight w:val="237"/>
        </w:trPr>
        <w:tc>
          <w:tcPr>
            <w:tcW w:w="596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2"/>
          </w:tcPr>
          <w:p>
            <w:pPr>
              <w:jc w:val="right"/>
              <w:ind w:right="270"/>
              <w:spacing w:after="0"/>
              <w:rPr>
                <w:sz w:val="20"/>
                <w:szCs w:val="20"/>
                <w:color w:val="auto"/>
              </w:rPr>
            </w:pPr>
            <w:r>
              <w:rPr>
                <w:rFonts w:ascii="Arial" w:cs="Arial" w:eastAsia="Arial" w:hAnsi="Arial"/>
                <w:sz w:val="18"/>
                <w:szCs w:val="18"/>
                <w:color w:val="auto"/>
                <w:w w:val="88"/>
              </w:rPr>
              <w:t>At December 31,</w:t>
            </w:r>
          </w:p>
        </w:tc>
        <w:tc>
          <w:tcPr>
            <w:tcW w:w="420" w:type="dxa"/>
            <w:vAlign w:val="bottom"/>
            <w:tcBorders>
              <w:bottom w:val="single" w:sz="8" w:color="auto"/>
            </w:tcBorders>
          </w:tcPr>
          <w:p>
            <w:pPr>
              <w:spacing w:after="0"/>
              <w:rPr>
                <w:sz w:val="20"/>
                <w:szCs w:val="20"/>
                <w:color w:val="auto"/>
              </w:rPr>
            </w:pPr>
          </w:p>
        </w:tc>
      </w:tr>
      <w:tr>
        <w:trPr>
          <w:trHeight w:val="237"/>
        </w:trPr>
        <w:tc>
          <w:tcPr>
            <w:tcW w:w="5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(Dollars in millions)</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2007</w:t>
            </w:r>
          </w:p>
        </w:tc>
        <w:tc>
          <w:tcPr>
            <w:tcW w:w="5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2006</w:t>
            </w:r>
          </w:p>
        </w:tc>
        <w:tc>
          <w:tcPr>
            <w:tcW w:w="420" w:type="dxa"/>
            <w:vAlign w:val="bottom"/>
            <w:tcBorders>
              <w:bottom w:val="single" w:sz="8" w:color="auto"/>
            </w:tcBorders>
          </w:tcPr>
          <w:p>
            <w:pPr>
              <w:spacing w:after="0"/>
              <w:rPr>
                <w:sz w:val="20"/>
                <w:szCs w:val="20"/>
                <w:color w:val="auto"/>
              </w:rPr>
            </w:pPr>
          </w:p>
        </w:tc>
      </w:tr>
      <w:tr>
        <w:trPr>
          <w:trHeight w:val="230"/>
        </w:trPr>
        <w:tc>
          <w:tcPr>
            <w:tcW w:w="59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78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210"/>
              <w:spacing w:after="0"/>
              <w:rPr>
                <w:sz w:val="20"/>
                <w:szCs w:val="20"/>
                <w:color w:val="auto"/>
              </w:rPr>
            </w:pPr>
            <w:r>
              <w:rPr>
                <w:rFonts w:ascii="Arial" w:cs="Arial" w:eastAsia="Arial" w:hAnsi="Arial"/>
                <w:sz w:val="18"/>
                <w:szCs w:val="18"/>
                <w:color w:val="auto"/>
                <w:w w:val="86"/>
              </w:rPr>
              <w:t>117</w:t>
            </w:r>
          </w:p>
        </w:tc>
        <w:tc>
          <w:tcPr>
            <w:tcW w:w="100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95</w:t>
            </w:r>
          </w:p>
        </w:tc>
      </w:tr>
      <w:tr>
        <w:trPr>
          <w:trHeight w:val="242"/>
        </w:trPr>
        <w:tc>
          <w:tcPr>
            <w:tcW w:w="5960" w:type="dxa"/>
            <w:vAlign w:val="bottom"/>
          </w:tcPr>
          <w:p>
            <w:pPr>
              <w:ind w:left="20"/>
              <w:spacing w:after="0"/>
              <w:rPr>
                <w:sz w:val="20"/>
                <w:szCs w:val="20"/>
                <w:color w:val="auto"/>
              </w:rPr>
            </w:pPr>
            <w:r>
              <w:rPr>
                <w:rFonts w:ascii="Arial" w:cs="Arial" w:eastAsia="Arial" w:hAnsi="Arial"/>
                <w:sz w:val="18"/>
                <w:szCs w:val="18"/>
                <w:color w:val="auto"/>
              </w:rPr>
              <w:t>Noncurrent assets</w:t>
            </w:r>
          </w:p>
        </w:tc>
        <w:tc>
          <w:tcPr>
            <w:tcW w:w="78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210"/>
              <w:spacing w:after="0"/>
              <w:rPr>
                <w:sz w:val="20"/>
                <w:szCs w:val="20"/>
                <w:color w:val="auto"/>
              </w:rPr>
            </w:pPr>
            <w:r>
              <w:rPr>
                <w:rFonts w:ascii="Arial" w:cs="Arial" w:eastAsia="Arial" w:hAnsi="Arial"/>
                <w:sz w:val="18"/>
                <w:szCs w:val="18"/>
                <w:color w:val="auto"/>
                <w:w w:val="86"/>
              </w:rPr>
              <w:t>332</w:t>
            </w:r>
          </w:p>
        </w:tc>
        <w:tc>
          <w:tcPr>
            <w:tcW w:w="100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50"/>
              <w:spacing w:after="0"/>
              <w:rPr>
                <w:sz w:val="20"/>
                <w:szCs w:val="20"/>
                <w:color w:val="auto"/>
              </w:rPr>
            </w:pPr>
            <w:r>
              <w:rPr>
                <w:rFonts w:ascii="Arial" w:cs="Arial" w:eastAsia="Arial" w:hAnsi="Arial"/>
                <w:sz w:val="18"/>
                <w:szCs w:val="18"/>
                <w:color w:val="auto"/>
                <w:w w:val="86"/>
              </w:rPr>
              <w:t>325</w:t>
            </w:r>
          </w:p>
        </w:tc>
      </w:tr>
      <w:tr>
        <w:trPr>
          <w:trHeight w:val="243"/>
        </w:trPr>
        <w:tc>
          <w:tcPr>
            <w:tcW w:w="59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78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210"/>
              <w:spacing w:after="0"/>
              <w:rPr>
                <w:sz w:val="20"/>
                <w:szCs w:val="20"/>
                <w:color w:val="auto"/>
              </w:rPr>
            </w:pPr>
            <w:r>
              <w:rPr>
                <w:rFonts w:ascii="Arial" w:cs="Arial" w:eastAsia="Arial" w:hAnsi="Arial"/>
                <w:sz w:val="18"/>
                <w:szCs w:val="18"/>
                <w:color w:val="auto"/>
                <w:w w:val="86"/>
              </w:rPr>
              <w:t>198</w:t>
            </w:r>
          </w:p>
        </w:tc>
        <w:tc>
          <w:tcPr>
            <w:tcW w:w="100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50"/>
              <w:spacing w:after="0"/>
              <w:rPr>
                <w:sz w:val="20"/>
                <w:szCs w:val="20"/>
                <w:color w:val="auto"/>
              </w:rPr>
            </w:pPr>
            <w:r>
              <w:rPr>
                <w:rFonts w:ascii="Arial" w:cs="Arial" w:eastAsia="Arial" w:hAnsi="Arial"/>
                <w:sz w:val="18"/>
                <w:szCs w:val="18"/>
                <w:color w:val="auto"/>
                <w:w w:val="86"/>
              </w:rPr>
              <w:t>166</w:t>
            </w:r>
          </w:p>
        </w:tc>
      </w:tr>
      <w:tr>
        <w:trPr>
          <w:trHeight w:val="277"/>
        </w:trPr>
        <w:tc>
          <w:tcPr>
            <w:tcW w:w="5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Noncurrent liabilities</w:t>
            </w:r>
          </w:p>
        </w:tc>
        <w:tc>
          <w:tcPr>
            <w:tcW w:w="7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38</w:t>
            </w:r>
          </w:p>
        </w:tc>
        <w:tc>
          <w:tcPr>
            <w:tcW w:w="10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49</w:t>
            </w:r>
          </w:p>
        </w:tc>
      </w:tr>
    </w:tbl>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0"/>
          <w:szCs w:val="20"/>
          <w:color w:val="auto"/>
        </w:rPr>
        <w:t>70</w:t>
      </w:r>
    </w:p>
    <w:p>
      <w:pPr>
        <w:sectPr>
          <w:pgSz w:w="11900" w:h="16838" w:orient="portrait"/>
          <w:cols w:equalWidth="0" w:num="1">
            <w:col w:w="11400"/>
          </w:cols>
          <w:pgMar w:left="240" w:top="115" w:right="259" w:bottom="1440" w:gutter="0" w:footer="0" w:header="0"/>
        </w:sectPr>
      </w:pPr>
    </w:p>
    <w:bookmarkStart w:id="138" w:name="page139"/>
    <w:bookmarkEnd w:id="138"/>
    <w:p>
      <w:pPr>
        <w:spacing w:after="0"/>
        <w:rPr>
          <w:sz w:val="20"/>
          <w:szCs w:val="20"/>
          <w:color w:val="auto"/>
        </w:rPr>
      </w:pPr>
      <w:r>
        <w:rPr>
          <w:rFonts w:ascii="Arial" w:cs="Arial" w:eastAsia="Arial" w:hAnsi="Arial"/>
          <w:sz w:val="20"/>
          <w:szCs w:val="20"/>
          <w:b w:val="1"/>
          <w:bCs w:val="1"/>
          <w:color w:val="auto"/>
        </w:rPr>
        <w:t>Sempra Generation</w:t>
      </w:r>
    </w:p>
    <w:p>
      <w:pPr>
        <w:spacing w:after="0" w:line="250" w:lineRule="exact"/>
        <w:rPr>
          <w:sz w:val="20"/>
          <w:szCs w:val="20"/>
          <w:color w:val="auto"/>
        </w:rPr>
      </w:pPr>
    </w:p>
    <w:p>
      <w:pPr>
        <w:ind w:right="260"/>
        <w:spacing w:after="0" w:line="260" w:lineRule="auto"/>
        <w:rPr>
          <w:sz w:val="20"/>
          <w:szCs w:val="20"/>
          <w:color w:val="auto"/>
        </w:rPr>
      </w:pPr>
      <w:r>
        <w:rPr>
          <w:rFonts w:ascii="Arial" w:cs="Arial" w:eastAsia="Arial" w:hAnsi="Arial"/>
          <w:sz w:val="20"/>
          <w:szCs w:val="20"/>
          <w:color w:val="auto"/>
        </w:rPr>
        <w:t>The 550-MW Elk Hills Power (Elk Hills) project located near Bakersfield, California began commercial operations in July 2003. Elk Hills is 50-percent owned by Sempra Generation.</w:t>
      </w:r>
    </w:p>
    <w:p>
      <w:pPr>
        <w:spacing w:after="0" w:line="204" w:lineRule="exact"/>
        <w:rPr>
          <w:sz w:val="20"/>
          <w:szCs w:val="20"/>
          <w:color w:val="auto"/>
        </w:rPr>
      </w:pPr>
    </w:p>
    <w:p>
      <w:pPr>
        <w:ind w:right="140"/>
        <w:spacing w:after="0" w:line="263" w:lineRule="auto"/>
        <w:rPr>
          <w:sz w:val="20"/>
          <w:szCs w:val="20"/>
          <w:color w:val="auto"/>
        </w:rPr>
      </w:pPr>
      <w:r>
        <w:rPr>
          <w:rFonts w:ascii="Arial" w:cs="Arial" w:eastAsia="Arial" w:hAnsi="Arial"/>
          <w:sz w:val="19"/>
          <w:szCs w:val="19"/>
          <w:color w:val="auto"/>
        </w:rPr>
        <w:t>The 480-MW El Dorado power plant, located near Las Vegas, Nevada, began commercial operations in May 2000. In July 2005, Sempra Generation, a 50-percent owner at the time, purchased the remaining 50-percent ownership interest in El Dorado for $132 million (including assumed debt) from Reliant Energy Power Generation, which had been the joint venture partner in the El Dorado power plant. As discussed in Note 14, SDG&amp;E has exercised an option to purchase the El Dorado power plant for book value in 2011.</w:t>
      </w:r>
    </w:p>
    <w:p>
      <w:pPr>
        <w:spacing w:after="0" w:line="204" w:lineRule="exact"/>
        <w:rPr>
          <w:sz w:val="20"/>
          <w:szCs w:val="20"/>
          <w:color w:val="auto"/>
        </w:rPr>
      </w:pPr>
    </w:p>
    <w:p>
      <w:pPr>
        <w:spacing w:after="0" w:line="256" w:lineRule="auto"/>
        <w:rPr>
          <w:sz w:val="20"/>
          <w:szCs w:val="20"/>
          <w:color w:val="auto"/>
        </w:rPr>
      </w:pPr>
      <w:r>
        <w:rPr>
          <w:rFonts w:ascii="Arial" w:cs="Arial" w:eastAsia="Arial" w:hAnsi="Arial"/>
          <w:sz w:val="19"/>
          <w:szCs w:val="19"/>
          <w:color w:val="auto"/>
        </w:rPr>
        <w:t>In July 2004, Topaz, a 50/50 joint venture between Sempra Generation and Riverstone Holdings, acquired ten Texas power plants from American Electric Power (AEP), including the 632-MW coal-fired Coleto Creek Power Station (Coleto Creek) and three natural gas and oil-fired plants in Laredo, San Benito and Corpus Christi, Texas. In July 2006, Sempra Generation and Riverstone Holdings sold Coleto Creek for a total of $1.15 billion in cash. The majority of the proceeds from the sale were distributed by Topaz as a dividend to Sempra Generation and Riverstone Holdings. The sale of the plant resulted in a pretax gain of $353 million for the company, which was reported in Equity in Income of Unconsolidated Subsidiaries. In a separate transaction, also in July 2006, Sempra Generation sold its interests in the natural gas plants that it acquired in connection with the Coleto Creek plant. An impairment loss of $9 million pretax related to the sale of the natural ga s plants was recorded in 2006. In accordance with GAAP, because the company’s interests in Topaz are reported under the equity method, they are not reported as a discontinued operation.</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selected financial data for Topaz and ignores any reclassifications necessary for discontinued operations reporting by</w:t>
      </w:r>
    </w:p>
    <w:p>
      <w:pPr>
        <w:spacing w:after="0" w:line="62" w:lineRule="exact"/>
        <w:rPr>
          <w:sz w:val="20"/>
          <w:szCs w:val="20"/>
          <w:color w:val="auto"/>
        </w:rPr>
      </w:pPr>
    </w:p>
    <w:p>
      <w:pPr>
        <w:spacing w:after="0"/>
        <w:rPr>
          <w:sz w:val="20"/>
          <w:szCs w:val="20"/>
          <w:color w:val="auto"/>
        </w:rPr>
      </w:pPr>
      <w:r>
        <w:rPr>
          <w:rFonts w:ascii="Arial" w:cs="Arial" w:eastAsia="Arial" w:hAnsi="Arial"/>
          <w:sz w:val="20"/>
          <w:szCs w:val="20"/>
          <w:color w:val="auto"/>
        </w:rPr>
        <w:t>Topaz:</w:t>
      </w:r>
    </w:p>
    <w:p>
      <w:pPr>
        <w:spacing w:after="0" w:line="270" w:lineRule="exact"/>
        <w:rPr>
          <w:sz w:val="20"/>
          <w:szCs w:val="20"/>
          <w:color w:val="auto"/>
        </w:rPr>
      </w:pPr>
    </w:p>
    <w:tbl>
      <w:tblPr>
        <w:tblLayout w:type="fixed"/>
        <w:tblInd w:w="1340" w:type="dxa"/>
        <w:tblCellMar>
          <w:top w:w="0" w:type="dxa"/>
          <w:left w:w="0" w:type="dxa"/>
          <w:bottom w:w="0" w:type="dxa"/>
          <w:right w:w="0" w:type="dxa"/>
        </w:tblCellMar>
      </w:tblPr>
      <w:tr>
        <w:trPr>
          <w:trHeight w:val="237"/>
        </w:trPr>
        <w:tc>
          <w:tcPr>
            <w:tcW w:w="59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8"/>
                <w:szCs w:val="18"/>
                <w:color w:val="auto"/>
                <w:w w:val="96"/>
              </w:rPr>
              <w:t>Year ended December 31,</w:t>
            </w:r>
          </w:p>
        </w:tc>
      </w:tr>
      <w:tr>
        <w:trPr>
          <w:trHeight w:val="237"/>
        </w:trPr>
        <w:tc>
          <w:tcPr>
            <w:tcW w:w="5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(Dollars in millions)</w:t>
            </w: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2006*</w:t>
            </w:r>
          </w:p>
        </w:tc>
        <w:tc>
          <w:tcPr>
            <w:tcW w:w="5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2005</w:t>
            </w: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Gross revenues</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30"/>
              <w:spacing w:after="0"/>
              <w:rPr>
                <w:sz w:val="20"/>
                <w:szCs w:val="20"/>
                <w:color w:val="auto"/>
              </w:rPr>
            </w:pPr>
            <w:r>
              <w:rPr>
                <w:rFonts w:ascii="Arial" w:cs="Arial" w:eastAsia="Arial" w:hAnsi="Arial"/>
                <w:sz w:val="18"/>
                <w:szCs w:val="18"/>
                <w:color w:val="auto"/>
              </w:rPr>
              <w:t>212</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511</w:t>
            </w:r>
          </w:p>
        </w:tc>
      </w:tr>
      <w:tr>
        <w:trPr>
          <w:trHeight w:val="242"/>
        </w:trPr>
        <w:tc>
          <w:tcPr>
            <w:tcW w:w="5980" w:type="dxa"/>
            <w:vAlign w:val="bottom"/>
          </w:tcPr>
          <w:p>
            <w:pPr>
              <w:spacing w:after="0"/>
              <w:rPr>
                <w:sz w:val="20"/>
                <w:szCs w:val="20"/>
                <w:color w:val="auto"/>
              </w:rPr>
            </w:pPr>
            <w:r>
              <w:rPr>
                <w:rFonts w:ascii="Arial" w:cs="Arial" w:eastAsia="Arial" w:hAnsi="Arial"/>
                <w:sz w:val="18"/>
                <w:szCs w:val="18"/>
                <w:color w:val="auto"/>
              </w:rPr>
              <w:t>Gross profit</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30"/>
              <w:spacing w:after="0"/>
              <w:rPr>
                <w:sz w:val="20"/>
                <w:szCs w:val="20"/>
                <w:color w:val="auto"/>
              </w:rPr>
            </w:pPr>
            <w:r>
              <w:rPr>
                <w:rFonts w:ascii="Arial" w:cs="Arial" w:eastAsia="Arial" w:hAnsi="Arial"/>
                <w:sz w:val="18"/>
                <w:szCs w:val="18"/>
                <w:color w:val="auto"/>
              </w:rPr>
              <w:t>71</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167</w:t>
            </w:r>
          </w:p>
        </w:tc>
      </w:tr>
      <w:tr>
        <w:trPr>
          <w:trHeight w:val="243"/>
        </w:trPr>
        <w:tc>
          <w:tcPr>
            <w:tcW w:w="5980" w:type="dxa"/>
            <w:vAlign w:val="bottom"/>
          </w:tcPr>
          <w:p>
            <w:pPr>
              <w:spacing w:after="0"/>
              <w:rPr>
                <w:sz w:val="20"/>
                <w:szCs w:val="20"/>
                <w:color w:val="auto"/>
              </w:rPr>
            </w:pPr>
            <w:r>
              <w:rPr>
                <w:rFonts w:ascii="Arial" w:cs="Arial" w:eastAsia="Arial" w:hAnsi="Arial"/>
                <w:sz w:val="18"/>
                <w:szCs w:val="18"/>
                <w:color w:val="auto"/>
              </w:rPr>
              <w:t>Income from operations</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30"/>
              <w:spacing w:after="0"/>
              <w:rPr>
                <w:sz w:val="20"/>
                <w:szCs w:val="20"/>
                <w:color w:val="auto"/>
              </w:rPr>
            </w:pPr>
            <w:r>
              <w:rPr>
                <w:rFonts w:ascii="Arial" w:cs="Arial" w:eastAsia="Arial" w:hAnsi="Arial"/>
                <w:sz w:val="18"/>
                <w:szCs w:val="18"/>
                <w:color w:val="auto"/>
              </w:rPr>
              <w:t>21</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42</w:t>
            </w:r>
          </w:p>
        </w:tc>
      </w:tr>
      <w:tr>
        <w:trPr>
          <w:trHeight w:val="243"/>
        </w:trPr>
        <w:tc>
          <w:tcPr>
            <w:tcW w:w="5980" w:type="dxa"/>
            <w:vAlign w:val="bottom"/>
          </w:tcPr>
          <w:p>
            <w:pPr>
              <w:spacing w:after="0"/>
              <w:rPr>
                <w:sz w:val="20"/>
                <w:szCs w:val="20"/>
                <w:color w:val="auto"/>
              </w:rPr>
            </w:pPr>
            <w:r>
              <w:rPr>
                <w:rFonts w:ascii="Arial" w:cs="Arial" w:eastAsia="Arial" w:hAnsi="Arial"/>
                <w:sz w:val="18"/>
                <w:szCs w:val="18"/>
                <w:color w:val="auto"/>
              </w:rPr>
              <w:t>Gain on sale of assets</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30"/>
              <w:spacing w:after="0"/>
              <w:rPr>
                <w:sz w:val="20"/>
                <w:szCs w:val="20"/>
                <w:color w:val="auto"/>
              </w:rPr>
            </w:pPr>
            <w:r>
              <w:rPr>
                <w:rFonts w:ascii="Arial" w:cs="Arial" w:eastAsia="Arial" w:hAnsi="Arial"/>
                <w:sz w:val="18"/>
                <w:szCs w:val="18"/>
                <w:color w:val="auto"/>
              </w:rPr>
              <w:t>705</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11</w:t>
            </w:r>
          </w:p>
        </w:tc>
      </w:tr>
      <w:tr>
        <w:trPr>
          <w:trHeight w:val="277"/>
        </w:trPr>
        <w:tc>
          <w:tcPr>
            <w:tcW w:w="5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726</w:t>
            </w:r>
          </w:p>
        </w:tc>
        <w:tc>
          <w:tcPr>
            <w:tcW w:w="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53</w:t>
            </w: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 As noted above, Topaz sold Coleto Creek in July 2006.</w:t>
            </w: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Sempra Commodities</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Investments in Unconsolidated Subsidiaries</w:t>
      </w:r>
    </w:p>
    <w:p>
      <w:pPr>
        <w:spacing w:after="0" w:line="243" w:lineRule="exact"/>
        <w:rPr>
          <w:sz w:val="20"/>
          <w:szCs w:val="20"/>
          <w:color w:val="auto"/>
        </w:rPr>
      </w:pPr>
    </w:p>
    <w:p>
      <w:pPr>
        <w:ind w:right="80"/>
        <w:spacing w:after="0" w:line="269" w:lineRule="auto"/>
        <w:rPr>
          <w:sz w:val="20"/>
          <w:szCs w:val="20"/>
          <w:color w:val="auto"/>
        </w:rPr>
      </w:pPr>
      <w:r>
        <w:rPr>
          <w:rFonts w:ascii="Arial" w:cs="Arial" w:eastAsia="Arial" w:hAnsi="Arial"/>
          <w:sz w:val="19"/>
          <w:szCs w:val="19"/>
          <w:color w:val="auto"/>
        </w:rPr>
        <w:t>In February 2007, Sempra Commodities sold its interests in an equity-method investment, along with a related cost-basis investment, receiving cash and a 12.7-percent interest in a newly formed entity. The after-tax gain on this transaction, recorded as Equity in Earnings (Losses) of Certain Unconsolidated Subsidiaries on the Statements of Consolidated Income, was $30 million.</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Available-for-Sale Securities</w:t>
      </w:r>
    </w:p>
    <w:p>
      <w:pPr>
        <w:spacing w:after="0" w:line="243" w:lineRule="exact"/>
        <w:rPr>
          <w:sz w:val="20"/>
          <w:szCs w:val="20"/>
          <w:color w:val="auto"/>
        </w:rPr>
      </w:pPr>
    </w:p>
    <w:p>
      <w:pPr>
        <w:ind w:right="80"/>
        <w:spacing w:after="0" w:line="291" w:lineRule="auto"/>
        <w:rPr>
          <w:sz w:val="20"/>
          <w:szCs w:val="20"/>
          <w:color w:val="auto"/>
        </w:rPr>
      </w:pPr>
      <w:r>
        <w:rPr>
          <w:rFonts w:ascii="Arial" w:cs="Arial" w:eastAsia="Arial" w:hAnsi="Arial"/>
          <w:sz w:val="18"/>
          <w:szCs w:val="18"/>
          <w:color w:val="auto"/>
        </w:rPr>
        <w:t>Sempra Commodities had $80 million and $55 million of available-for-sale securities included in Investments at December 31, 2007 and 2006, respectively. At December 31, 2007, the balance in Accumulated Other Comprehensive Income (Loss) related to these securities was $28 million net of income tax, comprised of $28 million of unrealized gains and a negligible amount of unrealized losses. At</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71</w:t>
      </w:r>
    </w:p>
    <w:p>
      <w:pPr>
        <w:sectPr>
          <w:pgSz w:w="11900" w:h="16838" w:orient="portrait"/>
          <w:cols w:equalWidth="0" w:num="1">
            <w:col w:w="11420"/>
          </w:cols>
          <w:pgMar w:left="240" w:top="115" w:right="239" w:bottom="1440" w:gutter="0" w:footer="0" w:header="0"/>
        </w:sectPr>
      </w:pPr>
    </w:p>
    <w:bookmarkStart w:id="139" w:name="page140"/>
    <w:bookmarkEnd w:id="139"/>
    <w:p>
      <w:pPr>
        <w:ind w:right="40"/>
        <w:spacing w:after="0" w:line="262" w:lineRule="auto"/>
        <w:rPr>
          <w:sz w:val="20"/>
          <w:szCs w:val="20"/>
          <w:color w:val="auto"/>
        </w:rPr>
      </w:pPr>
      <w:r>
        <w:rPr>
          <w:rFonts w:ascii="Arial" w:cs="Arial" w:eastAsia="Arial" w:hAnsi="Arial"/>
          <w:sz w:val="20"/>
          <w:szCs w:val="20"/>
          <w:color w:val="auto"/>
        </w:rPr>
        <w:t>December 31, 2006, the balance in Accumulated Other Comprehensive Income (Loss) related to these securities was $18 million net of income tax, comprised of $19 million of unrealized gains and $1 million of unrealized losses.</w:t>
      </w:r>
    </w:p>
    <w:p>
      <w:pPr>
        <w:spacing w:after="0" w:line="201"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Sempra Commodities recorded $12 million and $17 million in purchases of available-for-sale securities in 2007 and 2006, respectively. Sempra Commodities sold $20 million and $1 million of available-for-sale securities in 2007 and 2006, respectively, yielding proceeds of $54 million and $2 million in 2007 and 2006, respectively. The cost basis of the sales was determined by the specific identification method and pretax gains of $34 million and $1 million were realized as a result of the sales in 2007 and 2006, respectively. Sempra Commodities recorded a $1 million pretax impairment loss in 2006 due to the permanent decline in market value of a single available-for-sale security in 2006. There was no impairment of available-for-sale securities in 2007.</w:t>
      </w:r>
    </w:p>
    <w:p>
      <w:pPr>
        <w:spacing w:after="0" w:line="224" w:lineRule="exact"/>
        <w:rPr>
          <w:sz w:val="20"/>
          <w:szCs w:val="20"/>
          <w:color w:val="auto"/>
        </w:rPr>
      </w:pPr>
    </w:p>
    <w:p>
      <w:pPr>
        <w:ind w:right="180"/>
        <w:spacing w:after="0" w:line="250" w:lineRule="auto"/>
        <w:rPr>
          <w:sz w:val="20"/>
          <w:szCs w:val="20"/>
          <w:color w:val="auto"/>
        </w:rPr>
      </w:pPr>
      <w:r>
        <w:rPr>
          <w:rFonts w:ascii="Arial" w:cs="Arial" w:eastAsia="Arial" w:hAnsi="Arial"/>
          <w:sz w:val="20"/>
          <w:szCs w:val="20"/>
          <w:color w:val="auto"/>
        </w:rPr>
        <w:t>The fair value of securities in an unrealized loss position at December 31, 2007 was $13 million. The unrealized losses were primarily caused by temporary declines in the market values of the securities. The company does not consider these investments to be other than temporarily impaired as of December 31, 2007.</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Trading Securities</w:t>
      </w:r>
    </w:p>
    <w:p>
      <w:pPr>
        <w:spacing w:after="0" w:line="243" w:lineRule="exact"/>
        <w:rPr>
          <w:sz w:val="20"/>
          <w:szCs w:val="20"/>
          <w:color w:val="auto"/>
        </w:rPr>
      </w:pPr>
    </w:p>
    <w:p>
      <w:pPr>
        <w:ind w:right="1000"/>
        <w:spacing w:after="0" w:line="260" w:lineRule="auto"/>
        <w:rPr>
          <w:sz w:val="20"/>
          <w:szCs w:val="20"/>
          <w:color w:val="auto"/>
        </w:rPr>
      </w:pPr>
      <w:r>
        <w:rPr>
          <w:rFonts w:ascii="Arial" w:cs="Arial" w:eastAsia="Arial" w:hAnsi="Arial"/>
          <w:sz w:val="20"/>
          <w:szCs w:val="20"/>
          <w:color w:val="auto"/>
        </w:rPr>
        <w:t>Sempra Commodities had securities of $16 million and $13 million classified as trading securities at December 31, 2007 and 2006, respectively.</w:t>
      </w:r>
    </w:p>
    <w:p>
      <w:pPr>
        <w:spacing w:after="0" w:line="204" w:lineRule="exact"/>
        <w:rPr>
          <w:sz w:val="20"/>
          <w:szCs w:val="20"/>
          <w:color w:val="auto"/>
        </w:rPr>
      </w:pPr>
    </w:p>
    <w:p>
      <w:pPr>
        <w:jc w:val="both"/>
        <w:ind w:right="80"/>
        <w:spacing w:after="0" w:line="269" w:lineRule="auto"/>
        <w:rPr>
          <w:sz w:val="20"/>
          <w:szCs w:val="20"/>
          <w:color w:val="auto"/>
        </w:rPr>
      </w:pPr>
      <w:r>
        <w:rPr>
          <w:rFonts w:ascii="Arial" w:cs="Arial" w:eastAsia="Arial" w:hAnsi="Arial"/>
          <w:sz w:val="19"/>
          <w:szCs w:val="19"/>
          <w:color w:val="auto"/>
        </w:rPr>
        <w:t>In 2007, Sempra Commodities recorded $14 million of pretax gains related to trading securities, including a pretax gain of $6 million resulting from sales, an unrealized pretax gain of $8 million from transfers to trading securities from available-for-sale securities due to changes in their status and an unrealized pretax loss of a negligible amount related to securities held at December 31, 2007.</w:t>
      </w:r>
    </w:p>
    <w:p>
      <w:pPr>
        <w:spacing w:after="0" w:line="197"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The December 31, 2006 balance in trading securities included $3 million of securities that were reclassified from available-for-sale securities and $3 million that were reclassified from other investments during 2006 due to changes in their status. In 2006, Sempra Commodities recorded $19 million of pretax gains related to trading securities, including a pretax gain of $17 million resulting from sales, an unrealized pretax gain of $1 million from the aforementioned transfers to trading securities and an unrealized pretax gain of $1 million related to securities held at December 31, 2006.</w:t>
      </w:r>
    </w:p>
    <w:p>
      <w:pPr>
        <w:spacing w:after="0" w:line="222" w:lineRule="exact"/>
        <w:rPr>
          <w:sz w:val="20"/>
          <w:szCs w:val="20"/>
          <w:color w:val="auto"/>
        </w:rPr>
      </w:pPr>
    </w:p>
    <w:p>
      <w:pPr>
        <w:ind w:right="480"/>
        <w:spacing w:after="0" w:line="260" w:lineRule="auto"/>
        <w:rPr>
          <w:sz w:val="20"/>
          <w:szCs w:val="20"/>
          <w:color w:val="auto"/>
        </w:rPr>
      </w:pPr>
      <w:r>
        <w:rPr>
          <w:rFonts w:ascii="Arial" w:cs="Arial" w:eastAsia="Arial" w:hAnsi="Arial"/>
          <w:sz w:val="20"/>
          <w:szCs w:val="20"/>
          <w:color w:val="auto"/>
        </w:rPr>
        <w:t>In 2005, Sempra Commodities recognized a $5 million pretax gain in earnings from the reclassification of $9 million of available-for-sale securities to trading securities.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Sempra Financial</w:t>
      </w:r>
    </w:p>
    <w:p>
      <w:pPr>
        <w:spacing w:after="0" w:line="249" w:lineRule="exact"/>
        <w:rPr>
          <w:sz w:val="20"/>
          <w:szCs w:val="20"/>
          <w:color w:val="auto"/>
        </w:rPr>
      </w:pPr>
    </w:p>
    <w:p>
      <w:pPr>
        <w:jc w:val="both"/>
        <w:ind w:right="400"/>
        <w:spacing w:after="0" w:line="250" w:lineRule="auto"/>
        <w:rPr>
          <w:sz w:val="20"/>
          <w:szCs w:val="20"/>
          <w:color w:val="auto"/>
        </w:rPr>
      </w:pPr>
      <w:r>
        <w:rPr>
          <w:rFonts w:ascii="Arial" w:cs="Arial" w:eastAsia="Arial" w:hAnsi="Arial"/>
          <w:sz w:val="20"/>
          <w:szCs w:val="20"/>
          <w:color w:val="auto"/>
        </w:rPr>
        <w:t>Prior to June 2006, Sempra Financial invested as a limited partner in affordable-housing properties. Sempra Financial’s portfolio included 1,300 properties throughout the United States that provided income tax benefits (primarily from income tax credits) generally over 10-year periods.</w:t>
      </w:r>
    </w:p>
    <w:p>
      <w:pPr>
        <w:spacing w:after="0" w:line="213" w:lineRule="exact"/>
        <w:rPr>
          <w:sz w:val="20"/>
          <w:szCs w:val="20"/>
          <w:color w:val="auto"/>
        </w:rPr>
      </w:pPr>
    </w:p>
    <w:p>
      <w:pPr>
        <w:ind w:right="80"/>
        <w:spacing w:after="0" w:line="244" w:lineRule="auto"/>
        <w:rPr>
          <w:sz w:val="20"/>
          <w:szCs w:val="20"/>
          <w:color w:val="auto"/>
        </w:rPr>
      </w:pPr>
      <w:r>
        <w:rPr>
          <w:rFonts w:ascii="Arial" w:cs="Arial" w:eastAsia="Arial" w:hAnsi="Arial"/>
          <w:sz w:val="20"/>
          <w:szCs w:val="20"/>
          <w:color w:val="auto"/>
        </w:rPr>
        <w:t>In June 2006, Sempra Financial effectively sold the majority of its interests in affordable-housing projects to an unrelated party for $83 million subject to certain guarantees. Because of the guarantees, the transaction has been recorded as a financing transaction rather than as a sale, and the company consolidates the investments in the housing partnerships. Subsequent to the transaction, the company expects slightly higher income tax rates since the transaction almost completely eliminated the income tax benefits from the company's affordable-housing investments.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20"/>
          <w:szCs w:val="20"/>
          <w:color w:val="auto"/>
        </w:rPr>
        <w:t>72</w:t>
      </w:r>
    </w:p>
    <w:p>
      <w:pPr>
        <w:sectPr>
          <w:pgSz w:w="11900" w:h="16838" w:orient="portrait"/>
          <w:cols w:equalWidth="0" w:num="1">
            <w:col w:w="11400"/>
          </w:cols>
          <w:pgMar w:left="240" w:top="121" w:right="259" w:bottom="1440" w:gutter="0" w:footer="0" w:header="0"/>
        </w:sectPr>
      </w:pPr>
    </w:p>
    <w:bookmarkStart w:id="140" w:name="page141"/>
    <w:bookmarkEnd w:id="140"/>
    <w:p>
      <w:pPr>
        <w:spacing w:after="0"/>
        <w:rPr>
          <w:sz w:val="20"/>
          <w:szCs w:val="20"/>
          <w:color w:val="auto"/>
        </w:rPr>
      </w:pPr>
      <w:r>
        <w:rPr>
          <w:rFonts w:ascii="Arial" w:cs="Arial" w:eastAsia="Arial" w:hAnsi="Arial"/>
          <w:sz w:val="20"/>
          <w:szCs w:val="20"/>
          <w:b w:val="1"/>
          <w:bCs w:val="1"/>
          <w:color w:val="auto"/>
        </w:rPr>
        <w:t>NOTE 5. DISCONTINUED OPERATIONS</w:t>
      </w:r>
    </w:p>
    <w:p>
      <w:pPr>
        <w:spacing w:after="0" w:line="250" w:lineRule="exact"/>
        <w:rPr>
          <w:sz w:val="20"/>
          <w:szCs w:val="20"/>
          <w:color w:val="auto"/>
        </w:rPr>
      </w:pPr>
    </w:p>
    <w:p>
      <w:pPr>
        <w:jc w:val="both"/>
        <w:ind w:right="180"/>
        <w:spacing w:after="0" w:line="282" w:lineRule="auto"/>
        <w:rPr>
          <w:sz w:val="20"/>
          <w:szCs w:val="20"/>
          <w:color w:val="auto"/>
        </w:rPr>
      </w:pPr>
      <w:r>
        <w:rPr>
          <w:rFonts w:ascii="Arial" w:cs="Arial" w:eastAsia="Arial" w:hAnsi="Arial"/>
          <w:sz w:val="18"/>
          <w:szCs w:val="18"/>
          <w:color w:val="auto"/>
        </w:rPr>
        <w:t>In the second quarter of 2006, Sempra Generation sold its 305-MW, coal-fired Twin Oaks Power plant (Twin Oaks) in Texas for $479 million in cash. Also in the second quarter, Sempra Generation completed the sales of Energy Services, which provided energy-saving facilities, and Facilities Management, which managed building heating and cooling facilities, for a total of $95 million in cash. In the third quarter of 2006, Sempra Generation sold its exploration and production subsidiary, Sempra Energy Production Company (SEPCO), for $225 million in cash.</w:t>
      </w:r>
    </w:p>
    <w:p>
      <w:pPr>
        <w:spacing w:after="0" w:line="189" w:lineRule="exact"/>
        <w:rPr>
          <w:sz w:val="20"/>
          <w:szCs w:val="20"/>
          <w:color w:val="auto"/>
        </w:rPr>
      </w:pPr>
    </w:p>
    <w:p>
      <w:pPr>
        <w:ind w:right="260"/>
        <w:spacing w:after="0" w:line="244" w:lineRule="auto"/>
        <w:rPr>
          <w:sz w:val="20"/>
          <w:szCs w:val="20"/>
          <w:color w:val="auto"/>
        </w:rPr>
      </w:pPr>
      <w:r>
        <w:rPr>
          <w:rFonts w:ascii="Arial" w:cs="Arial" w:eastAsia="Arial" w:hAnsi="Arial"/>
          <w:sz w:val="20"/>
          <w:szCs w:val="20"/>
          <w:color w:val="auto"/>
        </w:rPr>
        <w:t>In June 2006, pursuant to Sempra Energy’s previously announced plan to focus resources on the development of its core businesses, Sempra Energy’s management decided to sell Bangor Gas and Frontier Energy, Sempra Pipelines &amp; Storage’s natural gas distribution companies located in Maine and North Carolina, respectively. In accordance with SFAS 144, the company recorded an after-tax impairment loss of $40 million in 2006. The sales of Frontier Energy and Bangor Gas were completed on September 30, and November 30, 2007, respectively, for a total of $5 million in cash.</w:t>
      </w:r>
    </w:p>
    <w:p>
      <w:pPr>
        <w:spacing w:after="0" w:line="222"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In accordance with SFAS 144, the above operations have been reported as discontinued for all periods presented in the company’s Consolidated Financial Statements.</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Information concerning discontinued operations is summarized below:</w:t>
      </w:r>
    </w:p>
    <w:p>
      <w:pPr>
        <w:spacing w:after="0" w:line="286" w:lineRule="exact"/>
        <w:rPr>
          <w:sz w:val="20"/>
          <w:szCs w:val="20"/>
          <w:color w:val="auto"/>
        </w:rPr>
      </w:pPr>
    </w:p>
    <w:tbl>
      <w:tblPr>
        <w:tblLayout w:type="fixed"/>
        <w:tblInd w:w="1560" w:type="dxa"/>
        <w:tblCellMar>
          <w:top w:w="0" w:type="dxa"/>
          <w:left w:w="0" w:type="dxa"/>
          <w:bottom w:w="0" w:type="dxa"/>
          <w:right w:w="0" w:type="dxa"/>
        </w:tblCellMar>
      </w:tblPr>
      <w:tr>
        <w:trPr>
          <w:trHeight w:val="237"/>
        </w:trPr>
        <w:tc>
          <w:tcPr>
            <w:tcW w:w="45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8"/>
                <w:szCs w:val="18"/>
                <w:color w:val="auto"/>
                <w:w w:val="86"/>
              </w:rPr>
              <w:t>Years ended December 31,</w:t>
            </w:r>
          </w:p>
        </w:tc>
        <w:tc>
          <w:tcPr>
            <w:tcW w:w="720" w:type="dxa"/>
            <w:vAlign w:val="bottom"/>
            <w:tcBorders>
              <w:bottom w:val="single" w:sz="8" w:color="auto"/>
            </w:tcBorders>
          </w:tcPr>
          <w:p>
            <w:pPr>
              <w:spacing w:after="0"/>
              <w:rPr>
                <w:sz w:val="20"/>
                <w:szCs w:val="20"/>
                <w:color w:val="auto"/>
              </w:rPr>
            </w:pPr>
          </w:p>
        </w:tc>
      </w:tr>
      <w:tr>
        <w:trPr>
          <w:trHeight w:val="237"/>
        </w:trPr>
        <w:tc>
          <w:tcPr>
            <w:tcW w:w="45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(Dollars in millions)</w:t>
            </w:r>
          </w:p>
        </w:tc>
        <w:tc>
          <w:tcPr>
            <w:tcW w:w="3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2007</w:t>
            </w:r>
          </w:p>
        </w:tc>
        <w:tc>
          <w:tcPr>
            <w:tcW w:w="7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2006</w:t>
            </w:r>
          </w:p>
        </w:tc>
        <w:tc>
          <w:tcPr>
            <w:tcW w:w="5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2005</w:t>
            </w:r>
          </w:p>
        </w:tc>
      </w:tr>
      <w:tr>
        <w:trPr>
          <w:trHeight w:val="263"/>
        </w:trPr>
        <w:tc>
          <w:tcPr>
            <w:tcW w:w="4540" w:type="dxa"/>
            <w:vAlign w:val="bottom"/>
          </w:tcPr>
          <w:p>
            <w:pPr>
              <w:ind w:left="20"/>
              <w:spacing w:after="0"/>
              <w:rPr>
                <w:sz w:val="20"/>
                <w:szCs w:val="20"/>
                <w:color w:val="auto"/>
              </w:rPr>
            </w:pPr>
            <w:r>
              <w:rPr>
                <w:rFonts w:ascii="Arial" w:cs="Arial" w:eastAsia="Arial" w:hAnsi="Arial"/>
                <w:sz w:val="18"/>
                <w:szCs w:val="18"/>
                <w:color w:val="auto"/>
              </w:rPr>
              <w:t>Operating revenues</w:t>
            </w:r>
          </w:p>
        </w:tc>
        <w:tc>
          <w:tcPr>
            <w:tcW w:w="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7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89</w:t>
            </w:r>
          </w:p>
        </w:tc>
        <w:tc>
          <w:tcPr>
            <w:tcW w:w="5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225</w:t>
            </w:r>
          </w:p>
        </w:tc>
      </w:tr>
      <w:tr>
        <w:trPr>
          <w:trHeight w:val="473"/>
        </w:trPr>
        <w:tc>
          <w:tcPr>
            <w:tcW w:w="4540" w:type="dxa"/>
            <w:vAlign w:val="bottom"/>
          </w:tcPr>
          <w:p>
            <w:pPr>
              <w:ind w:left="20"/>
              <w:spacing w:after="0"/>
              <w:rPr>
                <w:sz w:val="20"/>
                <w:szCs w:val="20"/>
                <w:color w:val="auto"/>
              </w:rPr>
            </w:pPr>
            <w:r>
              <w:rPr>
                <w:rFonts w:ascii="Arial" w:cs="Arial" w:eastAsia="Arial" w:hAnsi="Arial"/>
                <w:sz w:val="18"/>
                <w:szCs w:val="18"/>
                <w:color w:val="auto"/>
              </w:rPr>
              <w:t>Income from operations, before income taxes</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w:t>
            </w:r>
          </w:p>
        </w:tc>
        <w:tc>
          <w:tcPr>
            <w:tcW w:w="7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10"/>
              <w:spacing w:after="0"/>
              <w:rPr>
                <w:sz w:val="20"/>
                <w:szCs w:val="20"/>
                <w:color w:val="auto"/>
              </w:rPr>
            </w:pPr>
            <w:r>
              <w:rPr>
                <w:rFonts w:ascii="Arial" w:cs="Arial" w:eastAsia="Arial" w:hAnsi="Arial"/>
                <w:sz w:val="18"/>
                <w:szCs w:val="18"/>
                <w:color w:val="auto"/>
              </w:rPr>
              <w:t>20</w:t>
            </w:r>
          </w:p>
        </w:tc>
        <w:tc>
          <w:tcPr>
            <w:tcW w:w="5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25</w:t>
            </w: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color w:val="auto"/>
              </w:rPr>
              <w:t>Impairment loss</w:t>
            </w:r>
          </w:p>
        </w:tc>
        <w:tc>
          <w:tcPr>
            <w:tcW w:w="3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1"/>
                <w:szCs w:val="21"/>
                <w:color w:val="auto"/>
              </w:rPr>
            </w:pPr>
          </w:p>
        </w:tc>
        <w:tc>
          <w:tcPr>
            <w:tcW w:w="840" w:type="dxa"/>
            <w:vAlign w:val="bottom"/>
          </w:tcPr>
          <w:p>
            <w:pPr>
              <w:jc w:val="right"/>
              <w:ind w:right="110"/>
              <w:spacing w:after="0"/>
              <w:rPr>
                <w:sz w:val="20"/>
                <w:szCs w:val="20"/>
                <w:color w:val="auto"/>
              </w:rPr>
            </w:pPr>
            <w:r>
              <w:rPr>
                <w:rFonts w:ascii="Arial" w:cs="Arial" w:eastAsia="Arial" w:hAnsi="Arial"/>
                <w:sz w:val="18"/>
                <w:szCs w:val="18"/>
                <w:color w:val="auto"/>
              </w:rPr>
              <w:t>(68 )</w:t>
            </w:r>
          </w:p>
        </w:tc>
        <w:tc>
          <w:tcPr>
            <w:tcW w:w="520" w:type="dxa"/>
            <w:vAlign w:val="bottom"/>
          </w:tcPr>
          <w:p>
            <w:pPr>
              <w:spacing w:after="0"/>
              <w:rPr>
                <w:sz w:val="21"/>
                <w:szCs w:val="21"/>
                <w:color w:val="auto"/>
              </w:rPr>
            </w:pP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color w:val="auto"/>
              </w:rPr>
              <w:t>Income tax expense (benefit)</w:t>
            </w:r>
          </w:p>
        </w:tc>
        <w:tc>
          <w:tcPr>
            <w:tcW w:w="3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w:t>
            </w:r>
          </w:p>
        </w:tc>
        <w:tc>
          <w:tcPr>
            <w:tcW w:w="760" w:type="dxa"/>
            <w:vAlign w:val="bottom"/>
          </w:tcPr>
          <w:p>
            <w:pPr>
              <w:spacing w:after="0"/>
              <w:rPr>
                <w:sz w:val="21"/>
                <w:szCs w:val="21"/>
                <w:color w:val="auto"/>
              </w:rPr>
            </w:pPr>
          </w:p>
        </w:tc>
        <w:tc>
          <w:tcPr>
            <w:tcW w:w="840" w:type="dxa"/>
            <w:vAlign w:val="bottom"/>
          </w:tcPr>
          <w:p>
            <w:pPr>
              <w:jc w:val="right"/>
              <w:ind w:right="110"/>
              <w:spacing w:after="0"/>
              <w:rPr>
                <w:sz w:val="20"/>
                <w:szCs w:val="20"/>
                <w:color w:val="auto"/>
              </w:rPr>
            </w:pPr>
            <w:r>
              <w:rPr>
                <w:rFonts w:ascii="Arial" w:cs="Arial" w:eastAsia="Arial" w:hAnsi="Arial"/>
                <w:sz w:val="18"/>
                <w:szCs w:val="18"/>
                <w:color w:val="auto"/>
              </w:rPr>
              <w:t>(20 )</w:t>
            </w:r>
          </w:p>
        </w:tc>
        <w:tc>
          <w:tcPr>
            <w:tcW w:w="520" w:type="dxa"/>
            <w:vAlign w:val="bottom"/>
          </w:tcPr>
          <w:p>
            <w:pPr>
              <w:spacing w:after="0"/>
              <w:rPr>
                <w:sz w:val="21"/>
                <w:szCs w:val="21"/>
                <w:color w:val="auto"/>
              </w:rPr>
            </w:pP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9</w:t>
            </w:r>
          </w:p>
        </w:tc>
      </w:tr>
      <w:tr>
        <w:trPr>
          <w:trHeight w:val="257"/>
        </w:trPr>
        <w:tc>
          <w:tcPr>
            <w:tcW w:w="4540" w:type="dxa"/>
            <w:vAlign w:val="bottom"/>
          </w:tcPr>
          <w:p>
            <w:pPr>
              <w:ind w:left="20"/>
              <w:spacing w:after="0"/>
              <w:rPr>
                <w:sz w:val="20"/>
                <w:szCs w:val="20"/>
                <w:color w:val="auto"/>
              </w:rPr>
            </w:pPr>
            <w:r>
              <w:rPr>
                <w:rFonts w:ascii="Arial" w:cs="Arial" w:eastAsia="Arial" w:hAnsi="Arial"/>
                <w:sz w:val="18"/>
                <w:szCs w:val="18"/>
                <w:color w:val="auto"/>
              </w:rPr>
              <w:t>Consolidated state tax adjustment</w:t>
            </w:r>
          </w:p>
        </w:tc>
        <w:tc>
          <w:tcPr>
            <w:tcW w:w="36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w:t>
            </w:r>
          </w:p>
        </w:tc>
        <w:tc>
          <w:tcPr>
            <w:tcW w:w="5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r>
      <w:tr>
        <w:trPr>
          <w:trHeight w:val="230"/>
        </w:trPr>
        <w:tc>
          <w:tcPr>
            <w:tcW w:w="45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right"/>
              <w:ind w:right="590"/>
              <w:spacing w:after="0"/>
              <w:rPr>
                <w:sz w:val="20"/>
                <w:szCs w:val="20"/>
                <w:color w:val="auto"/>
              </w:rPr>
            </w:pPr>
            <w:r>
              <w:rPr>
                <w:rFonts w:ascii="Arial" w:cs="Arial" w:eastAsia="Arial" w:hAnsi="Arial"/>
                <w:sz w:val="18"/>
                <w:szCs w:val="18"/>
                <w:color w:val="auto"/>
              </w:rPr>
              <w:t>(2 )</w:t>
            </w:r>
          </w:p>
        </w:tc>
        <w:tc>
          <w:tcPr>
            <w:tcW w:w="8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(27 )</w:t>
            </w:r>
          </w:p>
        </w:tc>
        <w:tc>
          <w:tcPr>
            <w:tcW w:w="5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16</w:t>
            </w:r>
          </w:p>
        </w:tc>
      </w:tr>
    </w:tbl>
    <w:p>
      <w:pPr>
        <w:spacing w:after="0" w:line="200" w:lineRule="exact"/>
        <w:rPr>
          <w:sz w:val="20"/>
          <w:szCs w:val="20"/>
          <w:color w:val="auto"/>
        </w:rPr>
      </w:pPr>
    </w:p>
    <w:p>
      <w:pPr>
        <w:sectPr>
          <w:pgSz w:w="11900" w:h="16838" w:orient="portrait"/>
          <w:cols w:equalWidth="0" w:num="1">
            <w:col w:w="11400"/>
          </w:cols>
          <w:pgMar w:left="240" w:top="115" w:right="259" w:bottom="1440" w:gutter="0" w:footer="0" w:header="0"/>
        </w:sectPr>
      </w:pPr>
    </w:p>
    <w:p>
      <w:pPr>
        <w:spacing w:after="0" w:line="42" w:lineRule="exact"/>
        <w:rPr>
          <w:sz w:val="20"/>
          <w:szCs w:val="20"/>
          <w:color w:val="auto"/>
        </w:rPr>
      </w:pPr>
    </w:p>
    <w:p>
      <w:pPr>
        <w:ind w:left="1580" w:right="620"/>
        <w:spacing w:after="0" w:line="289" w:lineRule="auto"/>
        <w:rPr>
          <w:sz w:val="20"/>
          <w:szCs w:val="20"/>
          <w:color w:val="auto"/>
        </w:rPr>
      </w:pPr>
      <w:r>
        <w:rPr>
          <w:rFonts w:ascii="Arial" w:cs="Arial" w:eastAsia="Arial" w:hAnsi="Arial"/>
          <w:sz w:val="18"/>
          <w:szCs w:val="18"/>
          <w:color w:val="auto"/>
        </w:rPr>
        <w:t>Gain (loss) on disposal, before income taxes Income tax expense</w:t>
      </w:r>
    </w:p>
    <w:p>
      <w:pPr>
        <w:spacing w:after="0" w:line="1"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Consolidated state tax adjustment</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420" w:type="dxa"/>
            <w:vAlign w:val="bottom"/>
          </w:tcPr>
          <w:p>
            <w:pPr>
              <w:spacing w:after="0"/>
              <w:rPr>
                <w:sz w:val="20"/>
                <w:szCs w:val="20"/>
                <w:color w:val="auto"/>
              </w:rPr>
            </w:pP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(2 )</w:t>
            </w:r>
          </w:p>
        </w:tc>
        <w:tc>
          <w:tcPr>
            <w:tcW w:w="520" w:type="dxa"/>
            <w:vAlign w:val="bottom"/>
          </w:tcPr>
          <w:p>
            <w:pPr>
              <w:spacing w:after="0"/>
              <w:rPr>
                <w:sz w:val="20"/>
                <w:szCs w:val="20"/>
                <w:color w:val="auto"/>
              </w:rPr>
            </w:pPr>
          </w:p>
        </w:tc>
        <w:tc>
          <w:tcPr>
            <w:tcW w:w="800" w:type="dxa"/>
            <w:vAlign w:val="bottom"/>
          </w:tcPr>
          <w:p>
            <w:pPr>
              <w:jc w:val="right"/>
              <w:ind w:right="210"/>
              <w:spacing w:after="0"/>
              <w:rPr>
                <w:sz w:val="20"/>
                <w:szCs w:val="20"/>
                <w:color w:val="auto"/>
              </w:rPr>
            </w:pPr>
            <w:r>
              <w:rPr>
                <w:rFonts w:ascii="Arial" w:cs="Arial" w:eastAsia="Arial" w:hAnsi="Arial"/>
                <w:sz w:val="18"/>
                <w:szCs w:val="18"/>
                <w:color w:val="auto"/>
              </w:rPr>
              <w:t>525</w:t>
            </w:r>
          </w:p>
        </w:tc>
        <w:tc>
          <w:tcPr>
            <w:tcW w:w="6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(9 )</w:t>
            </w:r>
          </w:p>
        </w:tc>
      </w:tr>
      <w:tr>
        <w:trPr>
          <w:trHeight w:val="243"/>
        </w:trPr>
        <w:tc>
          <w:tcPr>
            <w:tcW w:w="420" w:type="dxa"/>
            <w:vAlign w:val="bottom"/>
          </w:tcPr>
          <w:p>
            <w:pPr>
              <w:spacing w:after="0"/>
              <w:rPr>
                <w:sz w:val="21"/>
                <w:szCs w:val="21"/>
                <w:color w:val="auto"/>
              </w:rPr>
            </w:pPr>
          </w:p>
        </w:tc>
        <w:tc>
          <w:tcPr>
            <w:tcW w:w="780" w:type="dxa"/>
            <w:vAlign w:val="bottom"/>
          </w:tcPr>
          <w:p>
            <w:pPr>
              <w:jc w:val="right"/>
              <w:ind w:right="190"/>
              <w:spacing w:after="0"/>
              <w:rPr>
                <w:sz w:val="20"/>
                <w:szCs w:val="20"/>
                <w:color w:val="auto"/>
              </w:rPr>
            </w:pPr>
            <w:r>
              <w:rPr>
                <w:rFonts w:ascii="Arial" w:cs="Arial" w:eastAsia="Arial" w:hAnsi="Arial"/>
                <w:sz w:val="18"/>
                <w:szCs w:val="18"/>
                <w:color w:val="auto"/>
              </w:rPr>
              <w:t>23</w:t>
            </w:r>
          </w:p>
        </w:tc>
        <w:tc>
          <w:tcPr>
            <w:tcW w:w="520" w:type="dxa"/>
            <w:vAlign w:val="bottom"/>
          </w:tcPr>
          <w:p>
            <w:pPr>
              <w:spacing w:after="0"/>
              <w:rPr>
                <w:sz w:val="21"/>
                <w:szCs w:val="21"/>
                <w:color w:val="auto"/>
              </w:rPr>
            </w:pPr>
          </w:p>
        </w:tc>
        <w:tc>
          <w:tcPr>
            <w:tcW w:w="800" w:type="dxa"/>
            <w:vAlign w:val="bottom"/>
          </w:tcPr>
          <w:p>
            <w:pPr>
              <w:jc w:val="right"/>
              <w:ind w:right="210"/>
              <w:spacing w:after="0"/>
              <w:rPr>
                <w:sz w:val="20"/>
                <w:szCs w:val="20"/>
                <w:color w:val="auto"/>
              </w:rPr>
            </w:pPr>
            <w:r>
              <w:rPr>
                <w:rFonts w:ascii="Arial" w:cs="Arial" w:eastAsia="Arial" w:hAnsi="Arial"/>
                <w:sz w:val="18"/>
                <w:szCs w:val="18"/>
                <w:color w:val="auto"/>
              </w:rPr>
              <w:t>174</w:t>
            </w:r>
          </w:p>
        </w:tc>
        <w:tc>
          <w:tcPr>
            <w:tcW w:w="620" w:type="dxa"/>
            <w:vAlign w:val="bottom"/>
          </w:tcPr>
          <w:p>
            <w:pPr>
              <w:spacing w:after="0"/>
              <w:rPr>
                <w:sz w:val="21"/>
                <w:szCs w:val="21"/>
                <w:color w:val="auto"/>
              </w:rPr>
            </w:pP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50"/>
        </w:trPr>
        <w:tc>
          <w:tcPr>
            <w:tcW w:w="4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w:t>
            </w:r>
          </w:p>
        </w:tc>
        <w:tc>
          <w:tcPr>
            <w:tcW w:w="5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(9 )</w:t>
            </w:r>
          </w:p>
        </w:tc>
        <w:tc>
          <w:tcPr>
            <w:tcW w:w="6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r>
      <w:tr>
        <w:trPr>
          <w:trHeight w:val="237"/>
        </w:trPr>
        <w:tc>
          <w:tcPr>
            <w:tcW w:w="4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(24 )</w:t>
            </w:r>
          </w:p>
        </w:tc>
        <w:tc>
          <w:tcPr>
            <w:tcW w:w="5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342</w:t>
            </w:r>
          </w:p>
        </w:tc>
        <w:tc>
          <w:tcPr>
            <w:tcW w:w="6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(9 )</w:t>
            </w:r>
          </w:p>
        </w:tc>
      </w:tr>
      <w:tr>
        <w:trPr>
          <w:trHeight w:val="230"/>
        </w:trPr>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(26 )</w:t>
            </w:r>
          </w:p>
        </w:tc>
        <w:tc>
          <w:tcPr>
            <w:tcW w:w="5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210"/>
              <w:spacing w:after="0"/>
              <w:rPr>
                <w:sz w:val="20"/>
                <w:szCs w:val="20"/>
                <w:color w:val="auto"/>
              </w:rPr>
            </w:pPr>
            <w:r>
              <w:rPr>
                <w:rFonts w:ascii="Arial" w:cs="Arial" w:eastAsia="Arial" w:hAnsi="Arial"/>
                <w:sz w:val="18"/>
                <w:szCs w:val="18"/>
                <w:color w:val="auto"/>
              </w:rPr>
              <w:t>315</w:t>
            </w:r>
          </w:p>
        </w:tc>
        <w:tc>
          <w:tcPr>
            <w:tcW w:w="6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-2881630</wp:posOffset>
            </wp:positionH>
            <wp:positionV relativeFrom="paragraph">
              <wp:posOffset>8255</wp:posOffset>
            </wp:positionV>
            <wp:extent cx="527431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274310" cy="260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80" w:space="720"/>
            <w:col w:w="5300"/>
          </w:cols>
          <w:pgMar w:left="240" w:top="115" w:right="259" w:bottom="1440" w:gutter="0" w:footer="0" w:header="0"/>
          <w:type w:val="continuous"/>
        </w:sectPr>
      </w:pPr>
    </w:p>
    <w:p>
      <w:pPr>
        <w:spacing w:after="0" w:line="79" w:lineRule="exact"/>
        <w:rPr>
          <w:sz w:val="20"/>
          <w:szCs w:val="20"/>
          <w:color w:val="auto"/>
        </w:rPr>
      </w:pPr>
    </w:p>
    <w:p>
      <w:pPr>
        <w:ind w:right="180"/>
        <w:spacing w:after="0" w:line="260" w:lineRule="auto"/>
        <w:rPr>
          <w:sz w:val="20"/>
          <w:szCs w:val="20"/>
          <w:color w:val="auto"/>
        </w:rPr>
      </w:pPr>
      <w:r>
        <w:rPr>
          <w:rFonts w:ascii="Arial" w:cs="Arial" w:eastAsia="Arial" w:hAnsi="Arial"/>
          <w:sz w:val="20"/>
          <w:szCs w:val="20"/>
          <w:color w:val="auto"/>
        </w:rPr>
        <w:t>Current assets and liabilities of discontinued operations at December 31, 2006 consist primarily of income tax balances related to Bangor Gas and Frontier Energy.</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6. DEBT AND CREDIT FACILITIES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Committed Lines of Credit</w:t>
      </w:r>
    </w:p>
    <w:p>
      <w:pPr>
        <w:spacing w:after="0" w:line="249" w:lineRule="exact"/>
        <w:rPr>
          <w:sz w:val="20"/>
          <w:szCs w:val="20"/>
          <w:color w:val="auto"/>
        </w:rPr>
      </w:pPr>
    </w:p>
    <w:p>
      <w:pPr>
        <w:ind w:right="960"/>
        <w:spacing w:after="0" w:line="260" w:lineRule="auto"/>
        <w:rPr>
          <w:sz w:val="20"/>
          <w:szCs w:val="20"/>
          <w:color w:val="auto"/>
        </w:rPr>
      </w:pPr>
      <w:r>
        <w:rPr>
          <w:rFonts w:ascii="Arial" w:cs="Arial" w:eastAsia="Arial" w:hAnsi="Arial"/>
          <w:sz w:val="20"/>
          <w:szCs w:val="20"/>
          <w:color w:val="auto"/>
        </w:rPr>
        <w:t>At December 31, 2007, the company had available $5.2 billion in unused, committed lines of credit to provide liquidity and support commercial paper (the major components of which are detailed below).</w:t>
      </w:r>
    </w:p>
    <w:p>
      <w:pPr>
        <w:spacing w:after="0" w:line="204" w:lineRule="exact"/>
        <w:rPr>
          <w:sz w:val="20"/>
          <w:szCs w:val="20"/>
          <w:color w:val="auto"/>
        </w:rPr>
      </w:pPr>
    </w:p>
    <w:p>
      <w:pPr>
        <w:ind w:right="460"/>
        <w:spacing w:after="0" w:line="260" w:lineRule="auto"/>
        <w:rPr>
          <w:sz w:val="20"/>
          <w:szCs w:val="20"/>
          <w:color w:val="auto"/>
        </w:rPr>
      </w:pPr>
      <w:r>
        <w:rPr>
          <w:rFonts w:ascii="Arial" w:cs="Arial" w:eastAsia="Arial" w:hAnsi="Arial"/>
          <w:sz w:val="20"/>
          <w:szCs w:val="20"/>
          <w:color w:val="auto"/>
        </w:rPr>
        <w:t>Sempra Global has a $2.5 billion, five-year syndicated revolving credit facility expiring in 2010 and a $750 million, three-year syndicated revolving credit facility expiring in November 2008. The five-year</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color w:val="auto"/>
        </w:rPr>
        <w:t>73</w:t>
      </w:r>
    </w:p>
    <w:p>
      <w:pPr>
        <w:sectPr>
          <w:pgSz w:w="11900" w:h="16838" w:orient="portrait"/>
          <w:cols w:equalWidth="0" w:num="1">
            <w:col w:w="11400"/>
          </w:cols>
          <w:pgMar w:left="240" w:top="115" w:right="259" w:bottom="1440" w:gutter="0" w:footer="0" w:header="0"/>
          <w:type w:val="continuous"/>
        </w:sectPr>
      </w:pPr>
    </w:p>
    <w:bookmarkStart w:id="141" w:name="page142"/>
    <w:bookmarkEnd w:id="141"/>
    <w:p>
      <w:pPr>
        <w:ind w:right="60"/>
        <w:spacing w:after="0" w:line="258" w:lineRule="auto"/>
        <w:rPr>
          <w:sz w:val="20"/>
          <w:szCs w:val="20"/>
          <w:color w:val="auto"/>
        </w:rPr>
      </w:pPr>
      <w:r>
        <w:rPr>
          <w:rFonts w:ascii="Arial" w:cs="Arial" w:eastAsia="Arial" w:hAnsi="Arial"/>
          <w:sz w:val="19"/>
          <w:szCs w:val="19"/>
          <w:color w:val="auto"/>
        </w:rPr>
        <w:t>and three-year credit facilities include provisions for the issuance of up to $400 million and $500 million, respectively, of letters of credit on behalf of Sempra Global. The amount of borrowings otherwise available under each facility would be reduced by the amount of outstanding letters of credit. Obligations under each facility are guaranteed by Sempra Energy and bear interest at rates varying with market rates and Sempra Energy's credit rating. Each facility requires Sempra Energy to maintain, at the end of each quarter, a ratio of total indebtedness to total capitalization (as defined in the facility) of no more than 65 percent. At December 31, 2007, Sempra Global had letters of credit of $43 million outstanding under the five-year facility and no outstanding borrowings under either facility. The facilities provide support for $642 million of commercial paper outstanding at December 31, 2007.</w:t>
      </w:r>
    </w:p>
    <w:p>
      <w:pPr>
        <w:spacing w:after="0" w:line="207"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Sempra Commodities has a five-year syndicated revolving credit facility expiring in 2010 that provides for up to $1.72 billion of extensions of credit (consisting of borrowings, letters of credit and other credit support accommodations) to Sempra Commodities and certain of its affiliates. The amount of credit available under the facility is limited to the amount of a borrowing base consisting of receivables, inventories and other assets of Sempra Commodities that secure the credit facility and are valued for purposes of the borrowing base at varying percentages of current market value. Extensions of credit are guaranteed by Sempra Energy subject to a maximum guarantee liability of 20 percent of the lenders' total commitments under the facility. The facility requires Sempra Commodities to meet certain financial tests at the end of each quarter, including leverage ratio, senior debt to tangible net worth ratio, and minimum working capital, net worth and t angible net worth tests. It also requires Sempra Energy to maintain, at the end of each quarter, a ratio of total indebtedness to total capitalization (as defined in the facility) of no more than 65 percent. It also imposes certain other limitations on Sempra Commodities, including limitations on other indebtedness, capital expenditures, liens, transfers of assets, investments, loans, advances, dividends, other distributions, modifications of risk-management policies and transactions with affiliates. At December 31, 2007, Sempra Commodities had $352 million of outstanding borrowings under this facility. At December 31, 2007, letters of credit of $635 million were outstanding under the facility.</w:t>
      </w:r>
    </w:p>
    <w:p>
      <w:pPr>
        <w:spacing w:after="0" w:line="204" w:lineRule="exact"/>
        <w:rPr>
          <w:sz w:val="20"/>
          <w:szCs w:val="20"/>
          <w:color w:val="auto"/>
        </w:rPr>
      </w:pPr>
    </w:p>
    <w:p>
      <w:pPr>
        <w:ind w:right="100"/>
        <w:spacing w:after="0" w:line="243" w:lineRule="auto"/>
        <w:rPr>
          <w:sz w:val="20"/>
          <w:szCs w:val="20"/>
          <w:color w:val="auto"/>
        </w:rPr>
      </w:pPr>
      <w:r>
        <w:rPr>
          <w:rFonts w:ascii="Arial" w:cs="Arial" w:eastAsia="Arial" w:hAnsi="Arial"/>
          <w:sz w:val="20"/>
          <w:szCs w:val="20"/>
          <w:color w:val="auto"/>
        </w:rPr>
        <w:t>Sempra Commodities also has a $500 million, three-year credit facility expiring in 2009 that provides for extensions of credit (consisting of borrowings and the issuance of letters of credit and bank guarantees) to Sempra Commodities. Extensions of credit under the facility are guaranteed by Sempra Energy and bear interest at rates varying with market rates plus a fixed credit spread. The facility requires Sempra Energy to maintain, at the end of each quarter, a ratio of total indebtedness to total capitalization (as defined in the facility) of no more than 65 percent. Sempra Commodities had $70 million of outstanding borrowings and $341 million of outstanding letters of credit under this facility at December 31, 2007.</w:t>
      </w:r>
    </w:p>
    <w:p>
      <w:pPr>
        <w:spacing w:after="0" w:line="224" w:lineRule="exact"/>
        <w:rPr>
          <w:sz w:val="20"/>
          <w:szCs w:val="20"/>
          <w:color w:val="auto"/>
        </w:rPr>
      </w:pPr>
    </w:p>
    <w:p>
      <w:pPr>
        <w:ind w:right="40"/>
        <w:spacing w:after="0" w:line="243" w:lineRule="auto"/>
        <w:rPr>
          <w:sz w:val="20"/>
          <w:szCs w:val="20"/>
          <w:color w:val="auto"/>
        </w:rPr>
      </w:pPr>
      <w:r>
        <w:rPr>
          <w:rFonts w:ascii="Arial" w:cs="Arial" w:eastAsia="Arial" w:hAnsi="Arial"/>
          <w:sz w:val="20"/>
          <w:szCs w:val="20"/>
          <w:color w:val="auto"/>
        </w:rPr>
        <w:t>Sempra LNG has a $1.25 billion, five-year syndicated revolving credit facility expiring in 2009. The facility includes provisions for the issuance of letters of credit on behalf of Sempra LNG up to $200 million outstanding at any one time. Extensions of credit under the facility are guaranteed by Sempra Energy and bear interest at rates varying with market rates and Sempra Energy's credit ratings. The facility requires Sempra Energy to maintain, at the end of each quarter, a ratio of total indebtedness to total capitalization (as defined in the facility) of no more than 65 percent. Sempra LNG had no outstanding borrowings and $85 million of outstanding letters of credit under this facility at December 31, 2007.</w:t>
      </w:r>
    </w:p>
    <w:p>
      <w:pPr>
        <w:spacing w:after="0" w:line="224" w:lineRule="exact"/>
        <w:rPr>
          <w:sz w:val="20"/>
          <w:szCs w:val="20"/>
          <w:color w:val="auto"/>
        </w:rPr>
      </w:pPr>
    </w:p>
    <w:p>
      <w:pPr>
        <w:ind w:right="280"/>
        <w:spacing w:after="0" w:line="244" w:lineRule="auto"/>
        <w:rPr>
          <w:sz w:val="20"/>
          <w:szCs w:val="20"/>
          <w:color w:val="auto"/>
        </w:rPr>
      </w:pPr>
      <w:r>
        <w:rPr>
          <w:rFonts w:ascii="Arial" w:cs="Arial" w:eastAsia="Arial" w:hAnsi="Arial"/>
          <w:sz w:val="20"/>
          <w:szCs w:val="20"/>
          <w:color w:val="auto"/>
        </w:rPr>
        <w:t>The Sempra Utilities have a combined $600 million, five-year syndicated revolving credit facility expiring in 2010, under which each utility individually may borrow up to $500 million, subject to a combined borrowing limit for both utilities of $600 million. Borrowings under the agreement bear interest at rates varying with market rates and the borrowing utility's credit rating. The agreement requires each utility to maintain, at the end of each quarter, a ratio of total indebtedness to total capitalization (as defined in the facility) of no more than 65 percent. Borrowings under the agreement are individual</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0"/>
          <w:szCs w:val="20"/>
          <w:color w:val="auto"/>
        </w:rPr>
        <w:t>74</w:t>
      </w:r>
    </w:p>
    <w:p>
      <w:pPr>
        <w:sectPr>
          <w:pgSz w:w="11900" w:h="16838" w:orient="portrait"/>
          <w:cols w:equalWidth="0" w:num="1">
            <w:col w:w="11420"/>
          </w:cols>
          <w:pgMar w:left="240" w:top="122" w:right="239" w:bottom="1440" w:gutter="0" w:footer="0" w:header="0"/>
        </w:sectPr>
      </w:pPr>
    </w:p>
    <w:bookmarkStart w:id="142" w:name="page143"/>
    <w:bookmarkEnd w:id="142"/>
    <w:p>
      <w:pPr>
        <w:spacing w:after="0" w:line="262" w:lineRule="auto"/>
        <w:rPr>
          <w:sz w:val="20"/>
          <w:szCs w:val="20"/>
          <w:color w:val="auto"/>
        </w:rPr>
      </w:pPr>
      <w:r>
        <w:rPr>
          <w:rFonts w:ascii="Arial" w:cs="Arial" w:eastAsia="Arial" w:hAnsi="Arial"/>
          <w:sz w:val="20"/>
          <w:szCs w:val="20"/>
          <w:color w:val="auto"/>
        </w:rPr>
        <w:t>obligations of the borrowing utility and a default by one utility would not constitute a default or preclude borrowings by the other. At December 31, 2007, the Sempra Utilities had no amounts outstanding under this facility.</w:t>
      </w:r>
    </w:p>
    <w:p>
      <w:pPr>
        <w:spacing w:after="0" w:line="201" w:lineRule="exact"/>
        <w:rPr>
          <w:sz w:val="20"/>
          <w:szCs w:val="20"/>
          <w:color w:val="auto"/>
        </w:rPr>
      </w:pPr>
    </w:p>
    <w:p>
      <w:pPr>
        <w:ind w:right="40"/>
        <w:spacing w:after="0" w:line="260" w:lineRule="auto"/>
        <w:rPr>
          <w:sz w:val="20"/>
          <w:szCs w:val="20"/>
          <w:color w:val="auto"/>
        </w:rPr>
      </w:pPr>
      <w:r>
        <w:rPr>
          <w:rFonts w:ascii="Arial" w:cs="Arial" w:eastAsia="Arial" w:hAnsi="Arial"/>
          <w:sz w:val="20"/>
          <w:szCs w:val="20"/>
          <w:color w:val="auto"/>
        </w:rPr>
        <w:t>Short-term borrowings in 2007 resulted from the repayment of maturing long-term debt, and to a lesser extent, increased borrowings at Sempra Commodities.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Guarantees</w:t>
      </w:r>
    </w:p>
    <w:p>
      <w:pPr>
        <w:spacing w:after="0" w:line="249" w:lineRule="exact"/>
        <w:rPr>
          <w:sz w:val="20"/>
          <w:szCs w:val="20"/>
          <w:color w:val="auto"/>
        </w:rPr>
      </w:pPr>
    </w:p>
    <w:p>
      <w:pPr>
        <w:ind w:right="80"/>
        <w:spacing w:after="0" w:line="270" w:lineRule="auto"/>
        <w:rPr>
          <w:sz w:val="20"/>
          <w:szCs w:val="20"/>
          <w:color w:val="auto"/>
        </w:rPr>
      </w:pPr>
      <w:r>
        <w:rPr>
          <w:rFonts w:ascii="Arial" w:cs="Arial" w:eastAsia="Arial" w:hAnsi="Arial"/>
          <w:sz w:val="18"/>
          <w:szCs w:val="18"/>
          <w:color w:val="auto"/>
        </w:rPr>
        <w:t>As discussed in Note 3, Sempra Energy, Conoco and KMP currently hold 25 percent, 24 percent and 51 percent ownership interests, respectively, in Rockies Express, which is constructing a natural gas pipeline to link natural gas producing areas in the Rocky Mountain region to the upper Midwest and the eastern United States. Rockies Express has entered into a $2 billion, five-year credit facility expiring in 2011 that provides for revolving extensions of credit that are guaranteed severally by Sempra Energy, Conoco and KMP in proportion to their respective ownership percentages. Borrowings under the facility bear interest at rates varying with market rates plus a margin that varies with the credit ratings of the lowest-rated guarantor. The facility requires each guarantor to comply with various financial and other covenants comparable to those contained in its senior unsecured credit facilities, consisting in the case of Sempra Energy, primarily of a req uirement that it maintain a ratio of total indebtedness to total capitalization (as defined in the facility) of no more than 65 percent at the end of each quarter. Rockies Express had no outstanding borrowings under this facility at December 31, 2007. This facility supports the Rockies Express commercial paper program, which had $1.63 billion outstanding at December 31, 2007. In September 2007, Rockies Express issued $600 million of floating rate notes maturing in August 2009 that are guaranteed severally by Sempra Energy, Conoco and KMP in proportion to their respective ownership percentages. The fair value to the company of these guarantees is negligible.</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Uncommitted Lines of Credit</w:t>
      </w:r>
    </w:p>
    <w:p>
      <w:pPr>
        <w:spacing w:after="0" w:line="249" w:lineRule="exact"/>
        <w:rPr>
          <w:sz w:val="20"/>
          <w:szCs w:val="20"/>
          <w:color w:val="auto"/>
        </w:rPr>
      </w:pPr>
    </w:p>
    <w:p>
      <w:pPr>
        <w:ind w:right="120"/>
        <w:spacing w:after="0" w:line="260" w:lineRule="auto"/>
        <w:rPr>
          <w:sz w:val="20"/>
          <w:szCs w:val="20"/>
          <w:color w:val="auto"/>
        </w:rPr>
      </w:pPr>
      <w:r>
        <w:rPr>
          <w:rFonts w:ascii="Arial" w:cs="Arial" w:eastAsia="Arial" w:hAnsi="Arial"/>
          <w:sz w:val="19"/>
          <w:szCs w:val="19"/>
          <w:color w:val="auto"/>
        </w:rPr>
        <w:t>Under uncommitted facilities, lenders provide credit on a discretionary basis. Terms are generally consistent with existing committed credit facilities. At December 31, 2007, Sempra Commodities had $918 million in various uncommitted lines of credit, which are secured by certain assets at Sempra Commodities and guaranteed by Sempra Energy up to 20 percent of the amount of borrowings or credit lines utilized, subject to additional amounts based on the recoverability of Sempra Commodities' collateral. At December 31, 2007, Sempra Commodities had $316 million of letters of credit and no short-term borrowings outstanding against these lines.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Short-Term Debt</w:t>
      </w:r>
    </w:p>
    <w:p>
      <w:pPr>
        <w:spacing w:after="0" w:line="249" w:lineRule="exact"/>
        <w:rPr>
          <w:sz w:val="20"/>
          <w:szCs w:val="20"/>
          <w:color w:val="auto"/>
        </w:rPr>
      </w:pPr>
    </w:p>
    <w:p>
      <w:pPr>
        <w:ind w:right="60"/>
        <w:spacing w:after="0" w:line="260" w:lineRule="auto"/>
        <w:rPr>
          <w:sz w:val="20"/>
          <w:szCs w:val="20"/>
          <w:color w:val="auto"/>
        </w:rPr>
      </w:pPr>
      <w:r>
        <w:rPr>
          <w:rFonts w:ascii="Arial" w:cs="Arial" w:eastAsia="Arial" w:hAnsi="Arial"/>
          <w:sz w:val="20"/>
          <w:szCs w:val="20"/>
          <w:color w:val="auto"/>
        </w:rPr>
        <w:t>In addition to its lines of credit and commercial paper, Sempra Commodities had $25 million of other short-term debt outstanding at December 31, 2006.</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Weighted Average Interest Rates</w:t>
      </w:r>
    </w:p>
    <w:p>
      <w:pPr>
        <w:spacing w:after="0" w:line="249" w:lineRule="exact"/>
        <w:rPr>
          <w:sz w:val="20"/>
          <w:szCs w:val="20"/>
          <w:color w:val="auto"/>
        </w:rPr>
      </w:pPr>
    </w:p>
    <w:p>
      <w:pPr>
        <w:ind w:right="340"/>
        <w:spacing w:after="0" w:line="260" w:lineRule="auto"/>
        <w:rPr>
          <w:sz w:val="20"/>
          <w:szCs w:val="20"/>
          <w:color w:val="auto"/>
        </w:rPr>
      </w:pPr>
      <w:r>
        <w:rPr>
          <w:rFonts w:ascii="Arial" w:cs="Arial" w:eastAsia="Arial" w:hAnsi="Arial"/>
          <w:sz w:val="20"/>
          <w:szCs w:val="20"/>
          <w:color w:val="auto"/>
        </w:rPr>
        <w:t>The company's weighted average interest rates on the total short-term debt outstanding were 5.59 percent and 5.76 percent at December 31, 2007 and 2006,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0"/>
          <w:szCs w:val="20"/>
          <w:color w:val="auto"/>
        </w:rPr>
        <w:t>75</w:t>
      </w:r>
    </w:p>
    <w:p>
      <w:pPr>
        <w:sectPr>
          <w:pgSz w:w="11900" w:h="16838" w:orient="portrait"/>
          <w:cols w:equalWidth="0" w:num="1">
            <w:col w:w="11400"/>
          </w:cols>
          <w:pgMar w:left="240" w:top="122" w:right="259" w:bottom="1440" w:gutter="0" w:footer="0" w:header="0"/>
        </w:sectPr>
      </w:pPr>
    </w:p>
    <w:bookmarkStart w:id="143" w:name="page144"/>
    <w:bookmarkEnd w:id="143"/>
    <w:p>
      <w:pPr>
        <w:spacing w:after="0"/>
        <w:rPr>
          <w:sz w:val="20"/>
          <w:szCs w:val="20"/>
          <w:color w:val="auto"/>
        </w:rPr>
      </w:pPr>
      <w:r>
        <w:rPr>
          <w:rFonts w:ascii="Arial" w:cs="Arial" w:eastAsia="Arial" w:hAnsi="Arial"/>
          <w:sz w:val="20"/>
          <w:szCs w:val="20"/>
          <w:b w:val="1"/>
          <w:bCs w:val="1"/>
          <w:color w:val="auto"/>
        </w:rPr>
        <w:t>Long-Term Debt</w:t>
      </w:r>
    </w:p>
    <w:p>
      <w:pPr>
        <w:spacing w:after="0" w:line="291" w:lineRule="exact"/>
        <w:rPr>
          <w:sz w:val="20"/>
          <w:szCs w:val="20"/>
          <w:color w:val="auto"/>
        </w:rPr>
      </w:pPr>
    </w:p>
    <w:tbl>
      <w:tblPr>
        <w:tblLayout w:type="fixed"/>
        <w:tblInd w:w="1440" w:type="dxa"/>
        <w:tblCellMar>
          <w:top w:w="0" w:type="dxa"/>
          <w:left w:w="0" w:type="dxa"/>
          <w:bottom w:w="0" w:type="dxa"/>
          <w:right w:w="0" w:type="dxa"/>
        </w:tblCellMar>
      </w:tblPr>
      <w:tr>
        <w:trPr>
          <w:trHeight w:val="237"/>
        </w:trPr>
        <w:tc>
          <w:tcPr>
            <w:tcW w:w="6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center"/>
              <w:ind w:right="10"/>
              <w:spacing w:after="0"/>
              <w:rPr>
                <w:sz w:val="20"/>
                <w:szCs w:val="20"/>
                <w:color w:val="auto"/>
              </w:rPr>
            </w:pPr>
            <w:r>
              <w:rPr>
                <w:rFonts w:ascii="Arial" w:cs="Arial" w:eastAsia="Arial" w:hAnsi="Arial"/>
                <w:sz w:val="18"/>
                <w:szCs w:val="18"/>
                <w:color w:val="auto"/>
                <w:w w:val="88"/>
              </w:rPr>
              <w:t>December 31,</w:t>
            </w:r>
          </w:p>
        </w:tc>
      </w:tr>
      <w:tr>
        <w:trPr>
          <w:trHeight w:val="237"/>
        </w:trPr>
        <w:tc>
          <w:tcPr>
            <w:tcW w:w="64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(Dollars in millions)</w:t>
            </w:r>
          </w:p>
        </w:tc>
        <w:tc>
          <w:tcPr>
            <w:tcW w:w="2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2007</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2006</w:t>
            </w:r>
          </w:p>
        </w:tc>
      </w:tr>
      <w:tr>
        <w:trPr>
          <w:trHeight w:val="243"/>
        </w:trPr>
        <w:tc>
          <w:tcPr>
            <w:tcW w:w="648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First mortgage bonds:</w:t>
            </w:r>
          </w:p>
        </w:tc>
        <w:tc>
          <w:tcPr>
            <w:tcW w:w="240" w:type="dxa"/>
            <w:vAlign w:val="bottom"/>
            <w:shd w:val="clear" w:color="auto" w:fill="CCFFCC"/>
          </w:tcPr>
          <w:p>
            <w:pPr>
              <w:spacing w:after="0"/>
              <w:rPr>
                <w:sz w:val="21"/>
                <w:szCs w:val="21"/>
                <w:color w:val="auto"/>
              </w:rPr>
            </w:pPr>
          </w:p>
        </w:tc>
        <w:tc>
          <w:tcPr>
            <w:tcW w:w="72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860" w:type="dxa"/>
            <w:vAlign w:val="bottom"/>
            <w:shd w:val="clear" w:color="auto" w:fill="CCFFCC"/>
          </w:tcPr>
          <w:p>
            <w:pPr>
              <w:spacing w:after="0"/>
              <w:rPr>
                <w:sz w:val="21"/>
                <w:szCs w:val="21"/>
                <w:color w:val="auto"/>
              </w:rPr>
            </w:pPr>
          </w:p>
        </w:tc>
      </w:tr>
      <w:tr>
        <w:trPr>
          <w:trHeight w:val="237"/>
        </w:trPr>
        <w:tc>
          <w:tcPr>
            <w:tcW w:w="6480" w:type="dxa"/>
            <w:vAlign w:val="bottom"/>
            <w:gridSpan w:val="2"/>
          </w:tcPr>
          <w:p>
            <w:pPr>
              <w:ind w:left="180"/>
              <w:spacing w:after="0"/>
              <w:rPr>
                <w:sz w:val="20"/>
                <w:szCs w:val="20"/>
                <w:color w:val="auto"/>
              </w:rPr>
            </w:pPr>
            <w:r>
              <w:rPr>
                <w:rFonts w:ascii="Arial" w:cs="Arial" w:eastAsia="Arial" w:hAnsi="Arial"/>
                <w:sz w:val="18"/>
                <w:szCs w:val="18"/>
                <w:color w:val="auto"/>
              </w:rPr>
              <w:t>Variable rate (5.29% at December 31, 2007) December 1, 2009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90"/>
              <w:spacing w:after="0"/>
              <w:rPr>
                <w:sz w:val="20"/>
                <w:szCs w:val="20"/>
                <w:color w:val="auto"/>
              </w:rPr>
            </w:pPr>
            <w:r>
              <w:rPr>
                <w:rFonts w:ascii="Arial" w:cs="Arial" w:eastAsia="Arial" w:hAnsi="Arial"/>
                <w:sz w:val="18"/>
                <w:szCs w:val="18"/>
                <w:color w:val="auto"/>
              </w:rPr>
              <w:t>100</w:t>
            </w:r>
          </w:p>
        </w:tc>
        <w:tc>
          <w:tcPr>
            <w:tcW w:w="2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230"/>
              <w:spacing w:after="0"/>
              <w:rPr>
                <w:sz w:val="20"/>
                <w:szCs w:val="20"/>
                <w:color w:val="auto"/>
              </w:rPr>
            </w:pPr>
            <w:r>
              <w:rPr>
                <w:rFonts w:ascii="Arial" w:cs="Arial" w:eastAsia="Arial" w:hAnsi="Arial"/>
                <w:sz w:val="18"/>
                <w:szCs w:val="18"/>
                <w:color w:val="auto"/>
              </w:rPr>
              <w:t>100</w:t>
            </w:r>
          </w:p>
        </w:tc>
      </w:tr>
      <w:tr>
        <w:trPr>
          <w:trHeight w:val="249"/>
        </w:trPr>
        <w:tc>
          <w:tcPr>
            <w:tcW w:w="648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4.375% January 15, 2011</w:t>
            </w:r>
          </w:p>
        </w:tc>
        <w:tc>
          <w:tcPr>
            <w:tcW w:w="240" w:type="dxa"/>
            <w:vAlign w:val="bottom"/>
            <w:shd w:val="clear" w:color="auto" w:fill="CCFFCC"/>
          </w:tcPr>
          <w:p>
            <w:pPr>
              <w:spacing w:after="0"/>
              <w:rPr>
                <w:sz w:val="21"/>
                <w:szCs w:val="21"/>
                <w:color w:val="auto"/>
              </w:rPr>
            </w:pPr>
          </w:p>
        </w:tc>
        <w:tc>
          <w:tcPr>
            <w:tcW w:w="72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100</w:t>
            </w:r>
          </w:p>
        </w:tc>
        <w:tc>
          <w:tcPr>
            <w:tcW w:w="240" w:type="dxa"/>
            <w:vAlign w:val="bottom"/>
            <w:shd w:val="clear" w:color="auto" w:fill="CCFFCC"/>
          </w:tcPr>
          <w:p>
            <w:pPr>
              <w:spacing w:after="0"/>
              <w:rPr>
                <w:sz w:val="21"/>
                <w:szCs w:val="21"/>
                <w:color w:val="auto"/>
              </w:rPr>
            </w:pPr>
          </w:p>
        </w:tc>
        <w:tc>
          <w:tcPr>
            <w:tcW w:w="860" w:type="dxa"/>
            <w:vAlign w:val="bottom"/>
            <w:shd w:val="clear" w:color="auto" w:fill="CCFFCC"/>
          </w:tcPr>
          <w:p>
            <w:pPr>
              <w:jc w:val="right"/>
              <w:ind w:right="230"/>
              <w:spacing w:after="0"/>
              <w:rPr>
                <w:sz w:val="20"/>
                <w:szCs w:val="20"/>
                <w:color w:val="auto"/>
              </w:rPr>
            </w:pPr>
            <w:r>
              <w:rPr>
                <w:rFonts w:ascii="Arial" w:cs="Arial" w:eastAsia="Arial" w:hAnsi="Arial"/>
                <w:sz w:val="18"/>
                <w:szCs w:val="18"/>
                <w:color w:val="auto"/>
              </w:rPr>
              <w:t>100</w:t>
            </w:r>
          </w:p>
        </w:tc>
      </w:tr>
      <w:tr>
        <w:trPr>
          <w:trHeight w:val="237"/>
        </w:trPr>
        <w:tc>
          <w:tcPr>
            <w:tcW w:w="6480" w:type="dxa"/>
            <w:vAlign w:val="bottom"/>
            <w:gridSpan w:val="2"/>
          </w:tcPr>
          <w:p>
            <w:pPr>
              <w:ind w:left="180"/>
              <w:spacing w:after="0"/>
              <w:rPr>
                <w:sz w:val="20"/>
                <w:szCs w:val="20"/>
                <w:color w:val="auto"/>
              </w:rPr>
            </w:pPr>
            <w:r>
              <w:rPr>
                <w:rFonts w:ascii="Arial" w:cs="Arial" w:eastAsia="Arial" w:hAnsi="Arial"/>
                <w:sz w:val="18"/>
                <w:szCs w:val="18"/>
                <w:color w:val="auto"/>
              </w:rPr>
              <w:t>Variable rates after fixed-to-floating rate swaps (3.88% at December 31, 2007)</w:t>
            </w: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49"/>
        </w:trPr>
        <w:tc>
          <w:tcPr>
            <w:tcW w:w="6480" w:type="dxa"/>
            <w:vAlign w:val="bottom"/>
            <w:gridSpan w:val="2"/>
            <w:shd w:val="clear" w:color="auto" w:fill="CCFFCC"/>
          </w:tcPr>
          <w:p>
            <w:pPr>
              <w:ind w:left="420"/>
              <w:spacing w:after="0"/>
              <w:rPr>
                <w:sz w:val="20"/>
                <w:szCs w:val="20"/>
                <w:color w:val="auto"/>
              </w:rPr>
            </w:pPr>
            <w:r>
              <w:rPr>
                <w:rFonts w:ascii="Arial" w:cs="Arial" w:eastAsia="Arial" w:hAnsi="Arial"/>
                <w:sz w:val="18"/>
                <w:szCs w:val="18"/>
                <w:color w:val="auto"/>
              </w:rPr>
              <w:t>January 15, 2011</w:t>
            </w:r>
          </w:p>
        </w:tc>
        <w:tc>
          <w:tcPr>
            <w:tcW w:w="240" w:type="dxa"/>
            <w:vAlign w:val="bottom"/>
            <w:shd w:val="clear" w:color="auto" w:fill="CCFFCC"/>
          </w:tcPr>
          <w:p>
            <w:pPr>
              <w:spacing w:after="0"/>
              <w:rPr>
                <w:sz w:val="21"/>
                <w:szCs w:val="21"/>
                <w:color w:val="auto"/>
              </w:rPr>
            </w:pPr>
          </w:p>
        </w:tc>
        <w:tc>
          <w:tcPr>
            <w:tcW w:w="72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150</w:t>
            </w:r>
          </w:p>
        </w:tc>
        <w:tc>
          <w:tcPr>
            <w:tcW w:w="240" w:type="dxa"/>
            <w:vAlign w:val="bottom"/>
            <w:shd w:val="clear" w:color="auto" w:fill="CCFFCC"/>
          </w:tcPr>
          <w:p>
            <w:pPr>
              <w:spacing w:after="0"/>
              <w:rPr>
                <w:sz w:val="21"/>
                <w:szCs w:val="21"/>
                <w:color w:val="auto"/>
              </w:rPr>
            </w:pPr>
          </w:p>
        </w:tc>
        <w:tc>
          <w:tcPr>
            <w:tcW w:w="860" w:type="dxa"/>
            <w:vAlign w:val="bottom"/>
            <w:shd w:val="clear" w:color="auto" w:fill="CCFFCC"/>
          </w:tcPr>
          <w:p>
            <w:pPr>
              <w:jc w:val="right"/>
              <w:ind w:right="230"/>
              <w:spacing w:after="0"/>
              <w:rPr>
                <w:sz w:val="20"/>
                <w:szCs w:val="20"/>
                <w:color w:val="auto"/>
              </w:rPr>
            </w:pPr>
            <w:r>
              <w:rPr>
                <w:rFonts w:ascii="Arial" w:cs="Arial" w:eastAsia="Arial" w:hAnsi="Arial"/>
                <w:sz w:val="18"/>
                <w:szCs w:val="18"/>
                <w:color w:val="auto"/>
              </w:rPr>
              <w:t>150</w:t>
            </w:r>
          </w:p>
        </w:tc>
      </w:tr>
      <w:tr>
        <w:trPr>
          <w:trHeight w:val="237"/>
        </w:trPr>
        <w:tc>
          <w:tcPr>
            <w:tcW w:w="6480" w:type="dxa"/>
            <w:vAlign w:val="bottom"/>
            <w:gridSpan w:val="2"/>
          </w:tcPr>
          <w:p>
            <w:pPr>
              <w:ind w:left="180"/>
              <w:spacing w:after="0"/>
              <w:rPr>
                <w:sz w:val="20"/>
                <w:szCs w:val="20"/>
                <w:color w:val="auto"/>
              </w:rPr>
            </w:pPr>
            <w:r>
              <w:rPr>
                <w:rFonts w:ascii="Arial" w:cs="Arial" w:eastAsia="Arial" w:hAnsi="Arial"/>
                <w:sz w:val="18"/>
                <w:szCs w:val="18"/>
                <w:color w:val="auto"/>
              </w:rPr>
              <w:t>4.8% October 1, 2012</w:t>
            </w:r>
          </w:p>
        </w:tc>
        <w:tc>
          <w:tcPr>
            <w:tcW w:w="240" w:type="dxa"/>
            <w:vAlign w:val="bottom"/>
          </w:tcPr>
          <w:p>
            <w:pPr>
              <w:spacing w:after="0"/>
              <w:rPr>
                <w:sz w:val="20"/>
                <w:szCs w:val="20"/>
                <w:color w:val="auto"/>
              </w:rPr>
            </w:pPr>
          </w:p>
        </w:tc>
        <w:tc>
          <w:tcPr>
            <w:tcW w:w="720" w:type="dxa"/>
            <w:vAlign w:val="bottom"/>
          </w:tcPr>
          <w:p>
            <w:pPr>
              <w:jc w:val="right"/>
              <w:ind w:right="90"/>
              <w:spacing w:after="0"/>
              <w:rPr>
                <w:sz w:val="20"/>
                <w:szCs w:val="20"/>
                <w:color w:val="auto"/>
              </w:rPr>
            </w:pPr>
            <w:r>
              <w:rPr>
                <w:rFonts w:ascii="Arial" w:cs="Arial" w:eastAsia="Arial" w:hAnsi="Arial"/>
                <w:sz w:val="18"/>
                <w:szCs w:val="18"/>
                <w:color w:val="auto"/>
              </w:rPr>
              <w:t>250</w:t>
            </w:r>
          </w:p>
        </w:tc>
        <w:tc>
          <w:tcPr>
            <w:tcW w:w="240" w:type="dxa"/>
            <w:vAlign w:val="bottom"/>
          </w:tcPr>
          <w:p>
            <w:pPr>
              <w:spacing w:after="0"/>
              <w:rPr>
                <w:sz w:val="20"/>
                <w:szCs w:val="20"/>
                <w:color w:val="auto"/>
              </w:rPr>
            </w:pPr>
          </w:p>
        </w:tc>
        <w:tc>
          <w:tcPr>
            <w:tcW w:w="860" w:type="dxa"/>
            <w:vAlign w:val="bottom"/>
          </w:tcPr>
          <w:p>
            <w:pPr>
              <w:jc w:val="right"/>
              <w:ind w:right="230"/>
              <w:spacing w:after="0"/>
              <w:rPr>
                <w:sz w:val="20"/>
                <w:szCs w:val="20"/>
                <w:color w:val="auto"/>
              </w:rPr>
            </w:pPr>
            <w:r>
              <w:rPr>
                <w:rFonts w:ascii="Arial" w:cs="Arial" w:eastAsia="Arial" w:hAnsi="Arial"/>
                <w:sz w:val="18"/>
                <w:szCs w:val="18"/>
                <w:color w:val="auto"/>
              </w:rPr>
              <w:t>250</w:t>
            </w:r>
          </w:p>
        </w:tc>
      </w:tr>
      <w:tr>
        <w:trPr>
          <w:trHeight w:val="249"/>
        </w:trPr>
        <w:tc>
          <w:tcPr>
            <w:tcW w:w="648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6.8% June 1, 2015</w:t>
            </w:r>
          </w:p>
        </w:tc>
        <w:tc>
          <w:tcPr>
            <w:tcW w:w="240" w:type="dxa"/>
            <w:vAlign w:val="bottom"/>
            <w:shd w:val="clear" w:color="auto" w:fill="CCFFCC"/>
          </w:tcPr>
          <w:p>
            <w:pPr>
              <w:spacing w:after="0"/>
              <w:rPr>
                <w:sz w:val="21"/>
                <w:szCs w:val="21"/>
                <w:color w:val="auto"/>
              </w:rPr>
            </w:pPr>
          </w:p>
        </w:tc>
        <w:tc>
          <w:tcPr>
            <w:tcW w:w="72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14</w:t>
            </w:r>
          </w:p>
        </w:tc>
        <w:tc>
          <w:tcPr>
            <w:tcW w:w="240" w:type="dxa"/>
            <w:vAlign w:val="bottom"/>
            <w:shd w:val="clear" w:color="auto" w:fill="CCFFCC"/>
          </w:tcPr>
          <w:p>
            <w:pPr>
              <w:spacing w:after="0"/>
              <w:rPr>
                <w:sz w:val="21"/>
                <w:szCs w:val="21"/>
                <w:color w:val="auto"/>
              </w:rPr>
            </w:pPr>
          </w:p>
        </w:tc>
        <w:tc>
          <w:tcPr>
            <w:tcW w:w="860" w:type="dxa"/>
            <w:vAlign w:val="bottom"/>
            <w:shd w:val="clear" w:color="auto" w:fill="CCFFCC"/>
          </w:tcPr>
          <w:p>
            <w:pPr>
              <w:jc w:val="right"/>
              <w:ind w:right="230"/>
              <w:spacing w:after="0"/>
              <w:rPr>
                <w:sz w:val="20"/>
                <w:szCs w:val="20"/>
                <w:color w:val="auto"/>
              </w:rPr>
            </w:pPr>
            <w:r>
              <w:rPr>
                <w:rFonts w:ascii="Arial" w:cs="Arial" w:eastAsia="Arial" w:hAnsi="Arial"/>
                <w:sz w:val="18"/>
                <w:szCs w:val="18"/>
                <w:color w:val="auto"/>
              </w:rPr>
              <w:t>14</w:t>
            </w:r>
          </w:p>
        </w:tc>
      </w:tr>
      <w:tr>
        <w:trPr>
          <w:trHeight w:val="237"/>
        </w:trPr>
        <w:tc>
          <w:tcPr>
            <w:tcW w:w="6480" w:type="dxa"/>
            <w:vAlign w:val="bottom"/>
            <w:gridSpan w:val="2"/>
          </w:tcPr>
          <w:p>
            <w:pPr>
              <w:ind w:left="180"/>
              <w:spacing w:after="0"/>
              <w:rPr>
                <w:sz w:val="20"/>
                <w:szCs w:val="20"/>
                <w:color w:val="auto"/>
              </w:rPr>
            </w:pPr>
            <w:r>
              <w:rPr>
                <w:rFonts w:ascii="Arial" w:cs="Arial" w:eastAsia="Arial" w:hAnsi="Arial"/>
                <w:sz w:val="18"/>
                <w:szCs w:val="18"/>
                <w:color w:val="auto"/>
              </w:rPr>
              <w:t>5.3% November 15, 2015</w:t>
            </w:r>
          </w:p>
        </w:tc>
        <w:tc>
          <w:tcPr>
            <w:tcW w:w="240" w:type="dxa"/>
            <w:vAlign w:val="bottom"/>
          </w:tcPr>
          <w:p>
            <w:pPr>
              <w:spacing w:after="0"/>
              <w:rPr>
                <w:sz w:val="20"/>
                <w:szCs w:val="20"/>
                <w:color w:val="auto"/>
              </w:rPr>
            </w:pPr>
          </w:p>
        </w:tc>
        <w:tc>
          <w:tcPr>
            <w:tcW w:w="720" w:type="dxa"/>
            <w:vAlign w:val="bottom"/>
          </w:tcPr>
          <w:p>
            <w:pPr>
              <w:jc w:val="right"/>
              <w:ind w:right="90"/>
              <w:spacing w:after="0"/>
              <w:rPr>
                <w:sz w:val="20"/>
                <w:szCs w:val="20"/>
                <w:color w:val="auto"/>
              </w:rPr>
            </w:pPr>
            <w:r>
              <w:rPr>
                <w:rFonts w:ascii="Arial" w:cs="Arial" w:eastAsia="Arial" w:hAnsi="Arial"/>
                <w:sz w:val="18"/>
                <w:szCs w:val="18"/>
                <w:color w:val="auto"/>
              </w:rPr>
              <w:t>250</w:t>
            </w:r>
          </w:p>
        </w:tc>
        <w:tc>
          <w:tcPr>
            <w:tcW w:w="240" w:type="dxa"/>
            <w:vAlign w:val="bottom"/>
          </w:tcPr>
          <w:p>
            <w:pPr>
              <w:spacing w:after="0"/>
              <w:rPr>
                <w:sz w:val="20"/>
                <w:szCs w:val="20"/>
                <w:color w:val="auto"/>
              </w:rPr>
            </w:pPr>
          </w:p>
        </w:tc>
        <w:tc>
          <w:tcPr>
            <w:tcW w:w="860" w:type="dxa"/>
            <w:vAlign w:val="bottom"/>
          </w:tcPr>
          <w:p>
            <w:pPr>
              <w:jc w:val="right"/>
              <w:ind w:right="230"/>
              <w:spacing w:after="0"/>
              <w:rPr>
                <w:sz w:val="20"/>
                <w:szCs w:val="20"/>
                <w:color w:val="auto"/>
              </w:rPr>
            </w:pPr>
            <w:r>
              <w:rPr>
                <w:rFonts w:ascii="Arial" w:cs="Arial" w:eastAsia="Arial" w:hAnsi="Arial"/>
                <w:sz w:val="18"/>
                <w:szCs w:val="18"/>
                <w:color w:val="auto"/>
              </w:rPr>
              <w:t>250</w:t>
            </w:r>
          </w:p>
        </w:tc>
      </w:tr>
      <w:tr>
        <w:trPr>
          <w:trHeight w:val="249"/>
        </w:trPr>
        <w:tc>
          <w:tcPr>
            <w:tcW w:w="648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5.45% April 15, 2018</w:t>
            </w:r>
          </w:p>
        </w:tc>
        <w:tc>
          <w:tcPr>
            <w:tcW w:w="240" w:type="dxa"/>
            <w:vAlign w:val="bottom"/>
            <w:shd w:val="clear" w:color="auto" w:fill="CCFFCC"/>
          </w:tcPr>
          <w:p>
            <w:pPr>
              <w:spacing w:after="0"/>
              <w:rPr>
                <w:sz w:val="21"/>
                <w:szCs w:val="21"/>
                <w:color w:val="auto"/>
              </w:rPr>
            </w:pPr>
          </w:p>
        </w:tc>
        <w:tc>
          <w:tcPr>
            <w:tcW w:w="72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250</w:t>
            </w:r>
          </w:p>
        </w:tc>
        <w:tc>
          <w:tcPr>
            <w:tcW w:w="240" w:type="dxa"/>
            <w:vAlign w:val="bottom"/>
            <w:shd w:val="clear" w:color="auto" w:fill="CCFFCC"/>
          </w:tcPr>
          <w:p>
            <w:pPr>
              <w:spacing w:after="0"/>
              <w:rPr>
                <w:sz w:val="21"/>
                <w:szCs w:val="21"/>
                <w:color w:val="auto"/>
              </w:rPr>
            </w:pPr>
          </w:p>
        </w:tc>
        <w:tc>
          <w:tcPr>
            <w:tcW w:w="860" w:type="dxa"/>
            <w:vAlign w:val="bottom"/>
            <w:shd w:val="clear" w:color="auto" w:fill="CCFFCC"/>
          </w:tcPr>
          <w:p>
            <w:pPr>
              <w:jc w:val="right"/>
              <w:ind w:right="230"/>
              <w:spacing w:after="0"/>
              <w:rPr>
                <w:sz w:val="20"/>
                <w:szCs w:val="20"/>
                <w:color w:val="auto"/>
              </w:rPr>
            </w:pPr>
            <w:r>
              <w:rPr>
                <w:rFonts w:ascii="Arial" w:cs="Arial" w:eastAsia="Arial" w:hAnsi="Arial"/>
                <w:sz w:val="18"/>
                <w:szCs w:val="18"/>
                <w:color w:val="auto"/>
              </w:rPr>
              <w:t>250</w:t>
            </w:r>
          </w:p>
        </w:tc>
      </w:tr>
      <w:tr>
        <w:trPr>
          <w:trHeight w:val="237"/>
        </w:trPr>
        <w:tc>
          <w:tcPr>
            <w:tcW w:w="6480" w:type="dxa"/>
            <w:vAlign w:val="bottom"/>
            <w:gridSpan w:val="2"/>
          </w:tcPr>
          <w:p>
            <w:pPr>
              <w:ind w:left="180"/>
              <w:spacing w:after="0"/>
              <w:rPr>
                <w:sz w:val="20"/>
                <w:szCs w:val="20"/>
                <w:color w:val="auto"/>
              </w:rPr>
            </w:pPr>
            <w:r>
              <w:rPr>
                <w:rFonts w:ascii="Arial" w:cs="Arial" w:eastAsia="Arial" w:hAnsi="Arial"/>
                <w:sz w:val="18"/>
                <w:szCs w:val="18"/>
                <w:color w:val="auto"/>
              </w:rPr>
              <w:t>Variable rate (3.80% at December 31, 2007) July 2018</w:t>
            </w:r>
          </w:p>
        </w:tc>
        <w:tc>
          <w:tcPr>
            <w:tcW w:w="240" w:type="dxa"/>
            <w:vAlign w:val="bottom"/>
          </w:tcPr>
          <w:p>
            <w:pPr>
              <w:spacing w:after="0"/>
              <w:rPr>
                <w:sz w:val="20"/>
                <w:szCs w:val="20"/>
                <w:color w:val="auto"/>
              </w:rPr>
            </w:pPr>
          </w:p>
        </w:tc>
        <w:tc>
          <w:tcPr>
            <w:tcW w:w="720" w:type="dxa"/>
            <w:vAlign w:val="bottom"/>
          </w:tcPr>
          <w:p>
            <w:pPr>
              <w:jc w:val="right"/>
              <w:ind w:right="90"/>
              <w:spacing w:after="0"/>
              <w:rPr>
                <w:sz w:val="20"/>
                <w:szCs w:val="20"/>
                <w:color w:val="auto"/>
              </w:rPr>
            </w:pPr>
            <w:r>
              <w:rPr>
                <w:rFonts w:ascii="Arial" w:cs="Arial" w:eastAsia="Arial" w:hAnsi="Arial"/>
                <w:sz w:val="18"/>
                <w:szCs w:val="18"/>
                <w:color w:val="auto"/>
              </w:rPr>
              <w:t>161</w:t>
            </w:r>
          </w:p>
        </w:tc>
        <w:tc>
          <w:tcPr>
            <w:tcW w:w="240" w:type="dxa"/>
            <w:vAlign w:val="bottom"/>
          </w:tcPr>
          <w:p>
            <w:pPr>
              <w:spacing w:after="0"/>
              <w:rPr>
                <w:sz w:val="20"/>
                <w:szCs w:val="20"/>
                <w:color w:val="auto"/>
              </w:rPr>
            </w:pPr>
          </w:p>
        </w:tc>
        <w:tc>
          <w:tcPr>
            <w:tcW w:w="860" w:type="dxa"/>
            <w:vAlign w:val="bottom"/>
          </w:tcPr>
          <w:p>
            <w:pPr>
              <w:jc w:val="right"/>
              <w:ind w:right="230"/>
              <w:spacing w:after="0"/>
              <w:rPr>
                <w:sz w:val="20"/>
                <w:szCs w:val="20"/>
                <w:color w:val="auto"/>
              </w:rPr>
            </w:pPr>
            <w:r>
              <w:rPr>
                <w:rFonts w:ascii="Arial" w:cs="Arial" w:eastAsia="Arial" w:hAnsi="Arial"/>
                <w:sz w:val="18"/>
                <w:szCs w:val="18"/>
                <w:color w:val="auto"/>
              </w:rPr>
              <w:t>161</w:t>
            </w:r>
          </w:p>
        </w:tc>
      </w:tr>
      <w:tr>
        <w:trPr>
          <w:trHeight w:val="249"/>
        </w:trPr>
        <w:tc>
          <w:tcPr>
            <w:tcW w:w="648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5.85% June 1, 2021</w:t>
            </w:r>
          </w:p>
        </w:tc>
        <w:tc>
          <w:tcPr>
            <w:tcW w:w="240" w:type="dxa"/>
            <w:vAlign w:val="bottom"/>
            <w:shd w:val="clear" w:color="auto" w:fill="CCFFCC"/>
          </w:tcPr>
          <w:p>
            <w:pPr>
              <w:spacing w:after="0"/>
              <w:rPr>
                <w:sz w:val="21"/>
                <w:szCs w:val="21"/>
                <w:color w:val="auto"/>
              </w:rPr>
            </w:pPr>
          </w:p>
        </w:tc>
        <w:tc>
          <w:tcPr>
            <w:tcW w:w="72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60</w:t>
            </w:r>
          </w:p>
        </w:tc>
        <w:tc>
          <w:tcPr>
            <w:tcW w:w="240" w:type="dxa"/>
            <w:vAlign w:val="bottom"/>
            <w:shd w:val="clear" w:color="auto" w:fill="CCFFCC"/>
          </w:tcPr>
          <w:p>
            <w:pPr>
              <w:spacing w:after="0"/>
              <w:rPr>
                <w:sz w:val="21"/>
                <w:szCs w:val="21"/>
                <w:color w:val="auto"/>
              </w:rPr>
            </w:pPr>
          </w:p>
        </w:tc>
        <w:tc>
          <w:tcPr>
            <w:tcW w:w="860" w:type="dxa"/>
            <w:vAlign w:val="bottom"/>
            <w:shd w:val="clear" w:color="auto" w:fill="CCFFCC"/>
          </w:tcPr>
          <w:p>
            <w:pPr>
              <w:jc w:val="right"/>
              <w:ind w:right="230"/>
              <w:spacing w:after="0"/>
              <w:rPr>
                <w:sz w:val="20"/>
                <w:szCs w:val="20"/>
                <w:color w:val="auto"/>
              </w:rPr>
            </w:pPr>
            <w:r>
              <w:rPr>
                <w:rFonts w:ascii="Arial" w:cs="Arial" w:eastAsia="Arial" w:hAnsi="Arial"/>
                <w:sz w:val="18"/>
                <w:szCs w:val="18"/>
                <w:color w:val="auto"/>
              </w:rPr>
              <w:t>60</w:t>
            </w:r>
          </w:p>
        </w:tc>
      </w:tr>
      <w:tr>
        <w:trPr>
          <w:trHeight w:val="237"/>
        </w:trPr>
        <w:tc>
          <w:tcPr>
            <w:tcW w:w="6480" w:type="dxa"/>
            <w:vAlign w:val="bottom"/>
            <w:gridSpan w:val="2"/>
          </w:tcPr>
          <w:p>
            <w:pPr>
              <w:ind w:left="180"/>
              <w:spacing w:after="0"/>
              <w:rPr>
                <w:sz w:val="20"/>
                <w:szCs w:val="20"/>
                <w:color w:val="auto"/>
              </w:rPr>
            </w:pPr>
            <w:r>
              <w:rPr>
                <w:rFonts w:ascii="Arial" w:cs="Arial" w:eastAsia="Arial" w:hAnsi="Arial"/>
                <w:sz w:val="18"/>
                <w:szCs w:val="18"/>
                <w:color w:val="auto"/>
              </w:rPr>
              <w:t>6.0% June 1, 2026</w:t>
            </w:r>
          </w:p>
        </w:tc>
        <w:tc>
          <w:tcPr>
            <w:tcW w:w="240" w:type="dxa"/>
            <w:vAlign w:val="bottom"/>
          </w:tcPr>
          <w:p>
            <w:pPr>
              <w:spacing w:after="0"/>
              <w:rPr>
                <w:sz w:val="20"/>
                <w:szCs w:val="20"/>
                <w:color w:val="auto"/>
              </w:rPr>
            </w:pPr>
          </w:p>
        </w:tc>
        <w:tc>
          <w:tcPr>
            <w:tcW w:w="720" w:type="dxa"/>
            <w:vAlign w:val="bottom"/>
          </w:tcPr>
          <w:p>
            <w:pPr>
              <w:jc w:val="right"/>
              <w:ind w:right="90"/>
              <w:spacing w:after="0"/>
              <w:rPr>
                <w:sz w:val="20"/>
                <w:szCs w:val="20"/>
                <w:color w:val="auto"/>
              </w:rPr>
            </w:pPr>
            <w:r>
              <w:rPr>
                <w:rFonts w:ascii="Arial" w:cs="Arial" w:eastAsia="Arial" w:hAnsi="Arial"/>
                <w:sz w:val="18"/>
                <w:szCs w:val="18"/>
                <w:color w:val="auto"/>
              </w:rPr>
              <w:t>250</w:t>
            </w:r>
          </w:p>
        </w:tc>
        <w:tc>
          <w:tcPr>
            <w:tcW w:w="240" w:type="dxa"/>
            <w:vAlign w:val="bottom"/>
          </w:tcPr>
          <w:p>
            <w:pPr>
              <w:spacing w:after="0"/>
              <w:rPr>
                <w:sz w:val="20"/>
                <w:szCs w:val="20"/>
                <w:color w:val="auto"/>
              </w:rPr>
            </w:pPr>
          </w:p>
        </w:tc>
        <w:tc>
          <w:tcPr>
            <w:tcW w:w="860" w:type="dxa"/>
            <w:vAlign w:val="bottom"/>
          </w:tcPr>
          <w:p>
            <w:pPr>
              <w:jc w:val="right"/>
              <w:ind w:right="230"/>
              <w:spacing w:after="0"/>
              <w:rPr>
                <w:sz w:val="20"/>
                <w:szCs w:val="20"/>
                <w:color w:val="auto"/>
              </w:rPr>
            </w:pPr>
            <w:r>
              <w:rPr>
                <w:rFonts w:ascii="Arial" w:cs="Arial" w:eastAsia="Arial" w:hAnsi="Arial"/>
                <w:sz w:val="18"/>
                <w:szCs w:val="18"/>
                <w:color w:val="auto"/>
              </w:rPr>
              <w:t>250</w:t>
            </w:r>
          </w:p>
        </w:tc>
      </w:tr>
      <w:tr>
        <w:trPr>
          <w:trHeight w:val="249"/>
        </w:trPr>
        <w:tc>
          <w:tcPr>
            <w:tcW w:w="648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5% to 5.25% December 1, 2027</w:t>
            </w:r>
          </w:p>
        </w:tc>
        <w:tc>
          <w:tcPr>
            <w:tcW w:w="240" w:type="dxa"/>
            <w:vAlign w:val="bottom"/>
            <w:shd w:val="clear" w:color="auto" w:fill="CCFFCC"/>
          </w:tcPr>
          <w:p>
            <w:pPr>
              <w:spacing w:after="0"/>
              <w:rPr>
                <w:sz w:val="21"/>
                <w:szCs w:val="21"/>
                <w:color w:val="auto"/>
              </w:rPr>
            </w:pPr>
          </w:p>
        </w:tc>
        <w:tc>
          <w:tcPr>
            <w:tcW w:w="72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150</w:t>
            </w:r>
          </w:p>
        </w:tc>
        <w:tc>
          <w:tcPr>
            <w:tcW w:w="240" w:type="dxa"/>
            <w:vAlign w:val="bottom"/>
            <w:shd w:val="clear" w:color="auto" w:fill="CCFFCC"/>
          </w:tcPr>
          <w:p>
            <w:pPr>
              <w:spacing w:after="0"/>
              <w:rPr>
                <w:sz w:val="21"/>
                <w:szCs w:val="21"/>
                <w:color w:val="auto"/>
              </w:rPr>
            </w:pPr>
          </w:p>
        </w:tc>
        <w:tc>
          <w:tcPr>
            <w:tcW w:w="860" w:type="dxa"/>
            <w:vAlign w:val="bottom"/>
            <w:shd w:val="clear" w:color="auto" w:fill="CCFFCC"/>
          </w:tcPr>
          <w:p>
            <w:pPr>
              <w:jc w:val="right"/>
              <w:ind w:right="230"/>
              <w:spacing w:after="0"/>
              <w:rPr>
                <w:sz w:val="20"/>
                <w:szCs w:val="20"/>
                <w:color w:val="auto"/>
              </w:rPr>
            </w:pPr>
            <w:r>
              <w:rPr>
                <w:rFonts w:ascii="Arial" w:cs="Arial" w:eastAsia="Arial" w:hAnsi="Arial"/>
                <w:sz w:val="18"/>
                <w:szCs w:val="18"/>
                <w:color w:val="auto"/>
              </w:rPr>
              <w:t>150</w:t>
            </w:r>
          </w:p>
        </w:tc>
      </w:tr>
      <w:tr>
        <w:trPr>
          <w:trHeight w:val="237"/>
        </w:trPr>
        <w:tc>
          <w:tcPr>
            <w:tcW w:w="6480" w:type="dxa"/>
            <w:vAlign w:val="bottom"/>
            <w:gridSpan w:val="2"/>
          </w:tcPr>
          <w:p>
            <w:pPr>
              <w:ind w:left="180"/>
              <w:spacing w:after="0"/>
              <w:rPr>
                <w:sz w:val="20"/>
                <w:szCs w:val="20"/>
                <w:color w:val="auto"/>
              </w:rPr>
            </w:pPr>
            <w:r>
              <w:rPr>
                <w:rFonts w:ascii="Arial" w:cs="Arial" w:eastAsia="Arial" w:hAnsi="Arial"/>
                <w:sz w:val="18"/>
                <w:szCs w:val="18"/>
                <w:color w:val="auto"/>
              </w:rPr>
              <w:t>2.516% to 2.832%* January and February 2034</w:t>
            </w:r>
          </w:p>
        </w:tc>
        <w:tc>
          <w:tcPr>
            <w:tcW w:w="240" w:type="dxa"/>
            <w:vAlign w:val="bottom"/>
          </w:tcPr>
          <w:p>
            <w:pPr>
              <w:spacing w:after="0"/>
              <w:rPr>
                <w:sz w:val="20"/>
                <w:szCs w:val="20"/>
                <w:color w:val="auto"/>
              </w:rPr>
            </w:pPr>
          </w:p>
        </w:tc>
        <w:tc>
          <w:tcPr>
            <w:tcW w:w="720" w:type="dxa"/>
            <w:vAlign w:val="bottom"/>
          </w:tcPr>
          <w:p>
            <w:pPr>
              <w:jc w:val="right"/>
              <w:ind w:right="90"/>
              <w:spacing w:after="0"/>
              <w:rPr>
                <w:sz w:val="20"/>
                <w:szCs w:val="20"/>
                <w:color w:val="auto"/>
              </w:rPr>
            </w:pPr>
            <w:r>
              <w:rPr>
                <w:rFonts w:ascii="Arial" w:cs="Arial" w:eastAsia="Arial" w:hAnsi="Arial"/>
                <w:sz w:val="18"/>
                <w:szCs w:val="18"/>
                <w:color w:val="auto"/>
              </w:rPr>
              <w:t>176</w:t>
            </w:r>
          </w:p>
        </w:tc>
        <w:tc>
          <w:tcPr>
            <w:tcW w:w="240" w:type="dxa"/>
            <w:vAlign w:val="bottom"/>
          </w:tcPr>
          <w:p>
            <w:pPr>
              <w:spacing w:after="0"/>
              <w:rPr>
                <w:sz w:val="20"/>
                <w:szCs w:val="20"/>
                <w:color w:val="auto"/>
              </w:rPr>
            </w:pPr>
          </w:p>
        </w:tc>
        <w:tc>
          <w:tcPr>
            <w:tcW w:w="860" w:type="dxa"/>
            <w:vAlign w:val="bottom"/>
          </w:tcPr>
          <w:p>
            <w:pPr>
              <w:jc w:val="right"/>
              <w:ind w:right="230"/>
              <w:spacing w:after="0"/>
              <w:rPr>
                <w:sz w:val="20"/>
                <w:szCs w:val="20"/>
                <w:color w:val="auto"/>
              </w:rPr>
            </w:pPr>
            <w:r>
              <w:rPr>
                <w:rFonts w:ascii="Arial" w:cs="Arial" w:eastAsia="Arial" w:hAnsi="Arial"/>
                <w:sz w:val="18"/>
                <w:szCs w:val="18"/>
                <w:color w:val="auto"/>
              </w:rPr>
              <w:t>176</w:t>
            </w:r>
          </w:p>
        </w:tc>
      </w:tr>
      <w:tr>
        <w:trPr>
          <w:trHeight w:val="249"/>
        </w:trPr>
        <w:tc>
          <w:tcPr>
            <w:tcW w:w="648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5.35% May 15, 2035</w:t>
            </w:r>
          </w:p>
        </w:tc>
        <w:tc>
          <w:tcPr>
            <w:tcW w:w="240" w:type="dxa"/>
            <w:vAlign w:val="bottom"/>
            <w:shd w:val="clear" w:color="auto" w:fill="CCFFCC"/>
          </w:tcPr>
          <w:p>
            <w:pPr>
              <w:spacing w:after="0"/>
              <w:rPr>
                <w:sz w:val="21"/>
                <w:szCs w:val="21"/>
                <w:color w:val="auto"/>
              </w:rPr>
            </w:pPr>
          </w:p>
        </w:tc>
        <w:tc>
          <w:tcPr>
            <w:tcW w:w="72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250</w:t>
            </w:r>
          </w:p>
        </w:tc>
        <w:tc>
          <w:tcPr>
            <w:tcW w:w="240" w:type="dxa"/>
            <w:vAlign w:val="bottom"/>
            <w:shd w:val="clear" w:color="auto" w:fill="CCFFCC"/>
          </w:tcPr>
          <w:p>
            <w:pPr>
              <w:spacing w:after="0"/>
              <w:rPr>
                <w:sz w:val="21"/>
                <w:szCs w:val="21"/>
                <w:color w:val="auto"/>
              </w:rPr>
            </w:pPr>
          </w:p>
        </w:tc>
        <w:tc>
          <w:tcPr>
            <w:tcW w:w="860" w:type="dxa"/>
            <w:vAlign w:val="bottom"/>
            <w:shd w:val="clear" w:color="auto" w:fill="CCFFCC"/>
          </w:tcPr>
          <w:p>
            <w:pPr>
              <w:jc w:val="right"/>
              <w:ind w:right="230"/>
              <w:spacing w:after="0"/>
              <w:rPr>
                <w:sz w:val="20"/>
                <w:szCs w:val="20"/>
                <w:color w:val="auto"/>
              </w:rPr>
            </w:pPr>
            <w:r>
              <w:rPr>
                <w:rFonts w:ascii="Arial" w:cs="Arial" w:eastAsia="Arial" w:hAnsi="Arial"/>
                <w:sz w:val="18"/>
                <w:szCs w:val="18"/>
                <w:color w:val="auto"/>
              </w:rPr>
              <w:t>250</w:t>
            </w:r>
          </w:p>
        </w:tc>
      </w:tr>
      <w:tr>
        <w:trPr>
          <w:trHeight w:val="237"/>
        </w:trPr>
        <w:tc>
          <w:tcPr>
            <w:tcW w:w="6480" w:type="dxa"/>
            <w:vAlign w:val="bottom"/>
            <w:gridSpan w:val="2"/>
          </w:tcPr>
          <w:p>
            <w:pPr>
              <w:ind w:left="180"/>
              <w:spacing w:after="0"/>
              <w:rPr>
                <w:sz w:val="20"/>
                <w:szCs w:val="20"/>
                <w:color w:val="auto"/>
              </w:rPr>
            </w:pPr>
            <w:r>
              <w:rPr>
                <w:rFonts w:ascii="Arial" w:cs="Arial" w:eastAsia="Arial" w:hAnsi="Arial"/>
                <w:sz w:val="18"/>
                <w:szCs w:val="18"/>
                <w:color w:val="auto"/>
              </w:rPr>
              <w:t>5.75% November 15, 2035</w:t>
            </w:r>
          </w:p>
        </w:tc>
        <w:tc>
          <w:tcPr>
            <w:tcW w:w="240" w:type="dxa"/>
            <w:vAlign w:val="bottom"/>
          </w:tcPr>
          <w:p>
            <w:pPr>
              <w:spacing w:after="0"/>
              <w:rPr>
                <w:sz w:val="20"/>
                <w:szCs w:val="20"/>
                <w:color w:val="auto"/>
              </w:rPr>
            </w:pPr>
          </w:p>
        </w:tc>
        <w:tc>
          <w:tcPr>
            <w:tcW w:w="720" w:type="dxa"/>
            <w:vAlign w:val="bottom"/>
          </w:tcPr>
          <w:p>
            <w:pPr>
              <w:jc w:val="right"/>
              <w:ind w:right="90"/>
              <w:spacing w:after="0"/>
              <w:rPr>
                <w:sz w:val="20"/>
                <w:szCs w:val="20"/>
                <w:color w:val="auto"/>
              </w:rPr>
            </w:pPr>
            <w:r>
              <w:rPr>
                <w:rFonts w:ascii="Arial" w:cs="Arial" w:eastAsia="Arial" w:hAnsi="Arial"/>
                <w:sz w:val="18"/>
                <w:szCs w:val="18"/>
                <w:color w:val="auto"/>
              </w:rPr>
              <w:t>250</w:t>
            </w:r>
          </w:p>
        </w:tc>
        <w:tc>
          <w:tcPr>
            <w:tcW w:w="240" w:type="dxa"/>
            <w:vAlign w:val="bottom"/>
          </w:tcPr>
          <w:p>
            <w:pPr>
              <w:spacing w:after="0"/>
              <w:rPr>
                <w:sz w:val="20"/>
                <w:szCs w:val="20"/>
                <w:color w:val="auto"/>
              </w:rPr>
            </w:pPr>
          </w:p>
        </w:tc>
        <w:tc>
          <w:tcPr>
            <w:tcW w:w="860" w:type="dxa"/>
            <w:vAlign w:val="bottom"/>
          </w:tcPr>
          <w:p>
            <w:pPr>
              <w:jc w:val="right"/>
              <w:ind w:right="230"/>
              <w:spacing w:after="0"/>
              <w:rPr>
                <w:sz w:val="20"/>
                <w:szCs w:val="20"/>
                <w:color w:val="auto"/>
              </w:rPr>
            </w:pPr>
            <w:r>
              <w:rPr>
                <w:rFonts w:ascii="Arial" w:cs="Arial" w:eastAsia="Arial" w:hAnsi="Arial"/>
                <w:sz w:val="18"/>
                <w:szCs w:val="18"/>
                <w:color w:val="auto"/>
              </w:rPr>
              <w:t>250</w:t>
            </w:r>
          </w:p>
        </w:tc>
      </w:tr>
      <w:tr>
        <w:trPr>
          <w:trHeight w:val="249"/>
        </w:trPr>
        <w:tc>
          <w:tcPr>
            <w:tcW w:w="648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6.125% September 15, 2037</w:t>
            </w:r>
          </w:p>
        </w:tc>
        <w:tc>
          <w:tcPr>
            <w:tcW w:w="240" w:type="dxa"/>
            <w:vAlign w:val="bottom"/>
            <w:shd w:val="clear" w:color="auto" w:fill="CCFFCC"/>
          </w:tcPr>
          <w:p>
            <w:pPr>
              <w:spacing w:after="0"/>
              <w:rPr>
                <w:sz w:val="21"/>
                <w:szCs w:val="21"/>
                <w:color w:val="auto"/>
              </w:rPr>
            </w:pPr>
          </w:p>
        </w:tc>
        <w:tc>
          <w:tcPr>
            <w:tcW w:w="72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250</w:t>
            </w:r>
          </w:p>
        </w:tc>
        <w:tc>
          <w:tcPr>
            <w:tcW w:w="240" w:type="dxa"/>
            <w:vAlign w:val="bottom"/>
            <w:shd w:val="clear" w:color="auto" w:fill="CCFFCC"/>
          </w:tcPr>
          <w:p>
            <w:pPr>
              <w:spacing w:after="0"/>
              <w:rPr>
                <w:sz w:val="21"/>
                <w:szCs w:val="21"/>
                <w:color w:val="auto"/>
              </w:rPr>
            </w:pPr>
          </w:p>
        </w:tc>
        <w:tc>
          <w:tcPr>
            <w:tcW w:w="860" w:type="dxa"/>
            <w:vAlign w:val="bottom"/>
            <w:shd w:val="clear" w:color="auto" w:fill="CCFFCC"/>
          </w:tcPr>
          <w:p>
            <w:pPr>
              <w:jc w:val="right"/>
              <w:ind w:right="230"/>
              <w:spacing w:after="0"/>
              <w:rPr>
                <w:sz w:val="20"/>
                <w:szCs w:val="20"/>
                <w:color w:val="auto"/>
              </w:rPr>
            </w:pPr>
            <w:r>
              <w:rPr>
                <w:rFonts w:ascii="Arial" w:cs="Arial" w:eastAsia="Arial" w:hAnsi="Arial"/>
                <w:sz w:val="18"/>
                <w:szCs w:val="18"/>
                <w:color w:val="auto"/>
              </w:rPr>
              <w:t>--</w:t>
            </w:r>
          </w:p>
        </w:tc>
      </w:tr>
      <w:tr>
        <w:trPr>
          <w:trHeight w:val="243"/>
        </w:trPr>
        <w:tc>
          <w:tcPr>
            <w:tcW w:w="6480" w:type="dxa"/>
            <w:vAlign w:val="bottom"/>
            <w:gridSpan w:val="2"/>
          </w:tcPr>
          <w:p>
            <w:pPr>
              <w:ind w:left="180"/>
              <w:spacing w:after="0"/>
              <w:rPr>
                <w:sz w:val="20"/>
                <w:szCs w:val="20"/>
                <w:color w:val="auto"/>
              </w:rPr>
            </w:pPr>
            <w:r>
              <w:rPr>
                <w:rFonts w:ascii="Arial" w:cs="Arial" w:eastAsia="Arial" w:hAnsi="Arial"/>
                <w:sz w:val="18"/>
                <w:szCs w:val="18"/>
                <w:color w:val="auto"/>
              </w:rPr>
              <w:t>2.8275%* May 1, 2039</w:t>
            </w:r>
          </w:p>
        </w:tc>
        <w:tc>
          <w:tcPr>
            <w:tcW w:w="240" w:type="dxa"/>
            <w:vAlign w:val="bottom"/>
          </w:tcPr>
          <w:p>
            <w:pPr>
              <w:spacing w:after="0"/>
              <w:rPr>
                <w:sz w:val="21"/>
                <w:szCs w:val="21"/>
                <w:color w:val="auto"/>
              </w:rPr>
            </w:pPr>
          </w:p>
        </w:tc>
        <w:tc>
          <w:tcPr>
            <w:tcW w:w="720" w:type="dxa"/>
            <w:vAlign w:val="bottom"/>
          </w:tcPr>
          <w:p>
            <w:pPr>
              <w:jc w:val="right"/>
              <w:ind w:right="90"/>
              <w:spacing w:after="0"/>
              <w:rPr>
                <w:sz w:val="20"/>
                <w:szCs w:val="20"/>
                <w:color w:val="auto"/>
              </w:rPr>
            </w:pPr>
            <w:r>
              <w:rPr>
                <w:rFonts w:ascii="Arial" w:cs="Arial" w:eastAsia="Arial" w:hAnsi="Arial"/>
                <w:sz w:val="18"/>
                <w:szCs w:val="18"/>
                <w:color w:val="auto"/>
              </w:rPr>
              <w:t>75</w:t>
            </w:r>
          </w:p>
        </w:tc>
        <w:tc>
          <w:tcPr>
            <w:tcW w:w="240" w:type="dxa"/>
            <w:vAlign w:val="bottom"/>
          </w:tcPr>
          <w:p>
            <w:pPr>
              <w:spacing w:after="0"/>
              <w:rPr>
                <w:sz w:val="21"/>
                <w:szCs w:val="21"/>
                <w:color w:val="auto"/>
              </w:rPr>
            </w:pPr>
          </w:p>
        </w:tc>
        <w:tc>
          <w:tcPr>
            <w:tcW w:w="860" w:type="dxa"/>
            <w:vAlign w:val="bottom"/>
          </w:tcPr>
          <w:p>
            <w:pPr>
              <w:jc w:val="right"/>
              <w:ind w:right="230"/>
              <w:spacing w:after="0"/>
              <w:rPr>
                <w:sz w:val="20"/>
                <w:szCs w:val="20"/>
                <w:color w:val="auto"/>
              </w:rPr>
            </w:pPr>
            <w:r>
              <w:rPr>
                <w:rFonts w:ascii="Arial" w:cs="Arial" w:eastAsia="Arial" w:hAnsi="Arial"/>
                <w:sz w:val="18"/>
                <w:szCs w:val="18"/>
                <w:color w:val="auto"/>
              </w:rPr>
              <w:t>75</w:t>
            </w:r>
          </w:p>
        </w:tc>
      </w:tr>
      <w:tr>
        <w:trPr>
          <w:trHeight w:val="237"/>
        </w:trPr>
        <w:tc>
          <w:tcPr>
            <w:tcW w:w="6260" w:type="dxa"/>
            <w:vAlign w:val="bottom"/>
            <w:shd w:val="clear" w:color="auto" w:fill="CCFFCC"/>
          </w:tcPr>
          <w:p>
            <w:pPr>
              <w:spacing w:after="0"/>
              <w:rPr>
                <w:sz w:val="20"/>
                <w:szCs w:val="20"/>
                <w:color w:val="auto"/>
              </w:rPr>
            </w:pPr>
          </w:p>
        </w:tc>
        <w:tc>
          <w:tcPr>
            <w:tcW w:w="220" w:type="dxa"/>
            <w:vAlign w:val="bottom"/>
            <w:tcBorders>
              <w:top w:val="single" w:sz="8" w:color="auto"/>
            </w:tcBorders>
            <w:shd w:val="clear" w:color="auto" w:fill="CCFFCC"/>
          </w:tcPr>
          <w:p>
            <w:pPr>
              <w:spacing w:after="0"/>
              <w:rPr>
                <w:sz w:val="20"/>
                <w:szCs w:val="20"/>
                <w:color w:val="auto"/>
              </w:rPr>
            </w:pPr>
          </w:p>
        </w:tc>
        <w:tc>
          <w:tcPr>
            <w:tcW w:w="240" w:type="dxa"/>
            <w:vAlign w:val="bottom"/>
            <w:tcBorders>
              <w:top w:val="single" w:sz="8" w:color="auto"/>
            </w:tcBorders>
            <w:shd w:val="clear" w:color="auto" w:fill="CCFFCC"/>
          </w:tcPr>
          <w:p>
            <w:pPr>
              <w:spacing w:after="0"/>
              <w:rPr>
                <w:sz w:val="20"/>
                <w:szCs w:val="20"/>
                <w:color w:val="auto"/>
              </w:rPr>
            </w:pPr>
          </w:p>
        </w:tc>
        <w:tc>
          <w:tcPr>
            <w:tcW w:w="720" w:type="dxa"/>
            <w:vAlign w:val="bottom"/>
            <w:tcBorders>
              <w:top w:val="single" w:sz="8" w:color="auto"/>
            </w:tcBorders>
            <w:shd w:val="clear" w:color="auto" w:fill="CCFFCC"/>
          </w:tcPr>
          <w:p>
            <w:pPr>
              <w:jc w:val="right"/>
              <w:ind w:right="90"/>
              <w:spacing w:after="0"/>
              <w:rPr>
                <w:sz w:val="20"/>
                <w:szCs w:val="20"/>
                <w:color w:val="auto"/>
              </w:rPr>
            </w:pPr>
            <w:r>
              <w:rPr>
                <w:rFonts w:ascii="Arial" w:cs="Arial" w:eastAsia="Arial" w:hAnsi="Arial"/>
                <w:sz w:val="18"/>
                <w:szCs w:val="18"/>
                <w:color w:val="auto"/>
              </w:rPr>
              <w:t>2,736</w:t>
            </w:r>
          </w:p>
        </w:tc>
        <w:tc>
          <w:tcPr>
            <w:tcW w:w="240" w:type="dxa"/>
            <w:vAlign w:val="bottom"/>
            <w:tcBorders>
              <w:top w:val="single" w:sz="8" w:color="auto"/>
            </w:tcBorders>
            <w:shd w:val="clear" w:color="auto" w:fill="CCFFCC"/>
          </w:tcPr>
          <w:p>
            <w:pPr>
              <w:spacing w:after="0"/>
              <w:rPr>
                <w:sz w:val="20"/>
                <w:szCs w:val="20"/>
                <w:color w:val="auto"/>
              </w:rPr>
            </w:pPr>
          </w:p>
        </w:tc>
        <w:tc>
          <w:tcPr>
            <w:tcW w:w="860" w:type="dxa"/>
            <w:vAlign w:val="bottom"/>
            <w:tcBorders>
              <w:top w:val="single" w:sz="8" w:color="auto"/>
            </w:tcBorders>
            <w:shd w:val="clear" w:color="auto" w:fill="CCFFCC"/>
          </w:tcPr>
          <w:p>
            <w:pPr>
              <w:jc w:val="right"/>
              <w:ind w:right="230"/>
              <w:spacing w:after="0"/>
              <w:rPr>
                <w:sz w:val="20"/>
                <w:szCs w:val="20"/>
                <w:color w:val="auto"/>
              </w:rPr>
            </w:pPr>
            <w:r>
              <w:rPr>
                <w:rFonts w:ascii="Arial" w:cs="Arial" w:eastAsia="Arial" w:hAnsi="Arial"/>
                <w:sz w:val="18"/>
                <w:szCs w:val="18"/>
                <w:color w:val="auto"/>
              </w:rPr>
              <w:t>2,486</w:t>
            </w:r>
          </w:p>
        </w:tc>
      </w:tr>
      <w:tr>
        <w:trPr>
          <w:trHeight w:val="237"/>
        </w:trPr>
        <w:tc>
          <w:tcPr>
            <w:tcW w:w="6480" w:type="dxa"/>
            <w:vAlign w:val="bottom"/>
            <w:gridSpan w:val="2"/>
          </w:tcPr>
          <w:p>
            <w:pPr>
              <w:ind w:left="20"/>
              <w:spacing w:after="0"/>
              <w:rPr>
                <w:sz w:val="20"/>
                <w:szCs w:val="20"/>
                <w:color w:val="auto"/>
              </w:rPr>
            </w:pPr>
            <w:r>
              <w:rPr>
                <w:rFonts w:ascii="Arial" w:cs="Arial" w:eastAsia="Arial" w:hAnsi="Arial"/>
                <w:sz w:val="18"/>
                <w:szCs w:val="18"/>
                <w:color w:val="auto"/>
              </w:rPr>
              <w:t>Other long-term debt (unsecured unless otherwise noted):</w:t>
            </w: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49"/>
        </w:trPr>
        <w:tc>
          <w:tcPr>
            <w:tcW w:w="648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6.0% Notes February 1, 2013</w:t>
            </w:r>
          </w:p>
        </w:tc>
        <w:tc>
          <w:tcPr>
            <w:tcW w:w="240" w:type="dxa"/>
            <w:vAlign w:val="bottom"/>
            <w:shd w:val="clear" w:color="auto" w:fill="CCFFCC"/>
          </w:tcPr>
          <w:p>
            <w:pPr>
              <w:spacing w:after="0"/>
              <w:rPr>
                <w:sz w:val="21"/>
                <w:szCs w:val="21"/>
                <w:color w:val="auto"/>
              </w:rPr>
            </w:pPr>
          </w:p>
        </w:tc>
        <w:tc>
          <w:tcPr>
            <w:tcW w:w="72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400</w:t>
            </w:r>
          </w:p>
        </w:tc>
        <w:tc>
          <w:tcPr>
            <w:tcW w:w="240" w:type="dxa"/>
            <w:vAlign w:val="bottom"/>
            <w:shd w:val="clear" w:color="auto" w:fill="CCFFCC"/>
          </w:tcPr>
          <w:p>
            <w:pPr>
              <w:spacing w:after="0"/>
              <w:rPr>
                <w:sz w:val="21"/>
                <w:szCs w:val="21"/>
                <w:color w:val="auto"/>
              </w:rPr>
            </w:pPr>
          </w:p>
        </w:tc>
        <w:tc>
          <w:tcPr>
            <w:tcW w:w="860" w:type="dxa"/>
            <w:vAlign w:val="bottom"/>
            <w:shd w:val="clear" w:color="auto" w:fill="CCFFCC"/>
          </w:tcPr>
          <w:p>
            <w:pPr>
              <w:jc w:val="right"/>
              <w:ind w:right="230"/>
              <w:spacing w:after="0"/>
              <w:rPr>
                <w:sz w:val="20"/>
                <w:szCs w:val="20"/>
                <w:color w:val="auto"/>
              </w:rPr>
            </w:pPr>
            <w:r>
              <w:rPr>
                <w:rFonts w:ascii="Arial" w:cs="Arial" w:eastAsia="Arial" w:hAnsi="Arial"/>
                <w:sz w:val="18"/>
                <w:szCs w:val="18"/>
                <w:color w:val="auto"/>
              </w:rPr>
              <w:t>400</w:t>
            </w:r>
          </w:p>
        </w:tc>
      </w:tr>
      <w:tr>
        <w:trPr>
          <w:trHeight w:val="237"/>
        </w:trPr>
        <w:tc>
          <w:tcPr>
            <w:tcW w:w="6480" w:type="dxa"/>
            <w:vAlign w:val="bottom"/>
            <w:gridSpan w:val="2"/>
          </w:tcPr>
          <w:p>
            <w:pPr>
              <w:ind w:left="180"/>
              <w:spacing w:after="0"/>
              <w:rPr>
                <w:sz w:val="20"/>
                <w:szCs w:val="20"/>
                <w:color w:val="auto"/>
              </w:rPr>
            </w:pPr>
            <w:r>
              <w:rPr>
                <w:rFonts w:ascii="Arial" w:cs="Arial" w:eastAsia="Arial" w:hAnsi="Arial"/>
                <w:sz w:val="18"/>
                <w:szCs w:val="18"/>
                <w:color w:val="auto"/>
                <w:w w:val="97"/>
              </w:rPr>
              <w:t>Notes at variable rates after fixed-to-floating swap (7.42% at December 31, 2007)</w:t>
            </w: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49"/>
        </w:trPr>
        <w:tc>
          <w:tcPr>
            <w:tcW w:w="6480" w:type="dxa"/>
            <w:vAlign w:val="bottom"/>
            <w:gridSpan w:val="2"/>
            <w:shd w:val="clear" w:color="auto" w:fill="CCFFCC"/>
          </w:tcPr>
          <w:p>
            <w:pPr>
              <w:ind w:left="420"/>
              <w:spacing w:after="0"/>
              <w:rPr>
                <w:sz w:val="20"/>
                <w:szCs w:val="20"/>
                <w:color w:val="auto"/>
              </w:rPr>
            </w:pPr>
            <w:r>
              <w:rPr>
                <w:rFonts w:ascii="Arial" w:cs="Arial" w:eastAsia="Arial" w:hAnsi="Arial"/>
                <w:sz w:val="18"/>
                <w:szCs w:val="18"/>
                <w:color w:val="auto"/>
              </w:rPr>
              <w:t>March 1, 2010</w:t>
            </w:r>
          </w:p>
        </w:tc>
        <w:tc>
          <w:tcPr>
            <w:tcW w:w="240" w:type="dxa"/>
            <w:vAlign w:val="bottom"/>
            <w:shd w:val="clear" w:color="auto" w:fill="CCFFCC"/>
          </w:tcPr>
          <w:p>
            <w:pPr>
              <w:spacing w:after="0"/>
              <w:rPr>
                <w:sz w:val="21"/>
                <w:szCs w:val="21"/>
                <w:color w:val="auto"/>
              </w:rPr>
            </w:pPr>
          </w:p>
        </w:tc>
        <w:tc>
          <w:tcPr>
            <w:tcW w:w="72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300</w:t>
            </w:r>
          </w:p>
        </w:tc>
        <w:tc>
          <w:tcPr>
            <w:tcW w:w="240" w:type="dxa"/>
            <w:vAlign w:val="bottom"/>
            <w:shd w:val="clear" w:color="auto" w:fill="CCFFCC"/>
          </w:tcPr>
          <w:p>
            <w:pPr>
              <w:spacing w:after="0"/>
              <w:rPr>
                <w:sz w:val="21"/>
                <w:szCs w:val="21"/>
                <w:color w:val="auto"/>
              </w:rPr>
            </w:pPr>
          </w:p>
        </w:tc>
        <w:tc>
          <w:tcPr>
            <w:tcW w:w="860" w:type="dxa"/>
            <w:vAlign w:val="bottom"/>
            <w:shd w:val="clear" w:color="auto" w:fill="CCFFCC"/>
          </w:tcPr>
          <w:p>
            <w:pPr>
              <w:jc w:val="right"/>
              <w:ind w:right="230"/>
              <w:spacing w:after="0"/>
              <w:rPr>
                <w:sz w:val="20"/>
                <w:szCs w:val="20"/>
                <w:color w:val="auto"/>
              </w:rPr>
            </w:pPr>
            <w:r>
              <w:rPr>
                <w:rFonts w:ascii="Arial" w:cs="Arial" w:eastAsia="Arial" w:hAnsi="Arial"/>
                <w:sz w:val="18"/>
                <w:szCs w:val="18"/>
                <w:color w:val="auto"/>
              </w:rPr>
              <w:t>300</w:t>
            </w:r>
          </w:p>
        </w:tc>
      </w:tr>
      <w:tr>
        <w:trPr>
          <w:trHeight w:val="237"/>
        </w:trPr>
        <w:tc>
          <w:tcPr>
            <w:tcW w:w="6480" w:type="dxa"/>
            <w:vAlign w:val="bottom"/>
            <w:gridSpan w:val="2"/>
          </w:tcPr>
          <w:p>
            <w:pPr>
              <w:ind w:left="180"/>
              <w:spacing w:after="0"/>
              <w:rPr>
                <w:sz w:val="20"/>
                <w:szCs w:val="20"/>
                <w:color w:val="auto"/>
              </w:rPr>
            </w:pPr>
            <w:r>
              <w:rPr>
                <w:rFonts w:ascii="Arial" w:cs="Arial" w:eastAsia="Arial" w:hAnsi="Arial"/>
                <w:sz w:val="18"/>
                <w:szCs w:val="18"/>
                <w:color w:val="auto"/>
              </w:rPr>
              <w:t>4.75% Notes May 15, 2009</w:t>
            </w:r>
          </w:p>
        </w:tc>
        <w:tc>
          <w:tcPr>
            <w:tcW w:w="240" w:type="dxa"/>
            <w:vAlign w:val="bottom"/>
          </w:tcPr>
          <w:p>
            <w:pPr>
              <w:spacing w:after="0"/>
              <w:rPr>
                <w:sz w:val="20"/>
                <w:szCs w:val="20"/>
                <w:color w:val="auto"/>
              </w:rPr>
            </w:pPr>
          </w:p>
        </w:tc>
        <w:tc>
          <w:tcPr>
            <w:tcW w:w="720" w:type="dxa"/>
            <w:vAlign w:val="bottom"/>
          </w:tcPr>
          <w:p>
            <w:pPr>
              <w:jc w:val="right"/>
              <w:ind w:right="90"/>
              <w:spacing w:after="0"/>
              <w:rPr>
                <w:sz w:val="20"/>
                <w:szCs w:val="20"/>
                <w:color w:val="auto"/>
              </w:rPr>
            </w:pPr>
            <w:r>
              <w:rPr>
                <w:rFonts w:ascii="Arial" w:cs="Arial" w:eastAsia="Arial" w:hAnsi="Arial"/>
                <w:sz w:val="18"/>
                <w:szCs w:val="18"/>
                <w:color w:val="auto"/>
              </w:rPr>
              <w:t>300</w:t>
            </w:r>
          </w:p>
        </w:tc>
        <w:tc>
          <w:tcPr>
            <w:tcW w:w="240" w:type="dxa"/>
            <w:vAlign w:val="bottom"/>
          </w:tcPr>
          <w:p>
            <w:pPr>
              <w:spacing w:after="0"/>
              <w:rPr>
                <w:sz w:val="20"/>
                <w:szCs w:val="20"/>
                <w:color w:val="auto"/>
              </w:rPr>
            </w:pPr>
          </w:p>
        </w:tc>
        <w:tc>
          <w:tcPr>
            <w:tcW w:w="860" w:type="dxa"/>
            <w:vAlign w:val="bottom"/>
          </w:tcPr>
          <w:p>
            <w:pPr>
              <w:jc w:val="right"/>
              <w:ind w:right="230"/>
              <w:spacing w:after="0"/>
              <w:rPr>
                <w:sz w:val="20"/>
                <w:szCs w:val="20"/>
                <w:color w:val="auto"/>
              </w:rPr>
            </w:pPr>
            <w:r>
              <w:rPr>
                <w:rFonts w:ascii="Arial" w:cs="Arial" w:eastAsia="Arial" w:hAnsi="Arial"/>
                <w:sz w:val="18"/>
                <w:szCs w:val="18"/>
                <w:color w:val="auto"/>
              </w:rPr>
              <w:t>300</w:t>
            </w:r>
          </w:p>
        </w:tc>
      </w:tr>
      <w:tr>
        <w:trPr>
          <w:trHeight w:val="249"/>
        </w:trPr>
        <w:tc>
          <w:tcPr>
            <w:tcW w:w="648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7.95% Notes March 1, 2010</w:t>
            </w:r>
          </w:p>
        </w:tc>
        <w:tc>
          <w:tcPr>
            <w:tcW w:w="240" w:type="dxa"/>
            <w:vAlign w:val="bottom"/>
            <w:shd w:val="clear" w:color="auto" w:fill="CCFFCC"/>
          </w:tcPr>
          <w:p>
            <w:pPr>
              <w:spacing w:after="0"/>
              <w:rPr>
                <w:sz w:val="21"/>
                <w:szCs w:val="21"/>
                <w:color w:val="auto"/>
              </w:rPr>
            </w:pPr>
          </w:p>
        </w:tc>
        <w:tc>
          <w:tcPr>
            <w:tcW w:w="72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200</w:t>
            </w:r>
          </w:p>
        </w:tc>
        <w:tc>
          <w:tcPr>
            <w:tcW w:w="240" w:type="dxa"/>
            <w:vAlign w:val="bottom"/>
            <w:shd w:val="clear" w:color="auto" w:fill="CCFFCC"/>
          </w:tcPr>
          <w:p>
            <w:pPr>
              <w:spacing w:after="0"/>
              <w:rPr>
                <w:sz w:val="21"/>
                <w:szCs w:val="21"/>
                <w:color w:val="auto"/>
              </w:rPr>
            </w:pPr>
          </w:p>
        </w:tc>
        <w:tc>
          <w:tcPr>
            <w:tcW w:w="860" w:type="dxa"/>
            <w:vAlign w:val="bottom"/>
            <w:shd w:val="clear" w:color="auto" w:fill="CCFFCC"/>
          </w:tcPr>
          <w:p>
            <w:pPr>
              <w:jc w:val="right"/>
              <w:ind w:right="230"/>
              <w:spacing w:after="0"/>
              <w:rPr>
                <w:sz w:val="20"/>
                <w:szCs w:val="20"/>
                <w:color w:val="auto"/>
              </w:rPr>
            </w:pPr>
            <w:r>
              <w:rPr>
                <w:rFonts w:ascii="Arial" w:cs="Arial" w:eastAsia="Arial" w:hAnsi="Arial"/>
                <w:sz w:val="18"/>
                <w:szCs w:val="18"/>
                <w:color w:val="auto"/>
              </w:rPr>
              <w:t>200</w:t>
            </w:r>
          </w:p>
        </w:tc>
      </w:tr>
      <w:tr>
        <w:trPr>
          <w:trHeight w:val="237"/>
        </w:trPr>
        <w:tc>
          <w:tcPr>
            <w:tcW w:w="6480" w:type="dxa"/>
            <w:vAlign w:val="bottom"/>
            <w:gridSpan w:val="2"/>
          </w:tcPr>
          <w:p>
            <w:pPr>
              <w:ind w:left="180"/>
              <w:spacing w:after="0"/>
              <w:rPr>
                <w:sz w:val="20"/>
                <w:szCs w:val="20"/>
                <w:color w:val="auto"/>
              </w:rPr>
            </w:pPr>
            <w:r>
              <w:rPr>
                <w:rFonts w:ascii="Arial" w:cs="Arial" w:eastAsia="Arial" w:hAnsi="Arial"/>
                <w:sz w:val="18"/>
                <w:szCs w:val="18"/>
                <w:color w:val="auto"/>
              </w:rPr>
              <w:t>5.9% June 1, 2014</w:t>
            </w:r>
          </w:p>
        </w:tc>
        <w:tc>
          <w:tcPr>
            <w:tcW w:w="240" w:type="dxa"/>
            <w:vAlign w:val="bottom"/>
          </w:tcPr>
          <w:p>
            <w:pPr>
              <w:spacing w:after="0"/>
              <w:rPr>
                <w:sz w:val="20"/>
                <w:szCs w:val="20"/>
                <w:color w:val="auto"/>
              </w:rPr>
            </w:pPr>
          </w:p>
        </w:tc>
        <w:tc>
          <w:tcPr>
            <w:tcW w:w="720" w:type="dxa"/>
            <w:vAlign w:val="bottom"/>
          </w:tcPr>
          <w:p>
            <w:pPr>
              <w:jc w:val="right"/>
              <w:ind w:right="90"/>
              <w:spacing w:after="0"/>
              <w:rPr>
                <w:sz w:val="20"/>
                <w:szCs w:val="20"/>
                <w:color w:val="auto"/>
              </w:rPr>
            </w:pPr>
            <w:r>
              <w:rPr>
                <w:rFonts w:ascii="Arial" w:cs="Arial" w:eastAsia="Arial" w:hAnsi="Arial"/>
                <w:sz w:val="18"/>
                <w:szCs w:val="18"/>
                <w:color w:val="auto"/>
              </w:rPr>
              <w:t>130</w:t>
            </w:r>
          </w:p>
        </w:tc>
        <w:tc>
          <w:tcPr>
            <w:tcW w:w="240" w:type="dxa"/>
            <w:vAlign w:val="bottom"/>
          </w:tcPr>
          <w:p>
            <w:pPr>
              <w:spacing w:after="0"/>
              <w:rPr>
                <w:sz w:val="20"/>
                <w:szCs w:val="20"/>
                <w:color w:val="auto"/>
              </w:rPr>
            </w:pPr>
          </w:p>
        </w:tc>
        <w:tc>
          <w:tcPr>
            <w:tcW w:w="860" w:type="dxa"/>
            <w:vAlign w:val="bottom"/>
          </w:tcPr>
          <w:p>
            <w:pPr>
              <w:jc w:val="right"/>
              <w:ind w:right="230"/>
              <w:spacing w:after="0"/>
              <w:rPr>
                <w:sz w:val="20"/>
                <w:szCs w:val="20"/>
                <w:color w:val="auto"/>
              </w:rPr>
            </w:pPr>
            <w:r>
              <w:rPr>
                <w:rFonts w:ascii="Arial" w:cs="Arial" w:eastAsia="Arial" w:hAnsi="Arial"/>
                <w:sz w:val="18"/>
                <w:szCs w:val="18"/>
                <w:color w:val="auto"/>
              </w:rPr>
              <w:t>130</w:t>
            </w:r>
          </w:p>
        </w:tc>
      </w:tr>
      <w:tr>
        <w:trPr>
          <w:trHeight w:val="249"/>
        </w:trPr>
        <w:tc>
          <w:tcPr>
            <w:tcW w:w="648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6.3% December 31, 2021</w:t>
            </w:r>
          </w:p>
        </w:tc>
        <w:tc>
          <w:tcPr>
            <w:tcW w:w="240" w:type="dxa"/>
            <w:vAlign w:val="bottom"/>
            <w:shd w:val="clear" w:color="auto" w:fill="CCFFCC"/>
          </w:tcPr>
          <w:p>
            <w:pPr>
              <w:spacing w:after="0"/>
              <w:rPr>
                <w:sz w:val="21"/>
                <w:szCs w:val="21"/>
                <w:color w:val="auto"/>
              </w:rPr>
            </w:pPr>
          </w:p>
        </w:tc>
        <w:tc>
          <w:tcPr>
            <w:tcW w:w="72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128</w:t>
            </w:r>
          </w:p>
        </w:tc>
        <w:tc>
          <w:tcPr>
            <w:tcW w:w="240" w:type="dxa"/>
            <w:vAlign w:val="bottom"/>
            <w:shd w:val="clear" w:color="auto" w:fill="CCFFCC"/>
          </w:tcPr>
          <w:p>
            <w:pPr>
              <w:spacing w:after="0"/>
              <w:rPr>
                <w:sz w:val="21"/>
                <w:szCs w:val="21"/>
                <w:color w:val="auto"/>
              </w:rPr>
            </w:pPr>
          </w:p>
        </w:tc>
        <w:tc>
          <w:tcPr>
            <w:tcW w:w="860" w:type="dxa"/>
            <w:vAlign w:val="bottom"/>
            <w:shd w:val="clear" w:color="auto" w:fill="CCFFCC"/>
          </w:tcPr>
          <w:p>
            <w:pPr>
              <w:jc w:val="right"/>
              <w:ind w:right="230"/>
              <w:spacing w:after="0"/>
              <w:rPr>
                <w:sz w:val="20"/>
                <w:szCs w:val="20"/>
                <w:color w:val="auto"/>
              </w:rPr>
            </w:pPr>
            <w:r>
              <w:rPr>
                <w:rFonts w:ascii="Arial" w:cs="Arial" w:eastAsia="Arial" w:hAnsi="Arial"/>
                <w:sz w:val="18"/>
                <w:szCs w:val="18"/>
                <w:color w:val="auto"/>
              </w:rPr>
              <w:t>128</w:t>
            </w:r>
          </w:p>
        </w:tc>
      </w:tr>
      <w:tr>
        <w:trPr>
          <w:trHeight w:val="237"/>
        </w:trPr>
        <w:tc>
          <w:tcPr>
            <w:tcW w:w="6480" w:type="dxa"/>
            <w:vAlign w:val="bottom"/>
            <w:gridSpan w:val="2"/>
          </w:tcPr>
          <w:p>
            <w:pPr>
              <w:ind w:left="180"/>
              <w:spacing w:after="0"/>
              <w:rPr>
                <w:sz w:val="20"/>
                <w:szCs w:val="20"/>
                <w:color w:val="auto"/>
              </w:rPr>
            </w:pPr>
            <w:r>
              <w:rPr>
                <w:rFonts w:ascii="Arial" w:cs="Arial" w:eastAsia="Arial" w:hAnsi="Arial"/>
                <w:sz w:val="18"/>
                <w:szCs w:val="18"/>
                <w:color w:val="auto"/>
              </w:rPr>
              <w:t>5.5% December 1, 2021</w:t>
            </w:r>
          </w:p>
        </w:tc>
        <w:tc>
          <w:tcPr>
            <w:tcW w:w="240" w:type="dxa"/>
            <w:vAlign w:val="bottom"/>
          </w:tcPr>
          <w:p>
            <w:pPr>
              <w:spacing w:after="0"/>
              <w:rPr>
                <w:sz w:val="20"/>
                <w:szCs w:val="20"/>
                <w:color w:val="auto"/>
              </w:rPr>
            </w:pPr>
          </w:p>
        </w:tc>
        <w:tc>
          <w:tcPr>
            <w:tcW w:w="720" w:type="dxa"/>
            <w:vAlign w:val="bottom"/>
          </w:tcPr>
          <w:p>
            <w:pPr>
              <w:jc w:val="right"/>
              <w:ind w:right="90"/>
              <w:spacing w:after="0"/>
              <w:rPr>
                <w:sz w:val="20"/>
                <w:szCs w:val="20"/>
                <w:color w:val="auto"/>
              </w:rPr>
            </w:pPr>
            <w:r>
              <w:rPr>
                <w:rFonts w:ascii="Arial" w:cs="Arial" w:eastAsia="Arial" w:hAnsi="Arial"/>
                <w:sz w:val="18"/>
                <w:szCs w:val="18"/>
                <w:color w:val="auto"/>
              </w:rPr>
              <w:t>60</w:t>
            </w:r>
          </w:p>
        </w:tc>
        <w:tc>
          <w:tcPr>
            <w:tcW w:w="240" w:type="dxa"/>
            <w:vAlign w:val="bottom"/>
          </w:tcPr>
          <w:p>
            <w:pPr>
              <w:spacing w:after="0"/>
              <w:rPr>
                <w:sz w:val="20"/>
                <w:szCs w:val="20"/>
                <w:color w:val="auto"/>
              </w:rPr>
            </w:pPr>
          </w:p>
        </w:tc>
        <w:tc>
          <w:tcPr>
            <w:tcW w:w="860" w:type="dxa"/>
            <w:vAlign w:val="bottom"/>
          </w:tcPr>
          <w:p>
            <w:pPr>
              <w:jc w:val="right"/>
              <w:ind w:right="230"/>
              <w:spacing w:after="0"/>
              <w:rPr>
                <w:sz w:val="20"/>
                <w:szCs w:val="20"/>
                <w:color w:val="auto"/>
              </w:rPr>
            </w:pPr>
            <w:r>
              <w:rPr>
                <w:rFonts w:ascii="Arial" w:cs="Arial" w:eastAsia="Arial" w:hAnsi="Arial"/>
                <w:sz w:val="18"/>
                <w:szCs w:val="18"/>
                <w:color w:val="auto"/>
              </w:rPr>
              <w:t>60</w:t>
            </w:r>
          </w:p>
        </w:tc>
      </w:tr>
      <w:tr>
        <w:trPr>
          <w:trHeight w:val="249"/>
        </w:trPr>
        <w:tc>
          <w:tcPr>
            <w:tcW w:w="648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Employee Stock Ownership Plan</w:t>
            </w:r>
          </w:p>
        </w:tc>
        <w:tc>
          <w:tcPr>
            <w:tcW w:w="240" w:type="dxa"/>
            <w:vAlign w:val="bottom"/>
            <w:shd w:val="clear" w:color="auto" w:fill="CCFFCC"/>
          </w:tcPr>
          <w:p>
            <w:pPr>
              <w:spacing w:after="0"/>
              <w:rPr>
                <w:sz w:val="21"/>
                <w:szCs w:val="21"/>
                <w:color w:val="auto"/>
              </w:rPr>
            </w:pPr>
          </w:p>
        </w:tc>
        <w:tc>
          <w:tcPr>
            <w:tcW w:w="72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860" w:type="dxa"/>
            <w:vAlign w:val="bottom"/>
            <w:shd w:val="clear" w:color="auto" w:fill="CCFFCC"/>
          </w:tcPr>
          <w:p>
            <w:pPr>
              <w:spacing w:after="0"/>
              <w:rPr>
                <w:sz w:val="21"/>
                <w:szCs w:val="21"/>
                <w:color w:val="auto"/>
              </w:rPr>
            </w:pPr>
          </w:p>
        </w:tc>
      </w:tr>
      <w:tr>
        <w:trPr>
          <w:trHeight w:val="237"/>
        </w:trPr>
        <w:tc>
          <w:tcPr>
            <w:tcW w:w="6480" w:type="dxa"/>
            <w:vAlign w:val="bottom"/>
            <w:gridSpan w:val="2"/>
          </w:tcPr>
          <w:p>
            <w:pPr>
              <w:ind w:left="400"/>
              <w:spacing w:after="0"/>
              <w:rPr>
                <w:sz w:val="20"/>
                <w:szCs w:val="20"/>
                <w:color w:val="auto"/>
              </w:rPr>
            </w:pPr>
            <w:r>
              <w:rPr>
                <w:rFonts w:ascii="Arial" w:cs="Arial" w:eastAsia="Arial" w:hAnsi="Arial"/>
                <w:sz w:val="18"/>
                <w:szCs w:val="18"/>
                <w:color w:val="auto"/>
              </w:rPr>
              <w:t>Bonds at 5.781% (fixed through July 1, 2010) November 1, 2014</w:t>
            </w:r>
          </w:p>
        </w:tc>
        <w:tc>
          <w:tcPr>
            <w:tcW w:w="240" w:type="dxa"/>
            <w:vAlign w:val="bottom"/>
          </w:tcPr>
          <w:p>
            <w:pPr>
              <w:spacing w:after="0"/>
              <w:rPr>
                <w:sz w:val="20"/>
                <w:szCs w:val="20"/>
                <w:color w:val="auto"/>
              </w:rPr>
            </w:pPr>
          </w:p>
        </w:tc>
        <w:tc>
          <w:tcPr>
            <w:tcW w:w="720" w:type="dxa"/>
            <w:vAlign w:val="bottom"/>
          </w:tcPr>
          <w:p>
            <w:pPr>
              <w:jc w:val="right"/>
              <w:ind w:right="90"/>
              <w:spacing w:after="0"/>
              <w:rPr>
                <w:sz w:val="20"/>
                <w:szCs w:val="20"/>
                <w:color w:val="auto"/>
              </w:rPr>
            </w:pPr>
            <w:r>
              <w:rPr>
                <w:rFonts w:ascii="Arial" w:cs="Arial" w:eastAsia="Arial" w:hAnsi="Arial"/>
                <w:sz w:val="18"/>
                <w:szCs w:val="18"/>
                <w:color w:val="auto"/>
              </w:rPr>
              <w:t>50</w:t>
            </w:r>
          </w:p>
        </w:tc>
        <w:tc>
          <w:tcPr>
            <w:tcW w:w="240" w:type="dxa"/>
            <w:vAlign w:val="bottom"/>
          </w:tcPr>
          <w:p>
            <w:pPr>
              <w:spacing w:after="0"/>
              <w:rPr>
                <w:sz w:val="20"/>
                <w:szCs w:val="20"/>
                <w:color w:val="auto"/>
              </w:rPr>
            </w:pPr>
          </w:p>
        </w:tc>
        <w:tc>
          <w:tcPr>
            <w:tcW w:w="860" w:type="dxa"/>
            <w:vAlign w:val="bottom"/>
          </w:tcPr>
          <w:p>
            <w:pPr>
              <w:jc w:val="right"/>
              <w:ind w:right="230"/>
              <w:spacing w:after="0"/>
              <w:rPr>
                <w:sz w:val="20"/>
                <w:szCs w:val="20"/>
                <w:color w:val="auto"/>
              </w:rPr>
            </w:pPr>
            <w:r>
              <w:rPr>
                <w:rFonts w:ascii="Arial" w:cs="Arial" w:eastAsia="Arial" w:hAnsi="Arial"/>
                <w:sz w:val="18"/>
                <w:szCs w:val="18"/>
                <w:color w:val="auto"/>
              </w:rPr>
              <w:t>82</w:t>
            </w:r>
          </w:p>
        </w:tc>
      </w:tr>
      <w:tr>
        <w:trPr>
          <w:trHeight w:val="249"/>
        </w:trPr>
        <w:tc>
          <w:tcPr>
            <w:tcW w:w="6480" w:type="dxa"/>
            <w:vAlign w:val="bottom"/>
            <w:gridSpan w:val="2"/>
            <w:shd w:val="clear" w:color="auto" w:fill="CCFFCC"/>
          </w:tcPr>
          <w:p>
            <w:pPr>
              <w:ind w:left="400"/>
              <w:spacing w:after="0"/>
              <w:rPr>
                <w:sz w:val="20"/>
                <w:szCs w:val="20"/>
                <w:color w:val="auto"/>
              </w:rPr>
            </w:pPr>
            <w:r>
              <w:rPr>
                <w:rFonts w:ascii="Arial" w:cs="Arial" w:eastAsia="Arial" w:hAnsi="Arial"/>
                <w:sz w:val="18"/>
                <w:szCs w:val="18"/>
                <w:color w:val="auto"/>
              </w:rPr>
              <w:t>Bonds at variable rates (4.99% at December 31, 2007) November 1, 2014</w:t>
            </w:r>
          </w:p>
        </w:tc>
        <w:tc>
          <w:tcPr>
            <w:tcW w:w="240" w:type="dxa"/>
            <w:vAlign w:val="bottom"/>
            <w:shd w:val="clear" w:color="auto" w:fill="CCFFCC"/>
          </w:tcPr>
          <w:p>
            <w:pPr>
              <w:spacing w:after="0"/>
              <w:rPr>
                <w:sz w:val="21"/>
                <w:szCs w:val="21"/>
                <w:color w:val="auto"/>
              </w:rPr>
            </w:pPr>
          </w:p>
        </w:tc>
        <w:tc>
          <w:tcPr>
            <w:tcW w:w="72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33</w:t>
            </w:r>
          </w:p>
        </w:tc>
        <w:tc>
          <w:tcPr>
            <w:tcW w:w="240" w:type="dxa"/>
            <w:vAlign w:val="bottom"/>
            <w:shd w:val="clear" w:color="auto" w:fill="CCFFCC"/>
          </w:tcPr>
          <w:p>
            <w:pPr>
              <w:spacing w:after="0"/>
              <w:rPr>
                <w:sz w:val="21"/>
                <w:szCs w:val="21"/>
                <w:color w:val="auto"/>
              </w:rPr>
            </w:pPr>
          </w:p>
        </w:tc>
        <w:tc>
          <w:tcPr>
            <w:tcW w:w="860" w:type="dxa"/>
            <w:vAlign w:val="bottom"/>
            <w:shd w:val="clear" w:color="auto" w:fill="CCFFCC"/>
          </w:tcPr>
          <w:p>
            <w:pPr>
              <w:jc w:val="right"/>
              <w:ind w:right="230"/>
              <w:spacing w:after="0"/>
              <w:rPr>
                <w:sz w:val="20"/>
                <w:szCs w:val="20"/>
                <w:color w:val="auto"/>
              </w:rPr>
            </w:pPr>
            <w:r>
              <w:rPr>
                <w:rFonts w:ascii="Arial" w:cs="Arial" w:eastAsia="Arial" w:hAnsi="Arial"/>
                <w:sz w:val="18"/>
                <w:szCs w:val="18"/>
                <w:color w:val="auto"/>
              </w:rPr>
              <w:t>10</w:t>
            </w:r>
          </w:p>
        </w:tc>
      </w:tr>
      <w:tr>
        <w:trPr>
          <w:trHeight w:val="237"/>
        </w:trPr>
        <w:tc>
          <w:tcPr>
            <w:tcW w:w="6480" w:type="dxa"/>
            <w:vAlign w:val="bottom"/>
            <w:gridSpan w:val="2"/>
          </w:tcPr>
          <w:p>
            <w:pPr>
              <w:ind w:left="180"/>
              <w:spacing w:after="0"/>
              <w:rPr>
                <w:sz w:val="20"/>
                <w:szCs w:val="20"/>
                <w:color w:val="auto"/>
              </w:rPr>
            </w:pPr>
            <w:r>
              <w:rPr>
                <w:rFonts w:ascii="Arial" w:cs="Arial" w:eastAsia="Arial" w:hAnsi="Arial"/>
                <w:sz w:val="18"/>
                <w:szCs w:val="18"/>
                <w:color w:val="auto"/>
              </w:rPr>
              <w:t>5.3% July 1, 2021</w:t>
            </w:r>
          </w:p>
        </w:tc>
        <w:tc>
          <w:tcPr>
            <w:tcW w:w="240" w:type="dxa"/>
            <w:vAlign w:val="bottom"/>
          </w:tcPr>
          <w:p>
            <w:pPr>
              <w:spacing w:after="0"/>
              <w:rPr>
                <w:sz w:val="20"/>
                <w:szCs w:val="20"/>
                <w:color w:val="auto"/>
              </w:rPr>
            </w:pPr>
          </w:p>
        </w:tc>
        <w:tc>
          <w:tcPr>
            <w:tcW w:w="720" w:type="dxa"/>
            <w:vAlign w:val="bottom"/>
          </w:tcPr>
          <w:p>
            <w:pPr>
              <w:jc w:val="right"/>
              <w:ind w:right="90"/>
              <w:spacing w:after="0"/>
              <w:rPr>
                <w:sz w:val="20"/>
                <w:szCs w:val="20"/>
                <w:color w:val="auto"/>
              </w:rPr>
            </w:pPr>
            <w:r>
              <w:rPr>
                <w:rFonts w:ascii="Arial" w:cs="Arial" w:eastAsia="Arial" w:hAnsi="Arial"/>
                <w:sz w:val="18"/>
                <w:szCs w:val="18"/>
                <w:color w:val="auto"/>
              </w:rPr>
              <w:t>39</w:t>
            </w:r>
          </w:p>
        </w:tc>
        <w:tc>
          <w:tcPr>
            <w:tcW w:w="240" w:type="dxa"/>
            <w:vAlign w:val="bottom"/>
          </w:tcPr>
          <w:p>
            <w:pPr>
              <w:spacing w:after="0"/>
              <w:rPr>
                <w:sz w:val="20"/>
                <w:szCs w:val="20"/>
                <w:color w:val="auto"/>
              </w:rPr>
            </w:pPr>
          </w:p>
        </w:tc>
        <w:tc>
          <w:tcPr>
            <w:tcW w:w="860" w:type="dxa"/>
            <w:vAlign w:val="bottom"/>
          </w:tcPr>
          <w:p>
            <w:pPr>
              <w:jc w:val="right"/>
              <w:ind w:right="230"/>
              <w:spacing w:after="0"/>
              <w:rPr>
                <w:sz w:val="20"/>
                <w:szCs w:val="20"/>
                <w:color w:val="auto"/>
              </w:rPr>
            </w:pPr>
            <w:r>
              <w:rPr>
                <w:rFonts w:ascii="Arial" w:cs="Arial" w:eastAsia="Arial" w:hAnsi="Arial"/>
                <w:sz w:val="18"/>
                <w:szCs w:val="18"/>
                <w:color w:val="auto"/>
              </w:rPr>
              <w:t>39</w:t>
            </w:r>
          </w:p>
        </w:tc>
      </w:tr>
      <w:tr>
        <w:trPr>
          <w:trHeight w:val="249"/>
        </w:trPr>
        <w:tc>
          <w:tcPr>
            <w:tcW w:w="648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Notes at 3.92% to 5.05% payable 2010 through 2012</w:t>
            </w:r>
          </w:p>
        </w:tc>
        <w:tc>
          <w:tcPr>
            <w:tcW w:w="240" w:type="dxa"/>
            <w:vAlign w:val="bottom"/>
            <w:shd w:val="clear" w:color="auto" w:fill="CCFFCC"/>
          </w:tcPr>
          <w:p>
            <w:pPr>
              <w:spacing w:after="0"/>
              <w:rPr>
                <w:sz w:val="21"/>
                <w:szCs w:val="21"/>
                <w:color w:val="auto"/>
              </w:rPr>
            </w:pPr>
          </w:p>
        </w:tc>
        <w:tc>
          <w:tcPr>
            <w:tcW w:w="72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41</w:t>
            </w:r>
          </w:p>
        </w:tc>
        <w:tc>
          <w:tcPr>
            <w:tcW w:w="240" w:type="dxa"/>
            <w:vAlign w:val="bottom"/>
            <w:shd w:val="clear" w:color="auto" w:fill="CCFFCC"/>
          </w:tcPr>
          <w:p>
            <w:pPr>
              <w:spacing w:after="0"/>
              <w:rPr>
                <w:sz w:val="21"/>
                <w:szCs w:val="21"/>
                <w:color w:val="auto"/>
              </w:rPr>
            </w:pPr>
          </w:p>
        </w:tc>
        <w:tc>
          <w:tcPr>
            <w:tcW w:w="860" w:type="dxa"/>
            <w:vAlign w:val="bottom"/>
            <w:shd w:val="clear" w:color="auto" w:fill="CCFFCC"/>
          </w:tcPr>
          <w:p>
            <w:pPr>
              <w:jc w:val="right"/>
              <w:ind w:right="230"/>
              <w:spacing w:after="0"/>
              <w:rPr>
                <w:sz w:val="20"/>
                <w:szCs w:val="20"/>
                <w:color w:val="auto"/>
              </w:rPr>
            </w:pPr>
            <w:r>
              <w:rPr>
                <w:rFonts w:ascii="Arial" w:cs="Arial" w:eastAsia="Arial" w:hAnsi="Arial"/>
                <w:sz w:val="18"/>
                <w:szCs w:val="18"/>
                <w:color w:val="auto"/>
              </w:rPr>
              <w:t>32</w:t>
            </w:r>
          </w:p>
        </w:tc>
      </w:tr>
      <w:tr>
        <w:trPr>
          <w:trHeight w:val="237"/>
        </w:trPr>
        <w:tc>
          <w:tcPr>
            <w:tcW w:w="6480" w:type="dxa"/>
            <w:vAlign w:val="bottom"/>
            <w:gridSpan w:val="2"/>
          </w:tcPr>
          <w:p>
            <w:pPr>
              <w:ind w:left="180"/>
              <w:spacing w:after="0"/>
              <w:rPr>
                <w:sz w:val="20"/>
                <w:szCs w:val="20"/>
                <w:color w:val="auto"/>
              </w:rPr>
            </w:pPr>
            <w:r>
              <w:rPr>
                <w:rFonts w:ascii="Arial" w:cs="Arial" w:eastAsia="Arial" w:hAnsi="Arial"/>
                <w:sz w:val="18"/>
                <w:szCs w:val="18"/>
                <w:color w:val="auto"/>
              </w:rPr>
              <w:t>4.9% March 1, 2023</w:t>
            </w:r>
          </w:p>
        </w:tc>
        <w:tc>
          <w:tcPr>
            <w:tcW w:w="240" w:type="dxa"/>
            <w:vAlign w:val="bottom"/>
          </w:tcPr>
          <w:p>
            <w:pPr>
              <w:spacing w:after="0"/>
              <w:rPr>
                <w:sz w:val="20"/>
                <w:szCs w:val="20"/>
                <w:color w:val="auto"/>
              </w:rPr>
            </w:pPr>
          </w:p>
        </w:tc>
        <w:tc>
          <w:tcPr>
            <w:tcW w:w="720" w:type="dxa"/>
            <w:vAlign w:val="bottom"/>
          </w:tcPr>
          <w:p>
            <w:pPr>
              <w:jc w:val="right"/>
              <w:ind w:right="90"/>
              <w:spacing w:after="0"/>
              <w:rPr>
                <w:sz w:val="20"/>
                <w:szCs w:val="20"/>
                <w:color w:val="auto"/>
              </w:rPr>
            </w:pPr>
            <w:r>
              <w:rPr>
                <w:rFonts w:ascii="Arial" w:cs="Arial" w:eastAsia="Arial" w:hAnsi="Arial"/>
                <w:sz w:val="18"/>
                <w:szCs w:val="18"/>
                <w:color w:val="auto"/>
              </w:rPr>
              <w:t>25</w:t>
            </w:r>
          </w:p>
        </w:tc>
        <w:tc>
          <w:tcPr>
            <w:tcW w:w="240" w:type="dxa"/>
            <w:vAlign w:val="bottom"/>
          </w:tcPr>
          <w:p>
            <w:pPr>
              <w:spacing w:after="0"/>
              <w:rPr>
                <w:sz w:val="20"/>
                <w:szCs w:val="20"/>
                <w:color w:val="auto"/>
              </w:rPr>
            </w:pPr>
          </w:p>
        </w:tc>
        <w:tc>
          <w:tcPr>
            <w:tcW w:w="860" w:type="dxa"/>
            <w:vAlign w:val="bottom"/>
          </w:tcPr>
          <w:p>
            <w:pPr>
              <w:jc w:val="right"/>
              <w:ind w:right="230"/>
              <w:spacing w:after="0"/>
              <w:rPr>
                <w:sz w:val="20"/>
                <w:szCs w:val="20"/>
                <w:color w:val="auto"/>
              </w:rPr>
            </w:pPr>
            <w:r>
              <w:rPr>
                <w:rFonts w:ascii="Arial" w:cs="Arial" w:eastAsia="Arial" w:hAnsi="Arial"/>
                <w:sz w:val="18"/>
                <w:szCs w:val="18"/>
                <w:color w:val="auto"/>
              </w:rPr>
              <w:t>25</w:t>
            </w:r>
          </w:p>
        </w:tc>
      </w:tr>
      <w:tr>
        <w:trPr>
          <w:trHeight w:val="222"/>
        </w:trPr>
        <w:tc>
          <w:tcPr>
            <w:tcW w:w="648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w w:val="97"/>
              </w:rPr>
              <w:t>Debt incurred to acquire limited partnerships, secured by real estate, at 7.52% to</w:t>
            </w:r>
          </w:p>
        </w:tc>
        <w:tc>
          <w:tcPr>
            <w:tcW w:w="240" w:type="dxa"/>
            <w:vAlign w:val="bottom"/>
            <w:shd w:val="clear" w:color="auto" w:fill="CCFFCC"/>
          </w:tcPr>
          <w:p>
            <w:pPr>
              <w:spacing w:after="0"/>
              <w:rPr>
                <w:sz w:val="19"/>
                <w:szCs w:val="19"/>
                <w:color w:val="auto"/>
              </w:rPr>
            </w:pPr>
          </w:p>
        </w:tc>
        <w:tc>
          <w:tcPr>
            <w:tcW w:w="72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860" w:type="dxa"/>
            <w:vAlign w:val="bottom"/>
            <w:shd w:val="clear" w:color="auto" w:fill="CCFFCC"/>
          </w:tcPr>
          <w:p>
            <w:pPr>
              <w:spacing w:after="0"/>
              <w:rPr>
                <w:sz w:val="19"/>
                <w:szCs w:val="19"/>
                <w:color w:val="auto"/>
              </w:rPr>
            </w:pPr>
          </w:p>
        </w:tc>
      </w:tr>
      <w:tr>
        <w:trPr>
          <w:trHeight w:val="244"/>
        </w:trPr>
        <w:tc>
          <w:tcPr>
            <w:tcW w:w="6480" w:type="dxa"/>
            <w:vAlign w:val="bottom"/>
            <w:gridSpan w:val="2"/>
            <w:shd w:val="clear" w:color="auto" w:fill="CCFFCC"/>
          </w:tcPr>
          <w:p>
            <w:pPr>
              <w:ind w:left="300"/>
              <w:spacing w:after="0"/>
              <w:rPr>
                <w:sz w:val="20"/>
                <w:szCs w:val="20"/>
                <w:color w:val="auto"/>
              </w:rPr>
            </w:pPr>
            <w:r>
              <w:rPr>
                <w:rFonts w:ascii="Arial" w:cs="Arial" w:eastAsia="Arial" w:hAnsi="Arial"/>
                <w:sz w:val="18"/>
                <w:szCs w:val="18"/>
                <w:color w:val="auto"/>
              </w:rPr>
              <w:t>9.35% annually through 2009</w:t>
            </w:r>
          </w:p>
        </w:tc>
        <w:tc>
          <w:tcPr>
            <w:tcW w:w="240" w:type="dxa"/>
            <w:vAlign w:val="bottom"/>
            <w:shd w:val="clear" w:color="auto" w:fill="CCFFCC"/>
          </w:tcPr>
          <w:p>
            <w:pPr>
              <w:spacing w:after="0"/>
              <w:rPr>
                <w:sz w:val="21"/>
                <w:szCs w:val="21"/>
                <w:color w:val="auto"/>
              </w:rPr>
            </w:pPr>
          </w:p>
        </w:tc>
        <w:tc>
          <w:tcPr>
            <w:tcW w:w="72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9</w:t>
            </w:r>
          </w:p>
        </w:tc>
        <w:tc>
          <w:tcPr>
            <w:tcW w:w="240" w:type="dxa"/>
            <w:vAlign w:val="bottom"/>
            <w:shd w:val="clear" w:color="auto" w:fill="CCFFCC"/>
          </w:tcPr>
          <w:p>
            <w:pPr>
              <w:spacing w:after="0"/>
              <w:rPr>
                <w:sz w:val="21"/>
                <w:szCs w:val="21"/>
                <w:color w:val="auto"/>
              </w:rPr>
            </w:pPr>
          </w:p>
        </w:tc>
        <w:tc>
          <w:tcPr>
            <w:tcW w:w="860" w:type="dxa"/>
            <w:vAlign w:val="bottom"/>
            <w:shd w:val="clear" w:color="auto" w:fill="CCFFCC"/>
          </w:tcPr>
          <w:p>
            <w:pPr>
              <w:jc w:val="right"/>
              <w:ind w:right="230"/>
              <w:spacing w:after="0"/>
              <w:rPr>
                <w:sz w:val="20"/>
                <w:szCs w:val="20"/>
                <w:color w:val="auto"/>
              </w:rPr>
            </w:pPr>
            <w:r>
              <w:rPr>
                <w:rFonts w:ascii="Arial" w:cs="Arial" w:eastAsia="Arial" w:hAnsi="Arial"/>
                <w:sz w:val="18"/>
                <w:szCs w:val="18"/>
                <w:color w:val="auto"/>
              </w:rPr>
              <w:t>24</w:t>
            </w:r>
          </w:p>
        </w:tc>
      </w:tr>
      <w:tr>
        <w:trPr>
          <w:trHeight w:val="237"/>
        </w:trPr>
        <w:tc>
          <w:tcPr>
            <w:tcW w:w="6480" w:type="dxa"/>
            <w:vAlign w:val="bottom"/>
            <w:gridSpan w:val="2"/>
          </w:tcPr>
          <w:p>
            <w:pPr>
              <w:ind w:left="180"/>
              <w:spacing w:after="0"/>
              <w:rPr>
                <w:sz w:val="20"/>
                <w:szCs w:val="20"/>
                <w:color w:val="auto"/>
              </w:rPr>
            </w:pPr>
            <w:r>
              <w:rPr>
                <w:rFonts w:ascii="Arial" w:cs="Arial" w:eastAsia="Arial" w:hAnsi="Arial"/>
                <w:sz w:val="18"/>
                <w:szCs w:val="18"/>
                <w:color w:val="auto"/>
              </w:rPr>
              <w:t>4.75% May 14, 2016</w:t>
            </w:r>
          </w:p>
        </w:tc>
        <w:tc>
          <w:tcPr>
            <w:tcW w:w="240" w:type="dxa"/>
            <w:vAlign w:val="bottom"/>
          </w:tcPr>
          <w:p>
            <w:pPr>
              <w:spacing w:after="0"/>
              <w:rPr>
                <w:sz w:val="20"/>
                <w:szCs w:val="20"/>
                <w:color w:val="auto"/>
              </w:rPr>
            </w:pPr>
          </w:p>
        </w:tc>
        <w:tc>
          <w:tcPr>
            <w:tcW w:w="720" w:type="dxa"/>
            <w:vAlign w:val="bottom"/>
          </w:tcPr>
          <w:p>
            <w:pPr>
              <w:jc w:val="right"/>
              <w:ind w:right="90"/>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20"/>
                <w:szCs w:val="20"/>
                <w:color w:val="auto"/>
              </w:rPr>
            </w:pPr>
          </w:p>
        </w:tc>
        <w:tc>
          <w:tcPr>
            <w:tcW w:w="860" w:type="dxa"/>
            <w:vAlign w:val="bottom"/>
          </w:tcPr>
          <w:p>
            <w:pPr>
              <w:jc w:val="right"/>
              <w:ind w:right="230"/>
              <w:spacing w:after="0"/>
              <w:rPr>
                <w:sz w:val="20"/>
                <w:szCs w:val="20"/>
                <w:color w:val="auto"/>
              </w:rPr>
            </w:pPr>
            <w:r>
              <w:rPr>
                <w:rFonts w:ascii="Arial" w:cs="Arial" w:eastAsia="Arial" w:hAnsi="Arial"/>
                <w:sz w:val="18"/>
                <w:szCs w:val="18"/>
                <w:color w:val="auto"/>
              </w:rPr>
              <w:t>8</w:t>
            </w:r>
          </w:p>
        </w:tc>
      </w:tr>
      <w:tr>
        <w:trPr>
          <w:trHeight w:val="249"/>
        </w:trPr>
        <w:tc>
          <w:tcPr>
            <w:tcW w:w="648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5.67% January 18, 2028</w:t>
            </w:r>
          </w:p>
        </w:tc>
        <w:tc>
          <w:tcPr>
            <w:tcW w:w="240" w:type="dxa"/>
            <w:vAlign w:val="bottom"/>
            <w:shd w:val="clear" w:color="auto" w:fill="CCFFCC"/>
          </w:tcPr>
          <w:p>
            <w:pPr>
              <w:spacing w:after="0"/>
              <w:rPr>
                <w:sz w:val="21"/>
                <w:szCs w:val="21"/>
                <w:color w:val="auto"/>
              </w:rPr>
            </w:pPr>
          </w:p>
        </w:tc>
        <w:tc>
          <w:tcPr>
            <w:tcW w:w="72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5</w:t>
            </w:r>
          </w:p>
        </w:tc>
        <w:tc>
          <w:tcPr>
            <w:tcW w:w="240" w:type="dxa"/>
            <w:vAlign w:val="bottom"/>
            <w:shd w:val="clear" w:color="auto" w:fill="CCFFCC"/>
          </w:tcPr>
          <w:p>
            <w:pPr>
              <w:spacing w:after="0"/>
              <w:rPr>
                <w:sz w:val="21"/>
                <w:szCs w:val="21"/>
                <w:color w:val="auto"/>
              </w:rPr>
            </w:pPr>
          </w:p>
        </w:tc>
        <w:tc>
          <w:tcPr>
            <w:tcW w:w="860" w:type="dxa"/>
            <w:vAlign w:val="bottom"/>
            <w:shd w:val="clear" w:color="auto" w:fill="CCFFCC"/>
          </w:tcPr>
          <w:p>
            <w:pPr>
              <w:jc w:val="right"/>
              <w:ind w:right="230"/>
              <w:spacing w:after="0"/>
              <w:rPr>
                <w:sz w:val="20"/>
                <w:szCs w:val="20"/>
                <w:color w:val="auto"/>
              </w:rPr>
            </w:pPr>
            <w:r>
              <w:rPr>
                <w:rFonts w:ascii="Arial" w:cs="Arial" w:eastAsia="Arial" w:hAnsi="Arial"/>
                <w:sz w:val="18"/>
                <w:szCs w:val="18"/>
                <w:color w:val="auto"/>
              </w:rPr>
              <w:t>5</w:t>
            </w:r>
          </w:p>
        </w:tc>
      </w:tr>
      <w:tr>
        <w:trPr>
          <w:trHeight w:val="237"/>
        </w:trPr>
        <w:tc>
          <w:tcPr>
            <w:tcW w:w="6480" w:type="dxa"/>
            <w:vAlign w:val="bottom"/>
            <w:gridSpan w:val="2"/>
          </w:tcPr>
          <w:p>
            <w:pPr>
              <w:ind w:left="180"/>
              <w:spacing w:after="0"/>
              <w:rPr>
                <w:sz w:val="20"/>
                <w:szCs w:val="20"/>
                <w:color w:val="auto"/>
              </w:rPr>
            </w:pPr>
            <w:r>
              <w:rPr>
                <w:rFonts w:ascii="Arial" w:cs="Arial" w:eastAsia="Arial" w:hAnsi="Arial"/>
                <w:sz w:val="18"/>
                <w:szCs w:val="18"/>
                <w:color w:val="auto"/>
              </w:rPr>
              <w:t>4.621% Notes May 17, 2007</w:t>
            </w:r>
          </w:p>
        </w:tc>
        <w:tc>
          <w:tcPr>
            <w:tcW w:w="240" w:type="dxa"/>
            <w:vAlign w:val="bottom"/>
          </w:tcPr>
          <w:p>
            <w:pPr>
              <w:spacing w:after="0"/>
              <w:rPr>
                <w:sz w:val="20"/>
                <w:szCs w:val="20"/>
                <w:color w:val="auto"/>
              </w:rPr>
            </w:pPr>
          </w:p>
        </w:tc>
        <w:tc>
          <w:tcPr>
            <w:tcW w:w="7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860" w:type="dxa"/>
            <w:vAlign w:val="bottom"/>
          </w:tcPr>
          <w:p>
            <w:pPr>
              <w:jc w:val="right"/>
              <w:ind w:right="230"/>
              <w:spacing w:after="0"/>
              <w:rPr>
                <w:sz w:val="20"/>
                <w:szCs w:val="20"/>
                <w:color w:val="auto"/>
              </w:rPr>
            </w:pPr>
            <w:r>
              <w:rPr>
                <w:rFonts w:ascii="Arial" w:cs="Arial" w:eastAsia="Arial" w:hAnsi="Arial"/>
                <w:sz w:val="18"/>
                <w:szCs w:val="18"/>
                <w:color w:val="auto"/>
              </w:rPr>
              <w:t>600</w:t>
            </w:r>
          </w:p>
        </w:tc>
      </w:tr>
      <w:tr>
        <w:trPr>
          <w:trHeight w:val="249"/>
        </w:trPr>
        <w:tc>
          <w:tcPr>
            <w:tcW w:w="648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Notes at variable rates May 21, 2008</w:t>
            </w:r>
          </w:p>
        </w:tc>
        <w:tc>
          <w:tcPr>
            <w:tcW w:w="240" w:type="dxa"/>
            <w:vAlign w:val="bottom"/>
            <w:shd w:val="clear" w:color="auto" w:fill="CCFFCC"/>
          </w:tcPr>
          <w:p>
            <w:pPr>
              <w:spacing w:after="0"/>
              <w:rPr>
                <w:sz w:val="21"/>
                <w:szCs w:val="21"/>
                <w:color w:val="auto"/>
              </w:rPr>
            </w:pPr>
          </w:p>
        </w:tc>
        <w:tc>
          <w:tcPr>
            <w:tcW w:w="72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FFCC"/>
          </w:tcPr>
          <w:p>
            <w:pPr>
              <w:spacing w:after="0"/>
              <w:rPr>
                <w:sz w:val="21"/>
                <w:szCs w:val="21"/>
                <w:color w:val="auto"/>
              </w:rPr>
            </w:pPr>
          </w:p>
        </w:tc>
        <w:tc>
          <w:tcPr>
            <w:tcW w:w="860" w:type="dxa"/>
            <w:vAlign w:val="bottom"/>
            <w:shd w:val="clear" w:color="auto" w:fill="CCFFCC"/>
          </w:tcPr>
          <w:p>
            <w:pPr>
              <w:jc w:val="right"/>
              <w:ind w:right="230"/>
              <w:spacing w:after="0"/>
              <w:rPr>
                <w:sz w:val="20"/>
                <w:szCs w:val="20"/>
                <w:color w:val="auto"/>
              </w:rPr>
            </w:pPr>
            <w:r>
              <w:rPr>
                <w:rFonts w:ascii="Arial" w:cs="Arial" w:eastAsia="Arial" w:hAnsi="Arial"/>
                <w:sz w:val="18"/>
                <w:szCs w:val="18"/>
                <w:color w:val="auto"/>
              </w:rPr>
              <w:t>300</w:t>
            </w:r>
          </w:p>
        </w:tc>
      </w:tr>
      <w:tr>
        <w:trPr>
          <w:trHeight w:val="237"/>
        </w:trPr>
        <w:tc>
          <w:tcPr>
            <w:tcW w:w="6480" w:type="dxa"/>
            <w:vAlign w:val="bottom"/>
            <w:gridSpan w:val="2"/>
          </w:tcPr>
          <w:p>
            <w:pPr>
              <w:ind w:left="180"/>
              <w:spacing w:after="0"/>
              <w:rPr>
                <w:sz w:val="20"/>
                <w:szCs w:val="20"/>
                <w:color w:val="auto"/>
              </w:rPr>
            </w:pPr>
            <w:r>
              <w:rPr>
                <w:rFonts w:ascii="Arial" w:cs="Arial" w:eastAsia="Arial" w:hAnsi="Arial"/>
                <w:sz w:val="18"/>
                <w:szCs w:val="18"/>
                <w:color w:val="auto"/>
              </w:rPr>
              <w:t>6.37% Rate-reduction bonds, payable through 2007</w:t>
            </w:r>
          </w:p>
        </w:tc>
        <w:tc>
          <w:tcPr>
            <w:tcW w:w="240" w:type="dxa"/>
            <w:vAlign w:val="bottom"/>
          </w:tcPr>
          <w:p>
            <w:pPr>
              <w:spacing w:after="0"/>
              <w:rPr>
                <w:sz w:val="20"/>
                <w:szCs w:val="20"/>
                <w:color w:val="auto"/>
              </w:rPr>
            </w:pPr>
          </w:p>
        </w:tc>
        <w:tc>
          <w:tcPr>
            <w:tcW w:w="7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860" w:type="dxa"/>
            <w:vAlign w:val="bottom"/>
          </w:tcPr>
          <w:p>
            <w:pPr>
              <w:jc w:val="right"/>
              <w:ind w:right="230"/>
              <w:spacing w:after="0"/>
              <w:rPr>
                <w:sz w:val="20"/>
                <w:szCs w:val="20"/>
                <w:color w:val="auto"/>
              </w:rPr>
            </w:pPr>
            <w:r>
              <w:rPr>
                <w:rFonts w:ascii="Arial" w:cs="Arial" w:eastAsia="Arial" w:hAnsi="Arial"/>
                <w:sz w:val="18"/>
                <w:szCs w:val="18"/>
                <w:color w:val="auto"/>
              </w:rPr>
              <w:t>66</w:t>
            </w:r>
          </w:p>
        </w:tc>
      </w:tr>
      <w:tr>
        <w:trPr>
          <w:trHeight w:val="249"/>
        </w:trPr>
        <w:tc>
          <w:tcPr>
            <w:tcW w:w="648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OMEC LLC project financing at 5.2925% April 2019**</w:t>
            </w:r>
          </w:p>
        </w:tc>
        <w:tc>
          <w:tcPr>
            <w:tcW w:w="240" w:type="dxa"/>
            <w:vAlign w:val="bottom"/>
            <w:shd w:val="clear" w:color="auto" w:fill="CCFFCC"/>
          </w:tcPr>
          <w:p>
            <w:pPr>
              <w:spacing w:after="0"/>
              <w:rPr>
                <w:sz w:val="21"/>
                <w:szCs w:val="21"/>
                <w:color w:val="auto"/>
              </w:rPr>
            </w:pPr>
          </w:p>
        </w:tc>
        <w:tc>
          <w:tcPr>
            <w:tcW w:w="72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63</w:t>
            </w:r>
          </w:p>
        </w:tc>
        <w:tc>
          <w:tcPr>
            <w:tcW w:w="240" w:type="dxa"/>
            <w:vAlign w:val="bottom"/>
            <w:shd w:val="clear" w:color="auto" w:fill="CCFFCC"/>
          </w:tcPr>
          <w:p>
            <w:pPr>
              <w:spacing w:after="0"/>
              <w:rPr>
                <w:sz w:val="21"/>
                <w:szCs w:val="21"/>
                <w:color w:val="auto"/>
              </w:rPr>
            </w:pPr>
          </w:p>
        </w:tc>
        <w:tc>
          <w:tcPr>
            <w:tcW w:w="860" w:type="dxa"/>
            <w:vAlign w:val="bottom"/>
            <w:shd w:val="clear" w:color="auto" w:fill="CCFFCC"/>
          </w:tcPr>
          <w:p>
            <w:pPr>
              <w:jc w:val="right"/>
              <w:ind w:right="230"/>
              <w:spacing w:after="0"/>
              <w:rPr>
                <w:sz w:val="20"/>
                <w:szCs w:val="20"/>
                <w:color w:val="auto"/>
              </w:rPr>
            </w:pPr>
            <w:r>
              <w:rPr>
                <w:rFonts w:ascii="Arial" w:cs="Arial" w:eastAsia="Arial" w:hAnsi="Arial"/>
                <w:sz w:val="18"/>
                <w:szCs w:val="18"/>
                <w:color w:val="auto"/>
              </w:rPr>
              <w:t>--</w:t>
            </w:r>
          </w:p>
        </w:tc>
      </w:tr>
      <w:tr>
        <w:trPr>
          <w:trHeight w:val="237"/>
        </w:trPr>
        <w:tc>
          <w:tcPr>
            <w:tcW w:w="6480" w:type="dxa"/>
            <w:vAlign w:val="bottom"/>
            <w:gridSpan w:val="2"/>
          </w:tcPr>
          <w:p>
            <w:pPr>
              <w:ind w:left="180"/>
              <w:spacing w:after="0"/>
              <w:rPr>
                <w:sz w:val="20"/>
                <w:szCs w:val="20"/>
                <w:color w:val="auto"/>
              </w:rPr>
            </w:pPr>
            <w:r>
              <w:rPr>
                <w:rFonts w:ascii="Arial" w:cs="Arial" w:eastAsia="Arial" w:hAnsi="Arial"/>
                <w:sz w:val="18"/>
                <w:szCs w:val="18"/>
                <w:color w:val="auto"/>
              </w:rPr>
              <w:t>Other debt</w:t>
            </w:r>
          </w:p>
        </w:tc>
        <w:tc>
          <w:tcPr>
            <w:tcW w:w="240" w:type="dxa"/>
            <w:vAlign w:val="bottom"/>
          </w:tcPr>
          <w:p>
            <w:pPr>
              <w:spacing w:after="0"/>
              <w:rPr>
                <w:sz w:val="20"/>
                <w:szCs w:val="20"/>
                <w:color w:val="auto"/>
              </w:rPr>
            </w:pPr>
          </w:p>
        </w:tc>
        <w:tc>
          <w:tcPr>
            <w:tcW w:w="720" w:type="dxa"/>
            <w:vAlign w:val="bottom"/>
          </w:tcPr>
          <w:p>
            <w:pPr>
              <w:jc w:val="right"/>
              <w:ind w:right="90"/>
              <w:spacing w:after="0"/>
              <w:rPr>
                <w:sz w:val="20"/>
                <w:szCs w:val="20"/>
                <w:color w:val="auto"/>
              </w:rPr>
            </w:pPr>
            <w:r>
              <w:rPr>
                <w:rFonts w:ascii="Arial" w:cs="Arial" w:eastAsia="Arial" w:hAnsi="Arial"/>
                <w:sz w:val="18"/>
                <w:szCs w:val="18"/>
                <w:color w:val="auto"/>
              </w:rPr>
              <w:t>28</w:t>
            </w:r>
          </w:p>
        </w:tc>
        <w:tc>
          <w:tcPr>
            <w:tcW w:w="240" w:type="dxa"/>
            <w:vAlign w:val="bottom"/>
          </w:tcPr>
          <w:p>
            <w:pPr>
              <w:spacing w:after="0"/>
              <w:rPr>
                <w:sz w:val="20"/>
                <w:szCs w:val="20"/>
                <w:color w:val="auto"/>
              </w:rPr>
            </w:pPr>
          </w:p>
        </w:tc>
        <w:tc>
          <w:tcPr>
            <w:tcW w:w="860" w:type="dxa"/>
            <w:vAlign w:val="bottom"/>
          </w:tcPr>
          <w:p>
            <w:pPr>
              <w:jc w:val="right"/>
              <w:ind w:right="230"/>
              <w:spacing w:after="0"/>
              <w:rPr>
                <w:sz w:val="20"/>
                <w:szCs w:val="20"/>
                <w:color w:val="auto"/>
              </w:rPr>
            </w:pPr>
            <w:r>
              <w:rPr>
                <w:rFonts w:ascii="Arial" w:cs="Arial" w:eastAsia="Arial" w:hAnsi="Arial"/>
                <w:sz w:val="18"/>
                <w:szCs w:val="18"/>
                <w:color w:val="auto"/>
              </w:rPr>
              <w:t>21</w:t>
            </w:r>
          </w:p>
        </w:tc>
      </w:tr>
      <w:tr>
        <w:trPr>
          <w:trHeight w:val="249"/>
        </w:trPr>
        <w:tc>
          <w:tcPr>
            <w:tcW w:w="6480" w:type="dxa"/>
            <w:vAlign w:val="bottom"/>
            <w:tcBorders>
              <w:bottom w:val="single" w:sz="8" w:color="CCFFCC"/>
            </w:tcBorders>
            <w:gridSpan w:val="2"/>
            <w:shd w:val="clear" w:color="auto" w:fill="CCFFCC"/>
          </w:tcPr>
          <w:p>
            <w:pPr>
              <w:ind w:left="180"/>
              <w:spacing w:after="0"/>
              <w:rPr>
                <w:sz w:val="20"/>
                <w:szCs w:val="20"/>
                <w:color w:val="auto"/>
              </w:rPr>
            </w:pPr>
            <w:r>
              <w:rPr>
                <w:rFonts w:ascii="Arial" w:cs="Arial" w:eastAsia="Arial" w:hAnsi="Arial"/>
                <w:sz w:val="18"/>
                <w:szCs w:val="18"/>
                <w:color w:val="auto"/>
              </w:rPr>
              <w:t>Market value adjustments for interest-rate swaps, net (expiring 2010-2011)</w:t>
            </w:r>
          </w:p>
        </w:tc>
        <w:tc>
          <w:tcPr>
            <w:tcW w:w="240" w:type="dxa"/>
            <w:vAlign w:val="bottom"/>
            <w:tcBorders>
              <w:bottom w:val="single" w:sz="8" w:color="auto"/>
            </w:tcBorders>
            <w:shd w:val="clear" w:color="auto" w:fill="CCFFCC"/>
          </w:tcPr>
          <w:p>
            <w:pPr>
              <w:spacing w:after="0"/>
              <w:rPr>
                <w:sz w:val="21"/>
                <w:szCs w:val="21"/>
                <w:color w:val="auto"/>
              </w:rPr>
            </w:pPr>
          </w:p>
        </w:tc>
        <w:tc>
          <w:tcPr>
            <w:tcW w:w="720" w:type="dxa"/>
            <w:vAlign w:val="bottom"/>
            <w:tcBorders>
              <w:bottom w:val="single" w:sz="8" w:color="auto"/>
            </w:tcBorders>
            <w:shd w:val="clear" w:color="auto" w:fill="CCFFCC"/>
          </w:tcPr>
          <w:p>
            <w:pPr>
              <w:jc w:val="right"/>
              <w:ind w:right="90"/>
              <w:spacing w:after="0"/>
              <w:rPr>
                <w:sz w:val="20"/>
                <w:szCs w:val="20"/>
                <w:color w:val="auto"/>
              </w:rPr>
            </w:pPr>
            <w:r>
              <w:rPr>
                <w:rFonts w:ascii="Arial" w:cs="Arial" w:eastAsia="Arial" w:hAnsi="Arial"/>
                <w:sz w:val="18"/>
                <w:szCs w:val="18"/>
                <w:color w:val="auto"/>
              </w:rPr>
              <w:t>11</w:t>
            </w:r>
          </w:p>
        </w:tc>
        <w:tc>
          <w:tcPr>
            <w:tcW w:w="240" w:type="dxa"/>
            <w:vAlign w:val="bottom"/>
            <w:tcBorders>
              <w:bottom w:val="single" w:sz="8" w:color="auto"/>
            </w:tcBorders>
            <w:shd w:val="clear" w:color="auto" w:fill="CCFFCC"/>
          </w:tcPr>
          <w:p>
            <w:pPr>
              <w:spacing w:after="0"/>
              <w:rPr>
                <w:sz w:val="21"/>
                <w:szCs w:val="21"/>
                <w:color w:val="auto"/>
              </w:rPr>
            </w:pPr>
          </w:p>
        </w:tc>
        <w:tc>
          <w:tcPr>
            <w:tcW w:w="860" w:type="dxa"/>
            <w:vAlign w:val="bottom"/>
            <w:tcBorders>
              <w:bottom w:val="single" w:sz="8" w:color="auto"/>
            </w:tcBorders>
            <w:shd w:val="clear" w:color="auto" w:fill="CCFFCC"/>
          </w:tcPr>
          <w:p>
            <w:pPr>
              <w:jc w:val="right"/>
              <w:ind w:right="130"/>
              <w:spacing w:after="0"/>
              <w:rPr>
                <w:sz w:val="20"/>
                <w:szCs w:val="20"/>
                <w:color w:val="auto"/>
              </w:rPr>
            </w:pPr>
            <w:r>
              <w:rPr>
                <w:rFonts w:ascii="Arial" w:cs="Arial" w:eastAsia="Arial" w:hAnsi="Arial"/>
                <w:sz w:val="18"/>
                <w:szCs w:val="18"/>
                <w:color w:val="auto"/>
              </w:rPr>
              <w:t>(4 )</w:t>
            </w:r>
          </w:p>
        </w:tc>
      </w:tr>
      <w:tr>
        <w:trPr>
          <w:trHeight w:val="230"/>
        </w:trPr>
        <w:tc>
          <w:tcPr>
            <w:tcW w:w="6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ind w:right="90"/>
              <w:spacing w:after="0"/>
              <w:rPr>
                <w:sz w:val="20"/>
                <w:szCs w:val="20"/>
                <w:color w:val="auto"/>
              </w:rPr>
            </w:pPr>
            <w:r>
              <w:rPr>
                <w:rFonts w:ascii="Arial" w:cs="Arial" w:eastAsia="Arial" w:hAnsi="Arial"/>
                <w:sz w:val="18"/>
                <w:szCs w:val="18"/>
                <w:color w:val="auto"/>
              </w:rPr>
              <w:t>4,566</w:t>
            </w:r>
          </w:p>
        </w:tc>
        <w:tc>
          <w:tcPr>
            <w:tcW w:w="240" w:type="dxa"/>
            <w:vAlign w:val="bottom"/>
          </w:tcPr>
          <w:p>
            <w:pPr>
              <w:spacing w:after="0"/>
              <w:rPr>
                <w:sz w:val="20"/>
                <w:szCs w:val="20"/>
                <w:color w:val="auto"/>
              </w:rPr>
            </w:pPr>
          </w:p>
        </w:tc>
        <w:tc>
          <w:tcPr>
            <w:tcW w:w="860" w:type="dxa"/>
            <w:vAlign w:val="bottom"/>
          </w:tcPr>
          <w:p>
            <w:pPr>
              <w:jc w:val="right"/>
              <w:ind w:right="230"/>
              <w:spacing w:after="0"/>
              <w:rPr>
                <w:sz w:val="20"/>
                <w:szCs w:val="20"/>
                <w:color w:val="auto"/>
              </w:rPr>
            </w:pPr>
            <w:r>
              <w:rPr>
                <w:rFonts w:ascii="Arial" w:cs="Arial" w:eastAsia="Arial" w:hAnsi="Arial"/>
                <w:sz w:val="18"/>
                <w:szCs w:val="18"/>
                <w:color w:val="auto"/>
              </w:rPr>
              <w:t>5,212</w:t>
            </w:r>
          </w:p>
        </w:tc>
      </w:tr>
      <w:tr>
        <w:trPr>
          <w:trHeight w:val="249"/>
        </w:trPr>
        <w:tc>
          <w:tcPr>
            <w:tcW w:w="6480" w:type="dxa"/>
            <w:vAlign w:val="bottom"/>
            <w:gridSpan w:val="2"/>
            <w:shd w:val="clear" w:color="auto" w:fill="CCFFCC"/>
          </w:tcPr>
          <w:p>
            <w:pPr>
              <w:ind w:left="20"/>
              <w:spacing w:after="0"/>
              <w:rPr>
                <w:sz w:val="20"/>
                <w:szCs w:val="20"/>
                <w:color w:val="auto"/>
              </w:rPr>
            </w:pPr>
            <w:r>
              <w:rPr>
                <w:rFonts w:ascii="Arial" w:cs="Arial" w:eastAsia="Arial" w:hAnsi="Arial"/>
                <w:sz w:val="18"/>
                <w:szCs w:val="18"/>
                <w:color w:val="auto"/>
              </w:rPr>
              <w:t>Current portion of long-term debt</w:t>
            </w:r>
          </w:p>
        </w:tc>
        <w:tc>
          <w:tcPr>
            <w:tcW w:w="240" w:type="dxa"/>
            <w:vAlign w:val="bottom"/>
            <w:shd w:val="clear" w:color="auto" w:fill="CCFFCC"/>
          </w:tcPr>
          <w:p>
            <w:pPr>
              <w:spacing w:after="0"/>
              <w:rPr>
                <w:sz w:val="21"/>
                <w:szCs w:val="21"/>
                <w:color w:val="auto"/>
              </w:rPr>
            </w:pP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(7 )</w:t>
            </w:r>
          </w:p>
        </w:tc>
        <w:tc>
          <w:tcPr>
            <w:tcW w:w="240" w:type="dxa"/>
            <w:vAlign w:val="bottom"/>
            <w:shd w:val="clear" w:color="auto" w:fill="CCFFCC"/>
          </w:tcPr>
          <w:p>
            <w:pPr>
              <w:spacing w:after="0"/>
              <w:rPr>
                <w:sz w:val="21"/>
                <w:szCs w:val="21"/>
                <w:color w:val="auto"/>
              </w:rPr>
            </w:pPr>
          </w:p>
        </w:tc>
        <w:tc>
          <w:tcPr>
            <w:tcW w:w="86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rPr>
              <w:t>(681 )</w:t>
            </w:r>
          </w:p>
        </w:tc>
      </w:tr>
      <w:tr>
        <w:trPr>
          <w:trHeight w:val="243"/>
        </w:trPr>
        <w:tc>
          <w:tcPr>
            <w:tcW w:w="6480" w:type="dxa"/>
            <w:vAlign w:val="bottom"/>
            <w:gridSpan w:val="2"/>
          </w:tcPr>
          <w:p>
            <w:pPr>
              <w:ind w:left="20"/>
              <w:spacing w:after="0"/>
              <w:rPr>
                <w:sz w:val="20"/>
                <w:szCs w:val="20"/>
                <w:color w:val="auto"/>
              </w:rPr>
            </w:pPr>
            <w:r>
              <w:rPr>
                <w:rFonts w:ascii="Arial" w:cs="Arial" w:eastAsia="Arial" w:hAnsi="Arial"/>
                <w:sz w:val="18"/>
                <w:szCs w:val="18"/>
                <w:color w:val="auto"/>
              </w:rPr>
              <w:t>Unamortized discount on long-term debt</w:t>
            </w:r>
          </w:p>
        </w:tc>
        <w:tc>
          <w:tcPr>
            <w:tcW w:w="2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(6 )</w:t>
            </w: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(6 )</w:t>
            </w:r>
          </w:p>
        </w:tc>
      </w:tr>
      <w:tr>
        <w:trPr>
          <w:trHeight w:val="257"/>
        </w:trPr>
        <w:tc>
          <w:tcPr>
            <w:tcW w:w="6480" w:type="dxa"/>
            <w:vAlign w:val="bottom"/>
            <w:tcBorders>
              <w:bottom w:val="single" w:sz="8" w:color="auto"/>
            </w:tcBorders>
            <w:gridSpan w:val="2"/>
            <w:shd w:val="clear" w:color="auto" w:fill="CCFFCC"/>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FFCC"/>
          </w:tcPr>
          <w:p>
            <w:pPr>
              <w:jc w:val="right"/>
              <w:ind w:right="90"/>
              <w:spacing w:after="0"/>
              <w:rPr>
                <w:sz w:val="20"/>
                <w:szCs w:val="20"/>
                <w:color w:val="auto"/>
              </w:rPr>
            </w:pPr>
            <w:r>
              <w:rPr>
                <w:rFonts w:ascii="Arial" w:cs="Arial" w:eastAsia="Arial" w:hAnsi="Arial"/>
                <w:sz w:val="18"/>
                <w:szCs w:val="18"/>
                <w:color w:val="auto"/>
              </w:rPr>
              <w:t>4,553</w:t>
            </w:r>
          </w:p>
        </w:tc>
        <w:tc>
          <w:tcPr>
            <w:tcW w:w="240" w:type="dxa"/>
            <w:vAlign w:val="bottom"/>
            <w:tcBorders>
              <w:bottom w:val="single" w:sz="8" w:color="auto"/>
            </w:tcBorders>
            <w:shd w:val="clear" w:color="auto" w:fill="CCFFCC"/>
          </w:tcPr>
          <w:p>
            <w:pPr>
              <w:jc w:val="center"/>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FFCC"/>
          </w:tcPr>
          <w:p>
            <w:pPr>
              <w:jc w:val="right"/>
              <w:ind w:right="230"/>
              <w:spacing w:after="0"/>
              <w:rPr>
                <w:sz w:val="20"/>
                <w:szCs w:val="20"/>
                <w:color w:val="auto"/>
              </w:rPr>
            </w:pPr>
            <w:r>
              <w:rPr>
                <w:rFonts w:ascii="Arial" w:cs="Arial" w:eastAsia="Arial" w:hAnsi="Arial"/>
                <w:sz w:val="18"/>
                <w:szCs w:val="18"/>
                <w:color w:val="auto"/>
              </w:rPr>
              <w:t>4,525</w:t>
            </w:r>
          </w:p>
        </w:tc>
      </w:tr>
      <w:tr>
        <w:trPr>
          <w:trHeight w:val="230"/>
        </w:trPr>
        <w:tc>
          <w:tcPr>
            <w:tcW w:w="6480" w:type="dxa"/>
            <w:vAlign w:val="bottom"/>
            <w:gridSpan w:val="2"/>
          </w:tcPr>
          <w:p>
            <w:pPr>
              <w:ind w:left="120"/>
              <w:spacing w:after="0"/>
              <w:rPr>
                <w:sz w:val="20"/>
                <w:szCs w:val="20"/>
                <w:color w:val="auto"/>
              </w:rPr>
            </w:pPr>
            <w:r>
              <w:rPr>
                <w:rFonts w:ascii="Arial" w:cs="Arial" w:eastAsia="Arial" w:hAnsi="Arial"/>
                <w:sz w:val="18"/>
                <w:szCs w:val="18"/>
                <w:color w:val="auto"/>
              </w:rPr>
              <w:t>*  After floating-to-fixed rate swaps expiring in 2009.</w:t>
            </w: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42"/>
        </w:trPr>
        <w:tc>
          <w:tcPr>
            <w:tcW w:w="6480" w:type="dxa"/>
            <w:vAlign w:val="bottom"/>
            <w:gridSpan w:val="2"/>
          </w:tcPr>
          <w:p>
            <w:pPr>
              <w:ind w:left="40"/>
              <w:spacing w:after="0"/>
              <w:rPr>
                <w:sz w:val="20"/>
                <w:szCs w:val="20"/>
                <w:color w:val="auto"/>
              </w:rPr>
            </w:pPr>
            <w:r>
              <w:rPr>
                <w:rFonts w:ascii="Arial" w:cs="Arial" w:eastAsia="Arial" w:hAnsi="Arial"/>
                <w:sz w:val="18"/>
                <w:szCs w:val="18"/>
                <w:color w:val="auto"/>
              </w:rPr>
              <w:t>**  After floating-to-fixed rate swaps expiring in 2019.</w:t>
            </w: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r>
    </w:tbl>
    <w:p>
      <w:pPr>
        <w:spacing w:after="0" w:line="200" w:lineRule="exact"/>
        <w:rPr>
          <w:sz w:val="20"/>
          <w:szCs w:val="20"/>
          <w:color w:val="auto"/>
        </w:rPr>
      </w:pPr>
    </w:p>
    <w:p>
      <w:pPr>
        <w:sectPr>
          <w:pgSz w:w="11900" w:h="16838" w:orient="portrait"/>
          <w:cols w:equalWidth="0" w:num="1">
            <w:col w:w="10219"/>
          </w:cols>
          <w:pgMar w:left="240" w:top="118" w:right="1440" w:bottom="1440" w:gutter="0" w:footer="0" w:header="0"/>
        </w:sectPr>
      </w:pP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76</w:t>
      </w:r>
    </w:p>
    <w:p>
      <w:pPr>
        <w:sectPr>
          <w:pgSz w:w="11900" w:h="16838" w:orient="portrait"/>
          <w:cols w:equalWidth="0" w:num="1">
            <w:col w:w="10219"/>
          </w:cols>
          <w:pgMar w:left="240" w:top="118" w:right="1440" w:bottom="1440" w:gutter="0" w:footer="0" w:header="0"/>
          <w:type w:val="continuous"/>
        </w:sectPr>
      </w:pPr>
    </w:p>
    <w:bookmarkStart w:id="144" w:name="page145"/>
    <w:bookmarkEnd w:id="144"/>
    <w:p>
      <w:pPr>
        <w:spacing w:after="0"/>
        <w:rPr>
          <w:sz w:val="20"/>
          <w:szCs w:val="20"/>
          <w:color w:val="auto"/>
        </w:rPr>
      </w:pPr>
      <w:r>
        <w:rPr>
          <w:rFonts w:ascii="Arial" w:cs="Arial" w:eastAsia="Arial" w:hAnsi="Arial"/>
          <w:sz w:val="20"/>
          <w:szCs w:val="20"/>
          <w:color w:val="auto"/>
        </w:rPr>
        <w:t>Excluding market value adjustments for interest-rate swaps, maturities of long-term debt are:</w:t>
      </w:r>
    </w:p>
    <w:p>
      <w:pPr>
        <w:spacing w:after="0" w:line="286"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(Dollars in millions)</w:t>
      </w:r>
    </w:p>
    <w:p>
      <w:pPr>
        <w:spacing w:after="0" w:line="23" w:lineRule="exact"/>
        <w:rPr>
          <w:sz w:val="20"/>
          <w:szCs w:val="20"/>
          <w:color w:val="auto"/>
        </w:rPr>
      </w:pPr>
    </w:p>
    <w:tbl>
      <w:tblPr>
        <w:tblLayout w:type="fixed"/>
        <w:tblInd w:w="1760" w:type="dxa"/>
        <w:tblCellMar>
          <w:top w:w="0" w:type="dxa"/>
          <w:left w:w="0" w:type="dxa"/>
          <w:bottom w:w="0" w:type="dxa"/>
          <w:right w:w="0" w:type="dxa"/>
        </w:tblCellMar>
      </w:tblPr>
      <w:tr>
        <w:trPr>
          <w:trHeight w:val="237"/>
        </w:trPr>
        <w:tc>
          <w:tcPr>
            <w:tcW w:w="71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2008</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w:t>
            </w:r>
          </w:p>
        </w:tc>
      </w:tr>
      <w:tr>
        <w:trPr>
          <w:trHeight w:val="242"/>
        </w:trPr>
        <w:tc>
          <w:tcPr>
            <w:tcW w:w="7160" w:type="dxa"/>
            <w:vAlign w:val="bottom"/>
          </w:tcPr>
          <w:p>
            <w:pPr>
              <w:ind w:left="20"/>
              <w:spacing w:after="0"/>
              <w:rPr>
                <w:sz w:val="20"/>
                <w:szCs w:val="20"/>
                <w:color w:val="auto"/>
              </w:rPr>
            </w:pPr>
            <w:r>
              <w:rPr>
                <w:rFonts w:ascii="Arial" w:cs="Arial" w:eastAsia="Arial" w:hAnsi="Arial"/>
                <w:sz w:val="18"/>
                <w:szCs w:val="18"/>
                <w:color w:val="auto"/>
              </w:rPr>
              <w:t>2009</w:t>
            </w:r>
          </w:p>
        </w:tc>
        <w:tc>
          <w:tcPr>
            <w:tcW w:w="2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423</w:t>
            </w:r>
          </w:p>
        </w:tc>
      </w:tr>
      <w:tr>
        <w:trPr>
          <w:trHeight w:val="243"/>
        </w:trPr>
        <w:tc>
          <w:tcPr>
            <w:tcW w:w="7160" w:type="dxa"/>
            <w:vAlign w:val="bottom"/>
          </w:tcPr>
          <w:p>
            <w:pPr>
              <w:ind w:left="20"/>
              <w:spacing w:after="0"/>
              <w:rPr>
                <w:sz w:val="20"/>
                <w:szCs w:val="20"/>
                <w:color w:val="auto"/>
              </w:rPr>
            </w:pPr>
            <w:r>
              <w:rPr>
                <w:rFonts w:ascii="Arial" w:cs="Arial" w:eastAsia="Arial" w:hAnsi="Arial"/>
                <w:sz w:val="18"/>
                <w:szCs w:val="18"/>
                <w:color w:val="auto"/>
              </w:rPr>
              <w:t>2010</w:t>
            </w:r>
          </w:p>
        </w:tc>
        <w:tc>
          <w:tcPr>
            <w:tcW w:w="2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513</w:t>
            </w:r>
          </w:p>
        </w:tc>
      </w:tr>
      <w:tr>
        <w:trPr>
          <w:trHeight w:val="243"/>
        </w:trPr>
        <w:tc>
          <w:tcPr>
            <w:tcW w:w="7160" w:type="dxa"/>
            <w:vAlign w:val="bottom"/>
          </w:tcPr>
          <w:p>
            <w:pPr>
              <w:ind w:left="20"/>
              <w:spacing w:after="0"/>
              <w:rPr>
                <w:sz w:val="20"/>
                <w:szCs w:val="20"/>
                <w:color w:val="auto"/>
              </w:rPr>
            </w:pPr>
            <w:r>
              <w:rPr>
                <w:rFonts w:ascii="Arial" w:cs="Arial" w:eastAsia="Arial" w:hAnsi="Arial"/>
                <w:sz w:val="18"/>
                <w:szCs w:val="18"/>
                <w:color w:val="auto"/>
              </w:rPr>
              <w:t>2011</w:t>
            </w:r>
          </w:p>
        </w:tc>
        <w:tc>
          <w:tcPr>
            <w:tcW w:w="2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270</w:t>
            </w:r>
          </w:p>
        </w:tc>
      </w:tr>
      <w:tr>
        <w:trPr>
          <w:trHeight w:val="243"/>
        </w:trPr>
        <w:tc>
          <w:tcPr>
            <w:tcW w:w="7160" w:type="dxa"/>
            <w:vAlign w:val="bottom"/>
          </w:tcPr>
          <w:p>
            <w:pPr>
              <w:ind w:left="20"/>
              <w:spacing w:after="0"/>
              <w:rPr>
                <w:sz w:val="20"/>
                <w:szCs w:val="20"/>
                <w:color w:val="auto"/>
              </w:rPr>
            </w:pPr>
            <w:r>
              <w:rPr>
                <w:rFonts w:ascii="Arial" w:cs="Arial" w:eastAsia="Arial" w:hAnsi="Arial"/>
                <w:sz w:val="18"/>
                <w:szCs w:val="18"/>
                <w:color w:val="auto"/>
              </w:rPr>
              <w:t>2012</w:t>
            </w:r>
          </w:p>
        </w:tc>
        <w:tc>
          <w:tcPr>
            <w:tcW w:w="2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258</w:t>
            </w:r>
          </w:p>
        </w:tc>
      </w:tr>
      <w:tr>
        <w:trPr>
          <w:trHeight w:val="250"/>
        </w:trPr>
        <w:tc>
          <w:tcPr>
            <w:tcW w:w="716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2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3,084</w:t>
            </w:r>
          </w:p>
        </w:tc>
      </w:tr>
      <w:tr>
        <w:trPr>
          <w:trHeight w:val="264"/>
        </w:trPr>
        <w:tc>
          <w:tcPr>
            <w:tcW w:w="7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4,555</w:t>
            </w:r>
          </w:p>
        </w:tc>
      </w:tr>
    </w:tbl>
    <w:p>
      <w:pPr>
        <w:spacing w:after="0" w:line="2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Callable Long-Term Debt</w:t>
      </w:r>
    </w:p>
    <w:p>
      <w:pPr>
        <w:spacing w:after="0" w:line="249" w:lineRule="exact"/>
        <w:rPr>
          <w:sz w:val="20"/>
          <w:szCs w:val="20"/>
          <w:color w:val="auto"/>
        </w:rPr>
      </w:pPr>
    </w:p>
    <w:p>
      <w:pPr>
        <w:ind w:right="420"/>
        <w:spacing w:after="0" w:line="260" w:lineRule="auto"/>
        <w:rPr>
          <w:sz w:val="20"/>
          <w:szCs w:val="20"/>
          <w:color w:val="auto"/>
        </w:rPr>
      </w:pPr>
      <w:r>
        <w:rPr>
          <w:rFonts w:ascii="Arial" w:cs="Arial" w:eastAsia="Arial" w:hAnsi="Arial"/>
          <w:sz w:val="20"/>
          <w:szCs w:val="20"/>
          <w:color w:val="auto"/>
        </w:rPr>
        <w:t>At the company's option, certain debt is callable subject to premiums at various dates: $674 million in 2008, $50 million in 2010 and $282 million after 2012. In addition, $3.2 billion of bonds are callable subject to make-whole provisions.</w:t>
      </w:r>
    </w:p>
    <w:p>
      <w:pPr>
        <w:spacing w:after="0" w:line="204"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In addition, the OMEC LLC project financing loan, discussed in Note 1, with $63 million of borrowings at December 31, 2007, may be prepaid at the borrower’s option.</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First Mortgage Bonds</w:t>
      </w:r>
    </w:p>
    <w:p>
      <w:pPr>
        <w:spacing w:after="0" w:line="249" w:lineRule="exact"/>
        <w:rPr>
          <w:sz w:val="20"/>
          <w:szCs w:val="20"/>
          <w:color w:val="auto"/>
        </w:rPr>
      </w:pPr>
    </w:p>
    <w:p>
      <w:pPr>
        <w:ind w:right="20"/>
        <w:spacing w:after="0" w:line="260" w:lineRule="auto"/>
        <w:rPr>
          <w:sz w:val="20"/>
          <w:szCs w:val="20"/>
          <w:color w:val="auto"/>
        </w:rPr>
      </w:pPr>
      <w:r>
        <w:rPr>
          <w:rFonts w:ascii="Arial" w:cs="Arial" w:eastAsia="Arial" w:hAnsi="Arial"/>
          <w:sz w:val="19"/>
          <w:szCs w:val="19"/>
          <w:color w:val="auto"/>
        </w:rPr>
        <w:t>First mortgage bonds are issued by the Sempra Utilities and secured by a lien on utility plant. The Sempra Utilities may issue additional first mortgage bonds upon compliance with the provisions of their bond indentures, which require, among other things, the satisfaction of pro forma earnings-coverage tests on first mortgage bond interest and the availability of sufficient mortgaged property to support the additional bonds, after giving effect to prior bond redemptions. The most restrictive of these tests (the property test) would permit the issuance, subject to CPUC authorization, of an additional $3.1 billion of first mortgage bonds at December 31, 2007.</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auto"/>
        </w:rPr>
        <w:t>In September 2007, SDG&amp;E sold $250 million of 6.125-percent first mortgage bonds, maturing in 2037.</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Equity Units</w:t>
      </w:r>
    </w:p>
    <w:p>
      <w:pPr>
        <w:spacing w:after="0" w:line="249" w:lineRule="exact"/>
        <w:rPr>
          <w:sz w:val="20"/>
          <w:szCs w:val="20"/>
          <w:color w:val="auto"/>
        </w:rPr>
      </w:pPr>
    </w:p>
    <w:p>
      <w:pPr>
        <w:ind w:right="20"/>
        <w:spacing w:after="0" w:line="250" w:lineRule="auto"/>
        <w:rPr>
          <w:sz w:val="20"/>
          <w:szCs w:val="20"/>
          <w:color w:val="auto"/>
        </w:rPr>
      </w:pPr>
      <w:r>
        <w:rPr>
          <w:rFonts w:ascii="Arial" w:cs="Arial" w:eastAsia="Arial" w:hAnsi="Arial"/>
          <w:sz w:val="20"/>
          <w:szCs w:val="20"/>
          <w:color w:val="auto"/>
        </w:rPr>
        <w:t>In 2002, the company issued $600 million of Equity Units. The units included $600 million of the company's 5.60-percent senior notes due May 17, 2007. In February 2005, the company remarketed the senior notes for their remaining term at a rate of 4.621 percent. In May 2007, the company redeemed the $600 million of notes then currently due.</w:t>
      </w:r>
    </w:p>
    <w:p>
      <w:pPr>
        <w:spacing w:after="0" w:line="213" w:lineRule="exact"/>
        <w:rPr>
          <w:sz w:val="20"/>
          <w:szCs w:val="20"/>
          <w:color w:val="auto"/>
        </w:rPr>
      </w:pPr>
    </w:p>
    <w:p>
      <w:pPr>
        <w:ind w:right="460"/>
        <w:spacing w:after="0" w:line="260" w:lineRule="auto"/>
        <w:rPr>
          <w:sz w:val="20"/>
          <w:szCs w:val="20"/>
          <w:color w:val="auto"/>
        </w:rPr>
      </w:pPr>
      <w:r>
        <w:rPr>
          <w:rFonts w:ascii="Arial" w:cs="Arial" w:eastAsia="Arial" w:hAnsi="Arial"/>
          <w:sz w:val="20"/>
          <w:szCs w:val="20"/>
          <w:color w:val="auto"/>
        </w:rPr>
        <w:t>In March and May 2005, 19.7 million shares of common stock were issued in connection with the settlement of the related common stock purchase contract as discussed in Note 13.</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Unsecured Long-Term Debt</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Various long-term obligations totaling $1.7 billion at December 31, 2007 are unsecured.</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In August 2007, the company redeemed $300 million of variable-rate notes due in May 2008.</w:t>
      </w:r>
    </w:p>
    <w:p>
      <w:pPr>
        <w:spacing w:after="0" w:line="243" w:lineRule="exact"/>
        <w:rPr>
          <w:sz w:val="20"/>
          <w:szCs w:val="20"/>
          <w:color w:val="auto"/>
        </w:rPr>
      </w:pPr>
    </w:p>
    <w:p>
      <w:pPr>
        <w:ind w:right="40"/>
        <w:spacing w:after="0" w:line="260" w:lineRule="auto"/>
        <w:rPr>
          <w:sz w:val="20"/>
          <w:szCs w:val="20"/>
          <w:color w:val="auto"/>
        </w:rPr>
      </w:pPr>
      <w:r>
        <w:rPr>
          <w:rFonts w:ascii="Arial" w:cs="Arial" w:eastAsia="Arial" w:hAnsi="Arial"/>
          <w:sz w:val="20"/>
          <w:szCs w:val="20"/>
          <w:color w:val="auto"/>
        </w:rPr>
        <w:t>In 2006, Sempra Pipelines &amp; Storage, in order to reduce its property tax, incurred $128 million of long-term debt related to the development of its Liberty Gas Storage (Liberty) facility in Calcasieu Parish,</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color w:val="auto"/>
        </w:rPr>
        <w:t>77</w:t>
      </w:r>
    </w:p>
    <w:p>
      <w:pPr>
        <w:sectPr>
          <w:pgSz w:w="11900" w:h="16838" w:orient="portrait"/>
          <w:cols w:equalWidth="0" w:num="1">
            <w:col w:w="11380"/>
          </w:cols>
          <w:pgMar w:left="240" w:top="1122" w:right="279" w:bottom="1440" w:gutter="0" w:footer="0" w:header="0"/>
        </w:sectPr>
      </w:pPr>
    </w:p>
    <w:bookmarkStart w:id="145" w:name="page146"/>
    <w:bookmarkEnd w:id="145"/>
    <w:p>
      <w:pPr>
        <w:ind w:right="240"/>
        <w:spacing w:after="0" w:line="250" w:lineRule="auto"/>
        <w:rPr>
          <w:sz w:val="20"/>
          <w:szCs w:val="20"/>
          <w:color w:val="auto"/>
        </w:rPr>
      </w:pPr>
      <w:r>
        <w:rPr>
          <w:rFonts w:ascii="Arial" w:cs="Arial" w:eastAsia="Arial" w:hAnsi="Arial"/>
          <w:sz w:val="20"/>
          <w:szCs w:val="20"/>
          <w:color w:val="auto"/>
        </w:rPr>
        <w:t>Louisiana. The debt is payable to the Calcasieu Parish Industrial Development Board. Related to the debt, the company recorded bonds receivable from the Industrial Development Board for the same amount. Both the financing obligation and the bonds receivable have interest rates of 6.3 percent and are due on December 31, 2021.</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Rate-Reduction Bonds</w:t>
      </w:r>
    </w:p>
    <w:p>
      <w:pPr>
        <w:spacing w:after="0" w:line="249" w:lineRule="exact"/>
        <w:rPr>
          <w:sz w:val="20"/>
          <w:szCs w:val="20"/>
          <w:color w:val="auto"/>
        </w:rPr>
      </w:pPr>
    </w:p>
    <w:p>
      <w:pPr>
        <w:ind w:right="400"/>
        <w:spacing w:after="0" w:line="260" w:lineRule="auto"/>
        <w:rPr>
          <w:sz w:val="20"/>
          <w:szCs w:val="20"/>
          <w:color w:val="auto"/>
        </w:rPr>
      </w:pPr>
      <w:r>
        <w:rPr>
          <w:rFonts w:ascii="Arial" w:cs="Arial" w:eastAsia="Arial" w:hAnsi="Arial"/>
          <w:sz w:val="20"/>
          <w:szCs w:val="20"/>
          <w:color w:val="auto"/>
        </w:rPr>
        <w:t>In 2007, SDG&amp;E redeemed the $66 million remaining outstanding balance of its rate-reduction bonds, including $17 million in September 2007 in advance of the scheduled maturity of December 26, 2007.</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Debt of Employee Stock Ownership Plan (ESOP) and Trust (Trust)</w:t>
      </w:r>
    </w:p>
    <w:p>
      <w:pPr>
        <w:spacing w:after="0" w:line="249" w:lineRule="exact"/>
        <w:rPr>
          <w:sz w:val="20"/>
          <w:szCs w:val="20"/>
          <w:color w:val="auto"/>
        </w:rPr>
      </w:pPr>
    </w:p>
    <w:p>
      <w:pPr>
        <w:spacing w:after="0" w:line="258" w:lineRule="auto"/>
        <w:rPr>
          <w:sz w:val="20"/>
          <w:szCs w:val="20"/>
          <w:color w:val="auto"/>
        </w:rPr>
      </w:pPr>
      <w:r>
        <w:rPr>
          <w:rFonts w:ascii="Arial" w:cs="Arial" w:eastAsia="Arial" w:hAnsi="Arial"/>
          <w:sz w:val="19"/>
          <w:szCs w:val="19"/>
          <w:color w:val="auto"/>
        </w:rPr>
        <w:t>The Trust covers substantially all of the employees of the parent organization, SDG&amp;E, SoCalGas and most of Sempra Global's subsidiaries. The Trust is used to fund part of the retirement savings plan described in Note 9. The notes are payable by the Trust and mature in 2014. In July 2007, $50 million of these notes was repriced at an interest rate of 5.781 percent for a three-year term ending July 1, 2010. The remaining $33 million of the notes is repriced weekly and subject to repurchase by the company at the issuer’s option. ESOP debt was paid down by $32 million during 2007, 2006 and 2005 when 656,777 shares of company common stock were released from the Trust in order to fund the employer contribution to the company savings plan. Interest on the ESOP debt amounted to $4 million in each of 2007, 2006 and 2005. Dividends used for debt service amounted to $2 million in each of 2007, 2006 and 2005.</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Interest-Rate Swaps</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The company's fair value interest-rate swaps and interest-rate swaps to hedge cash flows are discussed in Note 11.</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7. FACILITIES UNDER JOINT OWNERSHIP</w:t>
      </w:r>
    </w:p>
    <w:p>
      <w:pPr>
        <w:spacing w:after="0" w:line="249" w:lineRule="exact"/>
        <w:rPr>
          <w:sz w:val="20"/>
          <w:szCs w:val="20"/>
          <w:color w:val="auto"/>
        </w:rPr>
      </w:pPr>
    </w:p>
    <w:p>
      <w:pPr>
        <w:ind w:right="340"/>
        <w:spacing w:after="0" w:line="260" w:lineRule="auto"/>
        <w:rPr>
          <w:sz w:val="20"/>
          <w:szCs w:val="20"/>
          <w:color w:val="auto"/>
        </w:rPr>
      </w:pPr>
      <w:r>
        <w:rPr>
          <w:rFonts w:ascii="Arial" w:cs="Arial" w:eastAsia="Arial" w:hAnsi="Arial"/>
          <w:sz w:val="20"/>
          <w:szCs w:val="20"/>
          <w:color w:val="auto"/>
        </w:rPr>
        <w:t>San Onofre Nuclear Generating Station (SONGS) and the Southwest Powerlink transmission line are owned jointly with other utilities. The company's interests at December 31, 2007 were as follows:</w:t>
      </w:r>
    </w:p>
    <w:p>
      <w:pPr>
        <w:spacing w:after="0" w:line="247" w:lineRule="exact"/>
        <w:rPr>
          <w:sz w:val="20"/>
          <w:szCs w:val="20"/>
          <w:color w:val="auto"/>
        </w:rPr>
      </w:pPr>
    </w:p>
    <w:tbl>
      <w:tblPr>
        <w:tblLayout w:type="fixed"/>
        <w:tblInd w:w="180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40" w:type="dxa"/>
            <w:vAlign w:val="bottom"/>
            <w:gridSpan w:val="2"/>
          </w:tcPr>
          <w:p>
            <w:pPr>
              <w:jc w:val="right"/>
              <w:ind w:right="130"/>
              <w:spacing w:after="0"/>
              <w:rPr>
                <w:sz w:val="20"/>
                <w:szCs w:val="20"/>
                <w:color w:val="auto"/>
              </w:rPr>
            </w:pPr>
            <w:r>
              <w:rPr>
                <w:rFonts w:ascii="Arial" w:cs="Arial" w:eastAsia="Arial" w:hAnsi="Arial"/>
                <w:sz w:val="18"/>
                <w:szCs w:val="18"/>
                <w:color w:val="auto"/>
              </w:rPr>
              <w:t>Southwest</w:t>
            </w:r>
          </w:p>
        </w:tc>
      </w:tr>
      <w:tr>
        <w:trPr>
          <w:trHeight w:val="237"/>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(Dollars in millions)</w:t>
            </w:r>
          </w:p>
        </w:tc>
        <w:tc>
          <w:tcPr>
            <w:tcW w:w="2220" w:type="dxa"/>
            <w:vAlign w:val="bottom"/>
            <w:tcBorders>
              <w:bottom w:val="single" w:sz="8" w:color="auto"/>
            </w:tcBorders>
            <w:gridSpan w:val="2"/>
          </w:tcPr>
          <w:p>
            <w:pPr>
              <w:ind w:left="1120"/>
              <w:spacing w:after="0"/>
              <w:rPr>
                <w:sz w:val="20"/>
                <w:szCs w:val="20"/>
                <w:color w:val="auto"/>
              </w:rPr>
            </w:pPr>
            <w:r>
              <w:rPr>
                <w:rFonts w:ascii="Arial" w:cs="Arial" w:eastAsia="Arial" w:hAnsi="Arial"/>
                <w:sz w:val="18"/>
                <w:szCs w:val="18"/>
                <w:color w:val="auto"/>
              </w:rPr>
              <w:t>SONGS</w:t>
            </w:r>
          </w:p>
        </w:tc>
        <w:tc>
          <w:tcPr>
            <w:tcW w:w="134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rPr>
              <w:t>Powerlink</w:t>
            </w:r>
          </w:p>
        </w:tc>
      </w:t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Percentage ownership</w:t>
            </w:r>
          </w:p>
        </w:tc>
        <w:tc>
          <w:tcPr>
            <w:tcW w:w="1340" w:type="dxa"/>
            <w:vAlign w:val="bottom"/>
          </w:tcPr>
          <w:p>
            <w:pPr>
              <w:spacing w:after="0"/>
              <w:rPr>
                <w:sz w:val="20"/>
                <w:szCs w:val="20"/>
                <w:color w:val="auto"/>
              </w:rPr>
            </w:pPr>
          </w:p>
        </w:tc>
        <w:tc>
          <w:tcPr>
            <w:tcW w:w="880" w:type="dxa"/>
            <w:vAlign w:val="bottom"/>
          </w:tcPr>
          <w:p>
            <w:pPr>
              <w:ind w:left="140"/>
              <w:spacing w:after="0"/>
              <w:rPr>
                <w:sz w:val="20"/>
                <w:szCs w:val="20"/>
                <w:color w:val="auto"/>
              </w:rPr>
            </w:pPr>
            <w:r>
              <w:rPr>
                <w:rFonts w:ascii="Arial" w:cs="Arial" w:eastAsia="Arial" w:hAnsi="Arial"/>
                <w:sz w:val="18"/>
                <w:szCs w:val="18"/>
                <w:color w:val="auto"/>
              </w:rPr>
              <w:t>20 %</w:t>
            </w:r>
          </w:p>
        </w:tc>
        <w:tc>
          <w:tcPr>
            <w:tcW w:w="720" w:type="dxa"/>
            <w:vAlign w:val="bottom"/>
          </w:tcPr>
          <w:p>
            <w:pPr>
              <w:spacing w:after="0"/>
              <w:rPr>
                <w:sz w:val="20"/>
                <w:szCs w:val="20"/>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91 %</w:t>
            </w:r>
          </w:p>
        </w:tc>
      </w:tr>
      <w:tr>
        <w:trPr>
          <w:trHeight w:val="242"/>
        </w:trPr>
        <w:tc>
          <w:tcPr>
            <w:tcW w:w="4280" w:type="dxa"/>
            <w:vAlign w:val="bottom"/>
          </w:tcPr>
          <w:p>
            <w:pPr>
              <w:spacing w:after="0"/>
              <w:rPr>
                <w:sz w:val="20"/>
                <w:szCs w:val="20"/>
                <w:color w:val="auto"/>
              </w:rPr>
            </w:pPr>
            <w:r>
              <w:rPr>
                <w:rFonts w:ascii="Arial" w:cs="Arial" w:eastAsia="Arial" w:hAnsi="Arial"/>
                <w:sz w:val="18"/>
                <w:szCs w:val="18"/>
                <w:color w:val="auto"/>
              </w:rPr>
              <w:t>Utility plant in service</w:t>
            </w:r>
          </w:p>
        </w:tc>
        <w:tc>
          <w:tcPr>
            <w:tcW w:w="1340" w:type="dxa"/>
            <w:vAlign w:val="bottom"/>
          </w:tcPr>
          <w:p>
            <w:pPr>
              <w:ind w:left="1120"/>
              <w:spacing w:after="0"/>
              <w:rPr>
                <w:sz w:val="20"/>
                <w:szCs w:val="20"/>
                <w:color w:val="auto"/>
              </w:rPr>
            </w:pPr>
            <w:r>
              <w:rPr>
                <w:rFonts w:ascii="Arial" w:cs="Arial" w:eastAsia="Arial" w:hAnsi="Arial"/>
                <w:sz w:val="18"/>
                <w:szCs w:val="18"/>
                <w:color w:val="auto"/>
              </w:rPr>
              <w:t>$</w:t>
            </w:r>
          </w:p>
        </w:tc>
        <w:tc>
          <w:tcPr>
            <w:tcW w:w="880" w:type="dxa"/>
            <w:vAlign w:val="bottom"/>
          </w:tcPr>
          <w:p>
            <w:pPr>
              <w:ind w:left="140"/>
              <w:spacing w:after="0"/>
              <w:rPr>
                <w:sz w:val="20"/>
                <w:szCs w:val="20"/>
                <w:color w:val="auto"/>
              </w:rPr>
            </w:pPr>
            <w:r>
              <w:rPr>
                <w:rFonts w:ascii="Arial" w:cs="Arial" w:eastAsia="Arial" w:hAnsi="Arial"/>
                <w:sz w:val="18"/>
                <w:szCs w:val="18"/>
                <w:color w:val="auto"/>
              </w:rPr>
              <w:t>75</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90"/>
              <w:spacing w:after="0"/>
              <w:rPr>
                <w:sz w:val="20"/>
                <w:szCs w:val="20"/>
                <w:color w:val="auto"/>
              </w:rPr>
            </w:pPr>
            <w:r>
              <w:rPr>
                <w:rFonts w:ascii="Arial" w:cs="Arial" w:eastAsia="Arial" w:hAnsi="Arial"/>
                <w:sz w:val="18"/>
                <w:szCs w:val="18"/>
                <w:color w:val="auto"/>
              </w:rPr>
              <w:t>311</w:t>
            </w:r>
          </w:p>
        </w:tc>
      </w:tr>
      <w:tr>
        <w:trPr>
          <w:trHeight w:val="243"/>
        </w:trPr>
        <w:tc>
          <w:tcPr>
            <w:tcW w:w="4280" w:type="dxa"/>
            <w:vAlign w:val="bottom"/>
          </w:tcPr>
          <w:p>
            <w:pPr>
              <w:spacing w:after="0"/>
              <w:rPr>
                <w:sz w:val="20"/>
                <w:szCs w:val="20"/>
                <w:color w:val="auto"/>
              </w:rPr>
            </w:pPr>
            <w:r>
              <w:rPr>
                <w:rFonts w:ascii="Arial" w:cs="Arial" w:eastAsia="Arial" w:hAnsi="Arial"/>
                <w:sz w:val="18"/>
                <w:szCs w:val="18"/>
                <w:color w:val="auto"/>
              </w:rPr>
              <w:t>Accumulated depreciation and amortization</w:t>
            </w:r>
          </w:p>
        </w:tc>
        <w:tc>
          <w:tcPr>
            <w:tcW w:w="1340" w:type="dxa"/>
            <w:vAlign w:val="bottom"/>
          </w:tcPr>
          <w:p>
            <w:pPr>
              <w:ind w:left="1120"/>
              <w:spacing w:after="0"/>
              <w:rPr>
                <w:sz w:val="20"/>
                <w:szCs w:val="20"/>
                <w:color w:val="auto"/>
              </w:rPr>
            </w:pPr>
            <w:r>
              <w:rPr>
                <w:rFonts w:ascii="Arial" w:cs="Arial" w:eastAsia="Arial" w:hAnsi="Arial"/>
                <w:sz w:val="18"/>
                <w:szCs w:val="18"/>
                <w:color w:val="auto"/>
              </w:rPr>
              <w:t>$</w:t>
            </w:r>
          </w:p>
        </w:tc>
        <w:tc>
          <w:tcPr>
            <w:tcW w:w="880" w:type="dxa"/>
            <w:vAlign w:val="bottom"/>
          </w:tcPr>
          <w:p>
            <w:pPr>
              <w:ind w:left="140"/>
              <w:spacing w:after="0"/>
              <w:rPr>
                <w:sz w:val="20"/>
                <w:szCs w:val="20"/>
                <w:color w:val="auto"/>
              </w:rPr>
            </w:pPr>
            <w:r>
              <w:rPr>
                <w:rFonts w:ascii="Arial" w:cs="Arial" w:eastAsia="Arial" w:hAnsi="Arial"/>
                <w:sz w:val="18"/>
                <w:szCs w:val="18"/>
                <w:color w:val="auto"/>
              </w:rPr>
              <w:t>14</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90"/>
              <w:spacing w:after="0"/>
              <w:rPr>
                <w:sz w:val="20"/>
                <w:szCs w:val="20"/>
                <w:color w:val="auto"/>
              </w:rPr>
            </w:pPr>
            <w:r>
              <w:rPr>
                <w:rFonts w:ascii="Arial" w:cs="Arial" w:eastAsia="Arial" w:hAnsi="Arial"/>
                <w:sz w:val="18"/>
                <w:szCs w:val="18"/>
                <w:color w:val="auto"/>
              </w:rPr>
              <w:t>169</w:t>
            </w:r>
          </w:p>
        </w:tc>
      </w:tr>
      <w:tr>
        <w:trPr>
          <w:trHeight w:val="277"/>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Construction work in progress</w:t>
            </w:r>
          </w:p>
        </w:tc>
        <w:tc>
          <w:tcPr>
            <w:tcW w:w="1340" w:type="dxa"/>
            <w:vAlign w:val="bottom"/>
            <w:tcBorders>
              <w:bottom w:val="single" w:sz="8" w:color="auto"/>
            </w:tcBorders>
          </w:tcPr>
          <w:p>
            <w:pPr>
              <w:ind w:left="11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75</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w:t>
            </w:r>
          </w:p>
        </w:tc>
      </w:tr>
    </w:tbl>
    <w:p>
      <w:pPr>
        <w:spacing w:after="0" w:line="226" w:lineRule="exact"/>
        <w:rPr>
          <w:sz w:val="20"/>
          <w:szCs w:val="20"/>
          <w:color w:val="auto"/>
        </w:rPr>
      </w:pPr>
    </w:p>
    <w:p>
      <w:pPr>
        <w:ind w:right="420"/>
        <w:spacing w:after="0" w:line="316" w:lineRule="auto"/>
        <w:rPr>
          <w:sz w:val="20"/>
          <w:szCs w:val="20"/>
          <w:color w:val="auto"/>
        </w:rPr>
      </w:pPr>
      <w:r>
        <w:rPr>
          <w:rFonts w:ascii="Arial" w:cs="Arial" w:eastAsia="Arial" w:hAnsi="Arial"/>
          <w:sz w:val="18"/>
          <w:szCs w:val="18"/>
          <w:color w:val="auto"/>
        </w:rPr>
        <w:t>The company, and each of the other owners, holds its interest as an undivided interest as tenants in common in the property. Each owner is responsible for financing its share of each project and participates in decisions concerning operations and capital expenditures.</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color w:val="auto"/>
        </w:rPr>
        <w:t>The company's share of operating expenses is included in the Statements of Consolidated Income.</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20"/>
          <w:szCs w:val="20"/>
          <w:color w:val="auto"/>
        </w:rPr>
        <w:t>78</w:t>
      </w:r>
    </w:p>
    <w:p>
      <w:pPr>
        <w:sectPr>
          <w:pgSz w:w="11900" w:h="16838" w:orient="portrait"/>
          <w:cols w:equalWidth="0" w:num="1">
            <w:col w:w="11400"/>
          </w:cols>
          <w:pgMar w:left="240" w:top="121" w:right="259" w:bottom="1440" w:gutter="0" w:footer="0" w:header="0"/>
        </w:sectPr>
      </w:pPr>
    </w:p>
    <w:bookmarkStart w:id="146" w:name="page147"/>
    <w:bookmarkEnd w:id="146"/>
    <w:p>
      <w:pPr>
        <w:spacing w:after="0"/>
        <w:rPr>
          <w:sz w:val="20"/>
          <w:szCs w:val="20"/>
          <w:color w:val="auto"/>
        </w:rPr>
      </w:pPr>
      <w:r>
        <w:rPr>
          <w:rFonts w:ascii="Arial" w:cs="Arial" w:eastAsia="Arial" w:hAnsi="Arial"/>
          <w:sz w:val="20"/>
          <w:szCs w:val="20"/>
          <w:b w:val="1"/>
          <w:bCs w:val="1"/>
          <w:color w:val="auto"/>
        </w:rPr>
        <w:t>SONGS Decommissioning</w:t>
      </w:r>
    </w:p>
    <w:p>
      <w:pPr>
        <w:spacing w:after="0" w:line="250" w:lineRule="exact"/>
        <w:rPr>
          <w:sz w:val="20"/>
          <w:szCs w:val="20"/>
          <w:color w:val="auto"/>
        </w:rPr>
      </w:pPr>
    </w:p>
    <w:p>
      <w:pPr>
        <w:ind w:right="80"/>
        <w:spacing w:after="0" w:line="250" w:lineRule="auto"/>
        <w:rPr>
          <w:sz w:val="20"/>
          <w:szCs w:val="20"/>
          <w:color w:val="auto"/>
        </w:rPr>
      </w:pPr>
      <w:r>
        <w:rPr>
          <w:rFonts w:ascii="Arial" w:cs="Arial" w:eastAsia="Arial" w:hAnsi="Arial"/>
          <w:sz w:val="20"/>
          <w:szCs w:val="20"/>
          <w:color w:val="auto"/>
        </w:rPr>
        <w:t>Objectives, work scope and procedures for the dismantling and decontamination of the SONGS units must meet the requirements of the Nuclear Regulatory Commission (NRC), the Environmental Protection Agency, the U.S. Department of the Navy (the land owner), the CPUC and other regulatory bodies.</w:t>
      </w:r>
    </w:p>
    <w:p>
      <w:pPr>
        <w:spacing w:after="0" w:line="213" w:lineRule="exact"/>
        <w:rPr>
          <w:sz w:val="20"/>
          <w:szCs w:val="20"/>
          <w:color w:val="auto"/>
        </w:rPr>
      </w:pPr>
    </w:p>
    <w:p>
      <w:pPr>
        <w:spacing w:after="0" w:line="260" w:lineRule="auto"/>
        <w:rPr>
          <w:sz w:val="20"/>
          <w:szCs w:val="20"/>
          <w:color w:val="auto"/>
        </w:rPr>
      </w:pPr>
      <w:r>
        <w:rPr>
          <w:rFonts w:ascii="Arial" w:cs="Arial" w:eastAsia="Arial" w:hAnsi="Arial"/>
          <w:sz w:val="19"/>
          <w:szCs w:val="19"/>
          <w:color w:val="auto"/>
        </w:rPr>
        <w:t>The asset retirement obligation related to decommissioning costs for the SONGS units was $411 million at December 31, 2007. That amount includes the cost to decommission Units 2 and 3, and the remaining cost to complete Unit 1’s decommissioning, which is currently in progress. Decommissioning cost studies are updated every three years, with the most recent update approved by the CPUC in January 2007. Rate recovery of decommissioning costs is allowed until the time that the costs are fully recovered, and is subject to adjustment every three years based on the costs allowed by regulators. Collections are authorized to continue until 2022.</w:t>
      </w:r>
    </w:p>
    <w:p>
      <w:pPr>
        <w:spacing w:after="0" w:line="208" w:lineRule="exact"/>
        <w:rPr>
          <w:sz w:val="20"/>
          <w:szCs w:val="20"/>
          <w:color w:val="auto"/>
        </w:rPr>
      </w:pPr>
    </w:p>
    <w:p>
      <w:pPr>
        <w:ind w:right="20"/>
        <w:spacing w:after="0" w:line="258" w:lineRule="auto"/>
        <w:rPr>
          <w:sz w:val="20"/>
          <w:szCs w:val="20"/>
          <w:color w:val="auto"/>
        </w:rPr>
      </w:pPr>
      <w:r>
        <w:rPr>
          <w:rFonts w:ascii="Arial" w:cs="Arial" w:eastAsia="Arial" w:hAnsi="Arial"/>
          <w:sz w:val="19"/>
          <w:szCs w:val="19"/>
          <w:color w:val="auto"/>
        </w:rPr>
        <w:t>Unit 1 was permanently shut down in 1992, and physical decommissioning began in January 2000. Most structures, foundations and large components have been dismantled, removed and disposed of. Spent nuclear fuel has been removed from the Unit 1 Spent Fuel Pool and stored on-site in an independent spent fuel storage installation (ISFSI) licensed by the NRC. The remaining major work will include dismantling, removal and disposal of all remaining equipment and facilities (both nuclear and non-nuclear components), and decontamination of the site. These activities are expected to be completed in 2008. The ISFSI will be decommissioned after a permanent storage facility becomes available and the spent fuel is removed from the site by the U.S. Department of Energy (DOE). The Unit 1 reactor vessel is expected to remain on site until Units 2 and 3 are decommissioned.</w:t>
      </w:r>
    </w:p>
    <w:p>
      <w:pPr>
        <w:spacing w:after="0" w:line="206" w:lineRule="exact"/>
        <w:rPr>
          <w:sz w:val="20"/>
          <w:szCs w:val="20"/>
          <w:color w:val="auto"/>
        </w:rPr>
      </w:pPr>
    </w:p>
    <w:p>
      <w:pPr>
        <w:ind w:right="440"/>
        <w:spacing w:after="0" w:line="250" w:lineRule="auto"/>
        <w:rPr>
          <w:sz w:val="20"/>
          <w:szCs w:val="20"/>
          <w:color w:val="auto"/>
        </w:rPr>
      </w:pPr>
      <w:r>
        <w:rPr>
          <w:rFonts w:ascii="Arial" w:cs="Arial" w:eastAsia="Arial" w:hAnsi="Arial"/>
          <w:sz w:val="20"/>
          <w:szCs w:val="20"/>
          <w:color w:val="auto"/>
        </w:rPr>
        <w:t>The amounts collected in rates are invested in externally managed trust funds. Amounts held by the trusts are invested in accordance with CPUC regulations. These trusts are shown on the Consolidated Balance Sheets at fair value with the offsetting credits recorded in Asset Retirement Obligations and Regulatory Liabilities Arising from Removal Obligations.</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tables show the fair values and gross unrealized gains and losses for the securities held in the trust funds.</w:t>
      </w:r>
    </w:p>
    <w:p>
      <w:pPr>
        <w:spacing w:after="0" w:line="286" w:lineRule="exact"/>
        <w:rPr>
          <w:sz w:val="20"/>
          <w:szCs w:val="20"/>
          <w:color w:val="auto"/>
        </w:rPr>
      </w:pPr>
    </w:p>
    <w:tbl>
      <w:tblPr>
        <w:tblLayout w:type="fixed"/>
        <w:tblInd w:w="1460" w:type="dxa"/>
        <w:tblCellMar>
          <w:top w:w="0" w:type="dxa"/>
          <w:left w:w="0" w:type="dxa"/>
          <w:bottom w:w="0" w:type="dxa"/>
          <w:right w:w="0" w:type="dxa"/>
        </w:tblCellMar>
      </w:tblPr>
      <w:tr>
        <w:trPr>
          <w:trHeight w:val="237"/>
        </w:trPr>
        <w:tc>
          <w:tcPr>
            <w:tcW w:w="35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8"/>
                <w:szCs w:val="18"/>
                <w:color w:val="auto"/>
              </w:rPr>
              <w:t>As of December 31, 2007</w:t>
            </w:r>
          </w:p>
        </w:tc>
        <w:tc>
          <w:tcPr>
            <w:tcW w:w="8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r>
      <w:tr>
        <w:trPr>
          <w:trHeight w:val="215"/>
        </w:trPr>
        <w:tc>
          <w:tcPr>
            <w:tcW w:w="3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center"/>
              <w:ind w:right="530"/>
              <w:spacing w:after="0"/>
              <w:rPr>
                <w:sz w:val="20"/>
                <w:szCs w:val="20"/>
                <w:color w:val="auto"/>
              </w:rPr>
            </w:pPr>
            <w:r>
              <w:rPr>
                <w:rFonts w:ascii="Arial" w:cs="Arial" w:eastAsia="Arial" w:hAnsi="Arial"/>
                <w:sz w:val="18"/>
                <w:szCs w:val="18"/>
                <w:color w:val="auto"/>
                <w:w w:val="87"/>
              </w:rPr>
              <w:t>Gross</w:t>
            </w:r>
          </w:p>
        </w:tc>
        <w:tc>
          <w:tcPr>
            <w:tcW w:w="420" w:type="dxa"/>
            <w:vAlign w:val="bottom"/>
          </w:tcPr>
          <w:p>
            <w:pPr>
              <w:spacing w:after="0"/>
              <w:rPr>
                <w:sz w:val="18"/>
                <w:szCs w:val="18"/>
                <w:color w:val="auto"/>
              </w:rPr>
            </w:pPr>
          </w:p>
        </w:tc>
        <w:tc>
          <w:tcPr>
            <w:tcW w:w="1040" w:type="dxa"/>
            <w:vAlign w:val="bottom"/>
          </w:tcPr>
          <w:p>
            <w:pPr>
              <w:jc w:val="center"/>
              <w:ind w:right="490"/>
              <w:spacing w:after="0"/>
              <w:rPr>
                <w:sz w:val="20"/>
                <w:szCs w:val="20"/>
                <w:color w:val="auto"/>
              </w:rPr>
            </w:pPr>
            <w:r>
              <w:rPr>
                <w:rFonts w:ascii="Arial" w:cs="Arial" w:eastAsia="Arial" w:hAnsi="Arial"/>
                <w:sz w:val="18"/>
                <w:szCs w:val="18"/>
                <w:color w:val="auto"/>
                <w:w w:val="87"/>
              </w:rPr>
              <w:t>Gross</w:t>
            </w:r>
          </w:p>
        </w:tc>
        <w:tc>
          <w:tcPr>
            <w:tcW w:w="114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Estimated</w:t>
            </w:r>
          </w:p>
        </w:tc>
      </w:tr>
      <w:tr>
        <w:trPr>
          <w:trHeight w:val="216"/>
        </w:trPr>
        <w:tc>
          <w:tcPr>
            <w:tcW w:w="3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20" w:type="dxa"/>
            <w:vAlign w:val="bottom"/>
            <w:gridSpan w:val="2"/>
          </w:tcPr>
          <w:p>
            <w:pPr>
              <w:jc w:val="center"/>
              <w:ind w:right="190"/>
              <w:spacing w:after="0"/>
              <w:rPr>
                <w:sz w:val="20"/>
                <w:szCs w:val="20"/>
                <w:color w:val="auto"/>
              </w:rPr>
            </w:pPr>
            <w:r>
              <w:rPr>
                <w:rFonts w:ascii="Arial" w:cs="Arial" w:eastAsia="Arial" w:hAnsi="Arial"/>
                <w:sz w:val="18"/>
                <w:szCs w:val="18"/>
                <w:color w:val="auto"/>
                <w:w w:val="92"/>
              </w:rPr>
              <w:t>Unrealized</w:t>
            </w:r>
          </w:p>
        </w:tc>
        <w:tc>
          <w:tcPr>
            <w:tcW w:w="1460" w:type="dxa"/>
            <w:vAlign w:val="bottom"/>
            <w:gridSpan w:val="2"/>
          </w:tcPr>
          <w:p>
            <w:pPr>
              <w:jc w:val="center"/>
              <w:ind w:right="50"/>
              <w:spacing w:after="0"/>
              <w:rPr>
                <w:sz w:val="20"/>
                <w:szCs w:val="20"/>
                <w:color w:val="auto"/>
              </w:rPr>
            </w:pPr>
            <w:r>
              <w:rPr>
                <w:rFonts w:ascii="Arial" w:cs="Arial" w:eastAsia="Arial" w:hAnsi="Arial"/>
                <w:sz w:val="18"/>
                <w:szCs w:val="18"/>
                <w:color w:val="auto"/>
                <w:w w:val="92"/>
              </w:rPr>
              <w:t>Unrealized</w:t>
            </w:r>
          </w:p>
        </w:tc>
        <w:tc>
          <w:tcPr>
            <w:tcW w:w="840" w:type="dxa"/>
            <w:vAlign w:val="bottom"/>
          </w:tcPr>
          <w:p>
            <w:pPr>
              <w:jc w:val="center"/>
              <w:ind w:left="330"/>
              <w:spacing w:after="0"/>
              <w:rPr>
                <w:sz w:val="20"/>
                <w:szCs w:val="20"/>
                <w:color w:val="auto"/>
              </w:rPr>
            </w:pPr>
            <w:r>
              <w:rPr>
                <w:rFonts w:ascii="Arial" w:cs="Arial" w:eastAsia="Arial" w:hAnsi="Arial"/>
                <w:sz w:val="18"/>
                <w:szCs w:val="18"/>
                <w:color w:val="auto"/>
                <w:w w:val="96"/>
              </w:rPr>
              <w:t>Fair</w:t>
            </w:r>
          </w:p>
        </w:tc>
        <w:tc>
          <w:tcPr>
            <w:tcW w:w="300" w:type="dxa"/>
            <w:vAlign w:val="bottom"/>
          </w:tcPr>
          <w:p>
            <w:pPr>
              <w:spacing w:after="0"/>
              <w:rPr>
                <w:sz w:val="18"/>
                <w:szCs w:val="18"/>
                <w:color w:val="auto"/>
              </w:rPr>
            </w:pPr>
          </w:p>
        </w:tc>
      </w:tr>
      <w:tr>
        <w:trPr>
          <w:trHeight w:val="237"/>
        </w:trPr>
        <w:tc>
          <w:tcPr>
            <w:tcW w:w="3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(Dollars in millions)</w:t>
            </w: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Cost</w:t>
            </w: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490"/>
              <w:spacing w:after="0"/>
              <w:rPr>
                <w:sz w:val="20"/>
                <w:szCs w:val="20"/>
                <w:color w:val="auto"/>
              </w:rPr>
            </w:pPr>
            <w:r>
              <w:rPr>
                <w:rFonts w:ascii="Arial" w:cs="Arial" w:eastAsia="Arial" w:hAnsi="Arial"/>
                <w:sz w:val="18"/>
                <w:szCs w:val="18"/>
                <w:color w:val="auto"/>
                <w:w w:val="89"/>
              </w:rPr>
              <w:t>Gains</w:t>
            </w:r>
          </w:p>
        </w:tc>
        <w:tc>
          <w:tcPr>
            <w:tcW w:w="4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470"/>
              <w:spacing w:after="0"/>
              <w:rPr>
                <w:sz w:val="20"/>
                <w:szCs w:val="20"/>
                <w:color w:val="auto"/>
              </w:rPr>
            </w:pPr>
            <w:r>
              <w:rPr>
                <w:rFonts w:ascii="Arial" w:cs="Arial" w:eastAsia="Arial" w:hAnsi="Arial"/>
                <w:sz w:val="18"/>
                <w:szCs w:val="18"/>
                <w:color w:val="auto"/>
                <w:w w:val="84"/>
              </w:rPr>
              <w:t>Losses</w:t>
            </w:r>
          </w:p>
        </w:tc>
        <w:tc>
          <w:tcPr>
            <w:tcW w:w="840" w:type="dxa"/>
            <w:vAlign w:val="bottom"/>
            <w:tcBorders>
              <w:bottom w:val="single" w:sz="8" w:color="auto"/>
            </w:tcBorders>
          </w:tcPr>
          <w:p>
            <w:pPr>
              <w:jc w:val="center"/>
              <w:ind w:left="330"/>
              <w:spacing w:after="0"/>
              <w:rPr>
                <w:sz w:val="20"/>
                <w:szCs w:val="20"/>
                <w:color w:val="auto"/>
              </w:rPr>
            </w:pPr>
            <w:r>
              <w:rPr>
                <w:rFonts w:ascii="Arial" w:cs="Arial" w:eastAsia="Arial" w:hAnsi="Arial"/>
                <w:sz w:val="18"/>
                <w:szCs w:val="18"/>
                <w:color w:val="auto"/>
                <w:w w:val="91"/>
              </w:rPr>
              <w:t>Value</w:t>
            </w:r>
          </w:p>
        </w:tc>
        <w:tc>
          <w:tcPr>
            <w:tcW w:w="300" w:type="dxa"/>
            <w:vAlign w:val="bottom"/>
            <w:tcBorders>
              <w:bottom w:val="single" w:sz="8" w:color="auto"/>
            </w:tcBorders>
          </w:tcPr>
          <w:p>
            <w:pPr>
              <w:spacing w:after="0"/>
              <w:rPr>
                <w:sz w:val="20"/>
                <w:szCs w:val="20"/>
                <w:color w:val="auto"/>
              </w:rPr>
            </w:pP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Debt securities</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242"/>
        </w:trPr>
        <w:tc>
          <w:tcPr>
            <w:tcW w:w="3560" w:type="dxa"/>
            <w:vAlign w:val="bottom"/>
          </w:tcPr>
          <w:p>
            <w:pPr>
              <w:ind w:left="760"/>
              <w:spacing w:after="0"/>
              <w:rPr>
                <w:sz w:val="20"/>
                <w:szCs w:val="20"/>
                <w:color w:val="auto"/>
              </w:rPr>
            </w:pPr>
            <w:r>
              <w:rPr>
                <w:rFonts w:ascii="Arial" w:cs="Arial" w:eastAsia="Arial" w:hAnsi="Arial"/>
                <w:sz w:val="18"/>
                <w:szCs w:val="18"/>
                <w:color w:val="auto"/>
              </w:rPr>
              <w:t>U.S. government issues*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168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90"/>
              <w:spacing w:after="0"/>
              <w:rPr>
                <w:sz w:val="20"/>
                <w:szCs w:val="20"/>
                <w:color w:val="auto"/>
              </w:rPr>
            </w:pPr>
            <w:r>
              <w:rPr>
                <w:rFonts w:ascii="Arial" w:cs="Arial" w:eastAsia="Arial" w:hAnsi="Arial"/>
                <w:sz w:val="18"/>
                <w:szCs w:val="18"/>
                <w:color w:val="auto"/>
              </w:rPr>
              <w:t>15</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86"/>
              </w:rPr>
              <w:t>183</w:t>
            </w:r>
          </w:p>
        </w:tc>
      </w:tr>
      <w:tr>
        <w:trPr>
          <w:trHeight w:val="257"/>
        </w:trPr>
        <w:tc>
          <w:tcPr>
            <w:tcW w:w="3560" w:type="dxa"/>
            <w:vAlign w:val="bottom"/>
          </w:tcPr>
          <w:p>
            <w:pPr>
              <w:ind w:left="760"/>
              <w:spacing w:after="0"/>
              <w:rPr>
                <w:sz w:val="20"/>
                <w:szCs w:val="20"/>
                <w:color w:val="auto"/>
              </w:rPr>
            </w:pPr>
            <w:r>
              <w:rPr>
                <w:rFonts w:ascii="Arial" w:cs="Arial" w:eastAsia="Arial" w:hAnsi="Arial"/>
                <w:sz w:val="18"/>
                <w:szCs w:val="18"/>
                <w:color w:val="auto"/>
              </w:rPr>
              <w:t>Municipal bonds**</w:t>
            </w: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77</w:t>
            </w: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w:t>
            </w:r>
          </w:p>
        </w:tc>
        <w:tc>
          <w:tcPr>
            <w:tcW w:w="4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w:t>
            </w:r>
          </w:p>
        </w:tc>
        <w:tc>
          <w:tcPr>
            <w:tcW w:w="84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r>
      <w:tr>
        <w:trPr>
          <w:trHeight w:val="224"/>
        </w:trPr>
        <w:tc>
          <w:tcPr>
            <w:tcW w:w="3560" w:type="dxa"/>
            <w:vAlign w:val="bottom"/>
          </w:tcPr>
          <w:p>
            <w:pPr>
              <w:spacing w:after="0"/>
              <w:rPr>
                <w:sz w:val="20"/>
                <w:szCs w:val="20"/>
                <w:color w:val="auto"/>
              </w:rPr>
            </w:pPr>
            <w:r>
              <w:rPr>
                <w:rFonts w:ascii="Arial" w:cs="Arial" w:eastAsia="Arial" w:hAnsi="Arial"/>
                <w:sz w:val="18"/>
                <w:szCs w:val="18"/>
                <w:color w:val="auto"/>
              </w:rPr>
              <w:t>Total debt securities</w:t>
            </w:r>
          </w:p>
        </w:tc>
        <w:tc>
          <w:tcPr>
            <w:tcW w:w="220" w:type="dxa"/>
            <w:vAlign w:val="bottom"/>
          </w:tcPr>
          <w:p>
            <w:pPr>
              <w:spacing w:after="0"/>
              <w:rPr>
                <w:sz w:val="19"/>
                <w:szCs w:val="19"/>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245</w:t>
            </w:r>
          </w:p>
        </w:tc>
        <w:tc>
          <w:tcPr>
            <w:tcW w:w="280" w:type="dxa"/>
            <w:vAlign w:val="bottom"/>
          </w:tcPr>
          <w:p>
            <w:pPr>
              <w:spacing w:after="0"/>
              <w:rPr>
                <w:sz w:val="19"/>
                <w:szCs w:val="19"/>
                <w:color w:val="auto"/>
              </w:rPr>
            </w:pPr>
          </w:p>
        </w:tc>
        <w:tc>
          <w:tcPr>
            <w:tcW w:w="1040" w:type="dxa"/>
            <w:vAlign w:val="bottom"/>
          </w:tcPr>
          <w:p>
            <w:pPr>
              <w:jc w:val="right"/>
              <w:ind w:right="190"/>
              <w:spacing w:after="0"/>
              <w:rPr>
                <w:sz w:val="20"/>
                <w:szCs w:val="20"/>
                <w:color w:val="auto"/>
              </w:rPr>
            </w:pPr>
            <w:r>
              <w:rPr>
                <w:rFonts w:ascii="Arial" w:cs="Arial" w:eastAsia="Arial" w:hAnsi="Arial"/>
                <w:sz w:val="18"/>
                <w:szCs w:val="18"/>
                <w:color w:val="auto"/>
              </w:rPr>
              <w:t>16</w:t>
            </w:r>
          </w:p>
        </w:tc>
        <w:tc>
          <w:tcPr>
            <w:tcW w:w="420" w:type="dxa"/>
            <w:vAlign w:val="bottom"/>
          </w:tcPr>
          <w:p>
            <w:pPr>
              <w:spacing w:after="0"/>
              <w:rPr>
                <w:sz w:val="19"/>
                <w:szCs w:val="19"/>
                <w:color w:val="auto"/>
              </w:rPr>
            </w:pPr>
          </w:p>
        </w:tc>
        <w:tc>
          <w:tcPr>
            <w:tcW w:w="1040" w:type="dxa"/>
            <w:vAlign w:val="bottom"/>
          </w:tcPr>
          <w:p>
            <w:pPr>
              <w:jc w:val="right"/>
              <w:ind w:right="190"/>
              <w:spacing w:after="0"/>
              <w:rPr>
                <w:sz w:val="20"/>
                <w:szCs w:val="20"/>
                <w:color w:val="auto"/>
              </w:rPr>
            </w:pPr>
            <w:r>
              <w:rPr>
                <w:rFonts w:ascii="Arial" w:cs="Arial" w:eastAsia="Arial" w:hAnsi="Arial"/>
                <w:sz w:val="18"/>
                <w:szCs w:val="18"/>
                <w:color w:val="auto"/>
              </w:rPr>
              <w:t>(2)</w:t>
            </w:r>
          </w:p>
        </w:tc>
        <w:tc>
          <w:tcPr>
            <w:tcW w:w="8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86"/>
              </w:rPr>
              <w:t>259</w:t>
            </w:r>
          </w:p>
        </w:tc>
      </w:tr>
      <w:tr>
        <w:trPr>
          <w:trHeight w:val="242"/>
        </w:trPr>
        <w:tc>
          <w:tcPr>
            <w:tcW w:w="3560" w:type="dxa"/>
            <w:vAlign w:val="bottom"/>
          </w:tcPr>
          <w:p>
            <w:pPr>
              <w:spacing w:after="0"/>
              <w:rPr>
                <w:sz w:val="20"/>
                <w:szCs w:val="20"/>
                <w:color w:val="auto"/>
              </w:rPr>
            </w:pPr>
            <w:r>
              <w:rPr>
                <w:rFonts w:ascii="Arial" w:cs="Arial" w:eastAsia="Arial" w:hAnsi="Arial"/>
                <w:sz w:val="18"/>
                <w:szCs w:val="18"/>
                <w:color w:val="auto"/>
              </w:rPr>
              <w:t>Equity securities</w:t>
            </w:r>
          </w:p>
        </w:tc>
        <w:tc>
          <w:tcPr>
            <w:tcW w:w="220" w:type="dxa"/>
            <w:vAlign w:val="bottom"/>
          </w:tcPr>
          <w:p>
            <w:pPr>
              <w:spacing w:after="0"/>
              <w:rPr>
                <w:sz w:val="21"/>
                <w:szCs w:val="21"/>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204</w:t>
            </w:r>
          </w:p>
        </w:tc>
        <w:tc>
          <w:tcPr>
            <w:tcW w:w="280" w:type="dxa"/>
            <w:vAlign w:val="bottom"/>
          </w:tcPr>
          <w:p>
            <w:pPr>
              <w:spacing w:after="0"/>
              <w:rPr>
                <w:sz w:val="21"/>
                <w:szCs w:val="21"/>
                <w:color w:val="auto"/>
              </w:rPr>
            </w:pPr>
          </w:p>
        </w:tc>
        <w:tc>
          <w:tcPr>
            <w:tcW w:w="1040" w:type="dxa"/>
            <w:vAlign w:val="bottom"/>
          </w:tcPr>
          <w:p>
            <w:pPr>
              <w:jc w:val="right"/>
              <w:ind w:right="190"/>
              <w:spacing w:after="0"/>
              <w:rPr>
                <w:sz w:val="20"/>
                <w:szCs w:val="20"/>
                <w:color w:val="auto"/>
              </w:rPr>
            </w:pPr>
            <w:r>
              <w:rPr>
                <w:rFonts w:ascii="Arial" w:cs="Arial" w:eastAsia="Arial" w:hAnsi="Arial"/>
                <w:sz w:val="18"/>
                <w:szCs w:val="18"/>
                <w:color w:val="auto"/>
              </w:rPr>
              <w:t>234</w:t>
            </w:r>
          </w:p>
        </w:tc>
        <w:tc>
          <w:tcPr>
            <w:tcW w:w="420" w:type="dxa"/>
            <w:vAlign w:val="bottom"/>
          </w:tcPr>
          <w:p>
            <w:pPr>
              <w:spacing w:after="0"/>
              <w:rPr>
                <w:sz w:val="21"/>
                <w:szCs w:val="21"/>
                <w:color w:val="auto"/>
              </w:rPr>
            </w:pPr>
          </w:p>
        </w:tc>
        <w:tc>
          <w:tcPr>
            <w:tcW w:w="1040" w:type="dxa"/>
            <w:vAlign w:val="bottom"/>
          </w:tcPr>
          <w:p>
            <w:pPr>
              <w:jc w:val="right"/>
              <w:ind w:right="190"/>
              <w:spacing w:after="0"/>
              <w:rPr>
                <w:sz w:val="20"/>
                <w:szCs w:val="20"/>
                <w:color w:val="auto"/>
              </w:rPr>
            </w:pPr>
            <w:r>
              <w:rPr>
                <w:rFonts w:ascii="Arial" w:cs="Arial" w:eastAsia="Arial" w:hAnsi="Arial"/>
                <w:sz w:val="18"/>
                <w:szCs w:val="18"/>
                <w:color w:val="auto"/>
              </w:rPr>
              <w:t>(4)</w:t>
            </w:r>
          </w:p>
        </w:tc>
        <w:tc>
          <w:tcPr>
            <w:tcW w:w="84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86"/>
              </w:rPr>
              <w:t>434</w:t>
            </w:r>
          </w:p>
        </w:tc>
      </w:tr>
      <w:tr>
        <w:trPr>
          <w:trHeight w:val="257"/>
        </w:trPr>
        <w:tc>
          <w:tcPr>
            <w:tcW w:w="3560" w:type="dxa"/>
            <w:vAlign w:val="bottom"/>
          </w:tcPr>
          <w:p>
            <w:pPr>
              <w:spacing w:after="0"/>
              <w:rPr>
                <w:sz w:val="20"/>
                <w:szCs w:val="20"/>
                <w:color w:val="auto"/>
              </w:rPr>
            </w:pPr>
            <w:r>
              <w:rPr>
                <w:rFonts w:ascii="Arial" w:cs="Arial" w:eastAsia="Arial" w:hAnsi="Arial"/>
                <w:sz w:val="18"/>
                <w:szCs w:val="18"/>
                <w:color w:val="auto"/>
              </w:rPr>
              <w:t>Cash and other securities***</w:t>
            </w: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44</w:t>
            </w: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w:t>
            </w:r>
          </w:p>
        </w:tc>
        <w:tc>
          <w:tcPr>
            <w:tcW w:w="4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r>
      <w:tr>
        <w:trPr>
          <w:trHeight w:val="257"/>
        </w:trPr>
        <w:tc>
          <w:tcPr>
            <w:tcW w:w="3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available-for-sale securities</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493</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252</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(6)</w:t>
            </w:r>
          </w:p>
        </w:tc>
        <w:tc>
          <w:tcPr>
            <w:tcW w:w="8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739</w:t>
            </w:r>
          </w:p>
        </w:tc>
      </w:tr>
      <w:tr>
        <w:trPr>
          <w:trHeight w:val="230"/>
        </w:trPr>
        <w:tc>
          <w:tcPr>
            <w:tcW w:w="3560" w:type="dxa"/>
            <w:vAlign w:val="bottom"/>
          </w:tcPr>
          <w:p>
            <w:pPr>
              <w:jc w:val="right"/>
              <w:ind w:right="710"/>
              <w:spacing w:after="0"/>
              <w:rPr>
                <w:sz w:val="20"/>
                <w:szCs w:val="20"/>
                <w:color w:val="auto"/>
              </w:rPr>
            </w:pPr>
            <w:r>
              <w:rPr>
                <w:rFonts w:ascii="Arial" w:cs="Arial" w:eastAsia="Arial" w:hAnsi="Arial"/>
                <w:sz w:val="18"/>
                <w:szCs w:val="18"/>
                <w:color w:val="auto"/>
              </w:rPr>
              <w:t>* Maturity dates are 2009-2038.</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242"/>
        </w:trPr>
        <w:tc>
          <w:tcPr>
            <w:tcW w:w="3560" w:type="dxa"/>
            <w:vAlign w:val="bottom"/>
          </w:tcPr>
          <w:p>
            <w:pPr>
              <w:jc w:val="right"/>
              <w:ind w:right="710"/>
              <w:spacing w:after="0"/>
              <w:rPr>
                <w:sz w:val="20"/>
                <w:szCs w:val="20"/>
                <w:color w:val="auto"/>
              </w:rPr>
            </w:pPr>
            <w:r>
              <w:rPr>
                <w:rFonts w:ascii="Arial" w:cs="Arial" w:eastAsia="Arial" w:hAnsi="Arial"/>
                <w:sz w:val="18"/>
                <w:szCs w:val="18"/>
                <w:color w:val="auto"/>
              </w:rPr>
              <w:t>** Maturity dates are 2008-2057.</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00" w:type="dxa"/>
            <w:vAlign w:val="bottom"/>
          </w:tcPr>
          <w:p>
            <w:pPr>
              <w:spacing w:after="0"/>
              <w:rPr>
                <w:sz w:val="21"/>
                <w:szCs w:val="21"/>
                <w:color w:val="auto"/>
              </w:rPr>
            </w:pPr>
          </w:p>
        </w:tc>
      </w:tr>
      <w:tr>
        <w:trPr>
          <w:trHeight w:val="243"/>
        </w:trPr>
        <w:tc>
          <w:tcPr>
            <w:tcW w:w="3560" w:type="dxa"/>
            <w:vAlign w:val="bottom"/>
          </w:tcPr>
          <w:p>
            <w:pPr>
              <w:jc w:val="right"/>
              <w:ind w:right="710"/>
              <w:spacing w:after="0"/>
              <w:rPr>
                <w:sz w:val="20"/>
                <w:szCs w:val="20"/>
                <w:color w:val="auto"/>
              </w:rPr>
            </w:pPr>
            <w:r>
              <w:rPr>
                <w:rFonts w:ascii="Arial" w:cs="Arial" w:eastAsia="Arial" w:hAnsi="Arial"/>
                <w:sz w:val="18"/>
                <w:szCs w:val="18"/>
                <w:color w:val="auto"/>
              </w:rPr>
              <w:t>*** Maturity dates are 2008-2049.</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0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20"/>
          <w:szCs w:val="20"/>
          <w:color w:val="auto"/>
        </w:rPr>
        <w:t>79</w:t>
      </w:r>
    </w:p>
    <w:p>
      <w:pPr>
        <w:sectPr>
          <w:pgSz w:w="11900" w:h="16838" w:orient="portrait"/>
          <w:cols w:equalWidth="0" w:num="1">
            <w:col w:w="11340"/>
          </w:cols>
          <w:pgMar w:left="240" w:top="115" w:right="319" w:bottom="1440" w:gutter="0" w:footer="0" w:header="0"/>
        </w:sectPr>
      </w:pPr>
    </w:p>
    <w:bookmarkStart w:id="147" w:name="page148"/>
    <w:bookmarkEnd w:id="147"/>
    <w:tbl>
      <w:tblPr>
        <w:tblLayout w:type="fixed"/>
        <w:tblInd w:w="1620" w:type="dxa"/>
        <w:tblCellMar>
          <w:top w:w="0" w:type="dxa"/>
          <w:left w:w="0" w:type="dxa"/>
          <w:bottom w:w="0" w:type="dxa"/>
          <w:right w:w="0" w:type="dxa"/>
        </w:tblCellMar>
      </w:tblPr>
      <w:tr>
        <w:trPr>
          <w:trHeight w:val="237"/>
        </w:trPr>
        <w:tc>
          <w:tcPr>
            <w:tcW w:w="3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8"/>
                <w:szCs w:val="18"/>
                <w:color w:val="auto"/>
              </w:rPr>
              <w:t>As of December 31, 2006</w:t>
            </w:r>
          </w:p>
        </w:tc>
        <w:tc>
          <w:tcPr>
            <w:tcW w:w="4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r>
      <w:tr>
        <w:trPr>
          <w:trHeight w:val="215"/>
        </w:trPr>
        <w:tc>
          <w:tcPr>
            <w:tcW w:w="3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510"/>
              <w:spacing w:after="0"/>
              <w:rPr>
                <w:sz w:val="20"/>
                <w:szCs w:val="20"/>
                <w:color w:val="auto"/>
              </w:rPr>
            </w:pPr>
            <w:r>
              <w:rPr>
                <w:rFonts w:ascii="Arial" w:cs="Arial" w:eastAsia="Arial" w:hAnsi="Arial"/>
                <w:sz w:val="18"/>
                <w:szCs w:val="18"/>
                <w:color w:val="auto"/>
                <w:w w:val="87"/>
              </w:rPr>
              <w:t>Gross</w:t>
            </w:r>
          </w:p>
        </w:tc>
        <w:tc>
          <w:tcPr>
            <w:tcW w:w="420" w:type="dxa"/>
            <w:vAlign w:val="bottom"/>
          </w:tcPr>
          <w:p>
            <w:pPr>
              <w:spacing w:after="0"/>
              <w:rPr>
                <w:sz w:val="18"/>
                <w:szCs w:val="18"/>
                <w:color w:val="auto"/>
              </w:rPr>
            </w:pPr>
          </w:p>
        </w:tc>
        <w:tc>
          <w:tcPr>
            <w:tcW w:w="1080" w:type="dxa"/>
            <w:vAlign w:val="bottom"/>
          </w:tcPr>
          <w:p>
            <w:pPr>
              <w:jc w:val="center"/>
              <w:ind w:right="490"/>
              <w:spacing w:after="0"/>
              <w:rPr>
                <w:sz w:val="20"/>
                <w:szCs w:val="20"/>
                <w:color w:val="auto"/>
              </w:rPr>
            </w:pPr>
            <w:r>
              <w:rPr>
                <w:rFonts w:ascii="Arial" w:cs="Arial" w:eastAsia="Arial" w:hAnsi="Arial"/>
                <w:sz w:val="18"/>
                <w:szCs w:val="18"/>
                <w:color w:val="auto"/>
                <w:w w:val="87"/>
              </w:rPr>
              <w:t>Gross</w:t>
            </w:r>
          </w:p>
        </w:tc>
        <w:tc>
          <w:tcPr>
            <w:tcW w:w="120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Estimated</w:t>
            </w:r>
          </w:p>
        </w:tc>
      </w:tr>
      <w:tr>
        <w:trPr>
          <w:trHeight w:val="216"/>
        </w:trPr>
        <w:tc>
          <w:tcPr>
            <w:tcW w:w="3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40" w:type="dxa"/>
            <w:vAlign w:val="bottom"/>
            <w:gridSpan w:val="2"/>
          </w:tcPr>
          <w:p>
            <w:pPr>
              <w:jc w:val="right"/>
              <w:ind w:right="330"/>
              <w:spacing w:after="0"/>
              <w:rPr>
                <w:sz w:val="20"/>
                <w:szCs w:val="20"/>
                <w:color w:val="auto"/>
              </w:rPr>
            </w:pPr>
            <w:r>
              <w:rPr>
                <w:rFonts w:ascii="Arial" w:cs="Arial" w:eastAsia="Arial" w:hAnsi="Arial"/>
                <w:sz w:val="18"/>
                <w:szCs w:val="18"/>
                <w:color w:val="auto"/>
              </w:rPr>
              <w:t>Unrealized</w:t>
            </w:r>
          </w:p>
        </w:tc>
        <w:tc>
          <w:tcPr>
            <w:tcW w:w="1500" w:type="dxa"/>
            <w:vAlign w:val="bottom"/>
            <w:gridSpan w:val="2"/>
          </w:tcPr>
          <w:p>
            <w:pPr>
              <w:jc w:val="center"/>
              <w:ind w:right="70"/>
              <w:spacing w:after="0"/>
              <w:rPr>
                <w:sz w:val="20"/>
                <w:szCs w:val="20"/>
                <w:color w:val="auto"/>
              </w:rPr>
            </w:pPr>
            <w:r>
              <w:rPr>
                <w:rFonts w:ascii="Arial" w:cs="Arial" w:eastAsia="Arial" w:hAnsi="Arial"/>
                <w:sz w:val="18"/>
                <w:szCs w:val="18"/>
                <w:color w:val="auto"/>
                <w:w w:val="90"/>
              </w:rPr>
              <w:t>Unrealized</w:t>
            </w:r>
          </w:p>
        </w:tc>
        <w:tc>
          <w:tcPr>
            <w:tcW w:w="440" w:type="dxa"/>
            <w:vAlign w:val="bottom"/>
          </w:tcPr>
          <w:p>
            <w:pPr>
              <w:spacing w:after="0"/>
              <w:rPr>
                <w:sz w:val="18"/>
                <w:szCs w:val="18"/>
                <w:color w:val="auto"/>
              </w:rPr>
            </w:pPr>
          </w:p>
        </w:tc>
        <w:tc>
          <w:tcPr>
            <w:tcW w:w="760" w:type="dxa"/>
            <w:vAlign w:val="bottom"/>
          </w:tcPr>
          <w:p>
            <w:pPr>
              <w:jc w:val="center"/>
              <w:ind w:right="250"/>
              <w:spacing w:after="0"/>
              <w:rPr>
                <w:sz w:val="20"/>
                <w:szCs w:val="20"/>
                <w:color w:val="auto"/>
              </w:rPr>
            </w:pPr>
            <w:r>
              <w:rPr>
                <w:rFonts w:ascii="Arial" w:cs="Arial" w:eastAsia="Arial" w:hAnsi="Arial"/>
                <w:sz w:val="18"/>
                <w:szCs w:val="18"/>
                <w:color w:val="auto"/>
                <w:w w:val="96"/>
              </w:rPr>
              <w:t>Fair</w:t>
            </w:r>
          </w:p>
        </w:tc>
      </w:tr>
      <w:tr>
        <w:trPr>
          <w:trHeight w:val="237"/>
        </w:trPr>
        <w:tc>
          <w:tcPr>
            <w:tcW w:w="3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(Dollars in millions)</w:t>
            </w: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Cost</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w w:val="89"/>
              </w:rPr>
              <w:t>Gains</w:t>
            </w:r>
          </w:p>
        </w:tc>
        <w:tc>
          <w:tcPr>
            <w:tcW w:w="4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490"/>
              <w:spacing w:after="0"/>
              <w:rPr>
                <w:sz w:val="20"/>
                <w:szCs w:val="20"/>
                <w:color w:val="auto"/>
              </w:rPr>
            </w:pPr>
            <w:r>
              <w:rPr>
                <w:rFonts w:ascii="Arial" w:cs="Arial" w:eastAsia="Arial" w:hAnsi="Arial"/>
                <w:sz w:val="18"/>
                <w:szCs w:val="18"/>
                <w:color w:val="auto"/>
                <w:w w:val="87"/>
              </w:rPr>
              <w:t>Losses</w:t>
            </w:r>
          </w:p>
        </w:tc>
        <w:tc>
          <w:tcPr>
            <w:tcW w:w="4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color w:val="auto"/>
                <w:w w:val="91"/>
              </w:rPr>
              <w:t>Value</w:t>
            </w:r>
          </w:p>
        </w:tc>
      </w:tr>
      <w:tr>
        <w:trPr>
          <w:trHeight w:val="230"/>
        </w:trPr>
        <w:tc>
          <w:tcPr>
            <w:tcW w:w="3100" w:type="dxa"/>
            <w:vAlign w:val="bottom"/>
          </w:tcPr>
          <w:p>
            <w:pPr>
              <w:spacing w:after="0"/>
              <w:rPr>
                <w:sz w:val="20"/>
                <w:szCs w:val="20"/>
                <w:color w:val="auto"/>
              </w:rPr>
            </w:pPr>
            <w:r>
              <w:rPr>
                <w:rFonts w:ascii="Arial" w:cs="Arial" w:eastAsia="Arial" w:hAnsi="Arial"/>
                <w:sz w:val="18"/>
                <w:szCs w:val="18"/>
                <w:color w:val="auto"/>
              </w:rPr>
              <w:t>Debt securities</w:t>
            </w: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42"/>
        </w:trPr>
        <w:tc>
          <w:tcPr>
            <w:tcW w:w="3100" w:type="dxa"/>
            <w:vAlign w:val="bottom"/>
          </w:tcPr>
          <w:p>
            <w:pPr>
              <w:ind w:left="260"/>
              <w:spacing w:after="0"/>
              <w:rPr>
                <w:sz w:val="20"/>
                <w:szCs w:val="20"/>
                <w:color w:val="auto"/>
              </w:rPr>
            </w:pPr>
            <w:r>
              <w:rPr>
                <w:rFonts w:ascii="Arial" w:cs="Arial" w:eastAsia="Arial" w:hAnsi="Arial"/>
                <w:sz w:val="18"/>
                <w:szCs w:val="18"/>
                <w:color w:val="auto"/>
              </w:rPr>
              <w:t>U.S. government issues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215</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90"/>
              <w:spacing w:after="0"/>
              <w:rPr>
                <w:sz w:val="20"/>
                <w:szCs w:val="20"/>
                <w:color w:val="auto"/>
              </w:rPr>
            </w:pPr>
            <w:r>
              <w:rPr>
                <w:rFonts w:ascii="Arial" w:cs="Arial" w:eastAsia="Arial" w:hAnsi="Arial"/>
                <w:sz w:val="18"/>
                <w:szCs w:val="18"/>
                <w:color w:val="auto"/>
              </w:rPr>
              <w:t>10</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210"/>
              <w:spacing w:after="0"/>
              <w:rPr>
                <w:sz w:val="20"/>
                <w:szCs w:val="20"/>
                <w:color w:val="auto"/>
              </w:rPr>
            </w:pPr>
            <w:r>
              <w:rPr>
                <w:rFonts w:ascii="Arial" w:cs="Arial" w:eastAsia="Arial" w:hAnsi="Arial"/>
                <w:sz w:val="18"/>
                <w:szCs w:val="18"/>
                <w:color w:val="auto"/>
              </w:rPr>
              <w:t>(1)</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224</w:t>
            </w:r>
          </w:p>
        </w:tc>
      </w:tr>
      <w:tr>
        <w:trPr>
          <w:trHeight w:val="257"/>
        </w:trPr>
        <w:tc>
          <w:tcPr>
            <w:tcW w:w="3100" w:type="dxa"/>
            <w:vAlign w:val="bottom"/>
          </w:tcPr>
          <w:p>
            <w:pPr>
              <w:ind w:left="260"/>
              <w:spacing w:after="0"/>
              <w:rPr>
                <w:sz w:val="20"/>
                <w:szCs w:val="20"/>
                <w:color w:val="auto"/>
              </w:rPr>
            </w:pPr>
            <w:r>
              <w:rPr>
                <w:rFonts w:ascii="Arial" w:cs="Arial" w:eastAsia="Arial" w:hAnsi="Arial"/>
                <w:sz w:val="18"/>
                <w:szCs w:val="18"/>
                <w:color w:val="auto"/>
              </w:rPr>
              <w:t>Municipal bonds</w:t>
            </w: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55</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w:t>
            </w:r>
          </w:p>
        </w:tc>
        <w:tc>
          <w:tcPr>
            <w:tcW w:w="4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r>
      <w:tr>
        <w:trPr>
          <w:trHeight w:val="224"/>
        </w:trPr>
        <w:tc>
          <w:tcPr>
            <w:tcW w:w="3100" w:type="dxa"/>
            <w:vAlign w:val="bottom"/>
          </w:tcPr>
          <w:p>
            <w:pPr>
              <w:spacing w:after="0"/>
              <w:rPr>
                <w:sz w:val="20"/>
                <w:szCs w:val="20"/>
                <w:color w:val="auto"/>
              </w:rPr>
            </w:pPr>
            <w:r>
              <w:rPr>
                <w:rFonts w:ascii="Arial" w:cs="Arial" w:eastAsia="Arial" w:hAnsi="Arial"/>
                <w:sz w:val="18"/>
                <w:szCs w:val="18"/>
                <w:color w:val="auto"/>
              </w:rPr>
              <w:t>Total debt securities</w:t>
            </w:r>
          </w:p>
        </w:tc>
        <w:tc>
          <w:tcPr>
            <w:tcW w:w="220" w:type="dxa"/>
            <w:vAlign w:val="bottom"/>
          </w:tcPr>
          <w:p>
            <w:pPr>
              <w:spacing w:after="0"/>
              <w:rPr>
                <w:sz w:val="19"/>
                <w:szCs w:val="19"/>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270</w:t>
            </w:r>
          </w:p>
        </w:tc>
        <w:tc>
          <w:tcPr>
            <w:tcW w:w="300" w:type="dxa"/>
            <w:vAlign w:val="bottom"/>
          </w:tcPr>
          <w:p>
            <w:pPr>
              <w:spacing w:after="0"/>
              <w:rPr>
                <w:sz w:val="19"/>
                <w:szCs w:val="19"/>
                <w:color w:val="auto"/>
              </w:rPr>
            </w:pPr>
          </w:p>
        </w:tc>
        <w:tc>
          <w:tcPr>
            <w:tcW w:w="1040" w:type="dxa"/>
            <w:vAlign w:val="bottom"/>
          </w:tcPr>
          <w:p>
            <w:pPr>
              <w:jc w:val="right"/>
              <w:ind w:right="190"/>
              <w:spacing w:after="0"/>
              <w:rPr>
                <w:sz w:val="20"/>
                <w:szCs w:val="20"/>
                <w:color w:val="auto"/>
              </w:rPr>
            </w:pPr>
            <w:r>
              <w:rPr>
                <w:rFonts w:ascii="Arial" w:cs="Arial" w:eastAsia="Arial" w:hAnsi="Arial"/>
                <w:sz w:val="18"/>
                <w:szCs w:val="18"/>
                <w:color w:val="auto"/>
              </w:rPr>
              <w:t>11</w:t>
            </w:r>
          </w:p>
        </w:tc>
        <w:tc>
          <w:tcPr>
            <w:tcW w:w="420" w:type="dxa"/>
            <w:vAlign w:val="bottom"/>
          </w:tcPr>
          <w:p>
            <w:pPr>
              <w:spacing w:after="0"/>
              <w:rPr>
                <w:sz w:val="19"/>
                <w:szCs w:val="19"/>
                <w:color w:val="auto"/>
              </w:rPr>
            </w:pPr>
          </w:p>
        </w:tc>
        <w:tc>
          <w:tcPr>
            <w:tcW w:w="1080" w:type="dxa"/>
            <w:vAlign w:val="bottom"/>
          </w:tcPr>
          <w:p>
            <w:pPr>
              <w:jc w:val="right"/>
              <w:ind w:right="210"/>
              <w:spacing w:after="0"/>
              <w:rPr>
                <w:sz w:val="20"/>
                <w:szCs w:val="20"/>
                <w:color w:val="auto"/>
              </w:rPr>
            </w:pPr>
            <w:r>
              <w:rPr>
                <w:rFonts w:ascii="Arial" w:cs="Arial" w:eastAsia="Arial" w:hAnsi="Arial"/>
                <w:sz w:val="18"/>
                <w:szCs w:val="18"/>
                <w:color w:val="auto"/>
              </w:rPr>
              <w:t>(1)</w:t>
            </w: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280</w:t>
            </w:r>
          </w:p>
        </w:tc>
      </w:tr>
      <w:tr>
        <w:trPr>
          <w:trHeight w:val="242"/>
        </w:trPr>
        <w:tc>
          <w:tcPr>
            <w:tcW w:w="3100" w:type="dxa"/>
            <w:vAlign w:val="bottom"/>
          </w:tcPr>
          <w:p>
            <w:pPr>
              <w:spacing w:after="0"/>
              <w:rPr>
                <w:sz w:val="20"/>
                <w:szCs w:val="20"/>
                <w:color w:val="auto"/>
              </w:rPr>
            </w:pPr>
            <w:r>
              <w:rPr>
                <w:rFonts w:ascii="Arial" w:cs="Arial" w:eastAsia="Arial" w:hAnsi="Arial"/>
                <w:sz w:val="18"/>
                <w:szCs w:val="18"/>
                <w:color w:val="auto"/>
              </w:rPr>
              <w:t>Equity securities</w:t>
            </w:r>
          </w:p>
        </w:tc>
        <w:tc>
          <w:tcPr>
            <w:tcW w:w="220" w:type="dxa"/>
            <w:vAlign w:val="bottom"/>
          </w:tcPr>
          <w:p>
            <w:pPr>
              <w:spacing w:after="0"/>
              <w:rPr>
                <w:sz w:val="21"/>
                <w:szCs w:val="21"/>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142</w:t>
            </w:r>
          </w:p>
        </w:tc>
        <w:tc>
          <w:tcPr>
            <w:tcW w:w="300" w:type="dxa"/>
            <w:vAlign w:val="bottom"/>
          </w:tcPr>
          <w:p>
            <w:pPr>
              <w:spacing w:after="0"/>
              <w:rPr>
                <w:sz w:val="21"/>
                <w:szCs w:val="21"/>
                <w:color w:val="auto"/>
              </w:rPr>
            </w:pPr>
          </w:p>
        </w:tc>
        <w:tc>
          <w:tcPr>
            <w:tcW w:w="1040" w:type="dxa"/>
            <w:vAlign w:val="bottom"/>
          </w:tcPr>
          <w:p>
            <w:pPr>
              <w:jc w:val="right"/>
              <w:ind w:right="190"/>
              <w:spacing w:after="0"/>
              <w:rPr>
                <w:sz w:val="20"/>
                <w:szCs w:val="20"/>
                <w:color w:val="auto"/>
              </w:rPr>
            </w:pPr>
            <w:r>
              <w:rPr>
                <w:rFonts w:ascii="Arial" w:cs="Arial" w:eastAsia="Arial" w:hAnsi="Arial"/>
                <w:sz w:val="18"/>
                <w:szCs w:val="18"/>
                <w:color w:val="auto"/>
              </w:rPr>
              <w:t>217</w:t>
            </w:r>
          </w:p>
        </w:tc>
        <w:tc>
          <w:tcPr>
            <w:tcW w:w="420" w:type="dxa"/>
            <w:vAlign w:val="bottom"/>
          </w:tcPr>
          <w:p>
            <w:pPr>
              <w:spacing w:after="0"/>
              <w:rPr>
                <w:sz w:val="21"/>
                <w:szCs w:val="21"/>
                <w:color w:val="auto"/>
              </w:rPr>
            </w:pPr>
          </w:p>
        </w:tc>
        <w:tc>
          <w:tcPr>
            <w:tcW w:w="1080" w:type="dxa"/>
            <w:vAlign w:val="bottom"/>
          </w:tcPr>
          <w:p>
            <w:pPr>
              <w:jc w:val="right"/>
              <w:ind w:right="210"/>
              <w:spacing w:after="0"/>
              <w:rPr>
                <w:sz w:val="20"/>
                <w:szCs w:val="20"/>
                <w:color w:val="auto"/>
              </w:rPr>
            </w:pPr>
            <w:r>
              <w:rPr>
                <w:rFonts w:ascii="Arial" w:cs="Arial" w:eastAsia="Arial" w:hAnsi="Arial"/>
                <w:sz w:val="18"/>
                <w:szCs w:val="18"/>
                <w:color w:val="auto"/>
              </w:rPr>
              <w:t>(1)</w:t>
            </w:r>
          </w:p>
        </w:tc>
        <w:tc>
          <w:tcPr>
            <w:tcW w:w="4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358</w:t>
            </w:r>
          </w:p>
        </w:tc>
      </w:tr>
      <w:tr>
        <w:trPr>
          <w:trHeight w:val="257"/>
        </w:trPr>
        <w:tc>
          <w:tcPr>
            <w:tcW w:w="3100" w:type="dxa"/>
            <w:vAlign w:val="bottom"/>
          </w:tcPr>
          <w:p>
            <w:pPr>
              <w:spacing w:after="0"/>
              <w:rPr>
                <w:sz w:val="20"/>
                <w:szCs w:val="20"/>
                <w:color w:val="auto"/>
              </w:rPr>
            </w:pPr>
            <w:r>
              <w:rPr>
                <w:rFonts w:ascii="Arial" w:cs="Arial" w:eastAsia="Arial" w:hAnsi="Arial"/>
                <w:sz w:val="18"/>
                <w:szCs w:val="18"/>
                <w:color w:val="auto"/>
              </w:rPr>
              <w:t>Cash and other securities</w:t>
            </w: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61</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3</w:t>
            </w:r>
          </w:p>
        </w:tc>
        <w:tc>
          <w:tcPr>
            <w:tcW w:w="4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r>
      <w:tr>
        <w:trPr>
          <w:trHeight w:val="257"/>
        </w:trPr>
        <w:tc>
          <w:tcPr>
            <w:tcW w:w="3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available-for-sale securities</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473</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231</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w:t>
            </w:r>
          </w:p>
        </w:tc>
      </w:tr>
    </w:tbl>
    <w:p>
      <w:pPr>
        <w:spacing w:after="0" w:line="226"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shows the proceeds from sales of securities in the trust and gross realized gains and losses on those sales.</w:t>
      </w:r>
    </w:p>
    <w:p>
      <w:pPr>
        <w:spacing w:after="0" w:line="286" w:lineRule="exact"/>
        <w:rPr>
          <w:sz w:val="20"/>
          <w:szCs w:val="20"/>
          <w:color w:val="auto"/>
        </w:rPr>
      </w:pPr>
    </w:p>
    <w:tbl>
      <w:tblPr>
        <w:tblLayout w:type="fixed"/>
        <w:tblInd w:w="2040" w:type="dxa"/>
        <w:tblCellMar>
          <w:top w:w="0" w:type="dxa"/>
          <w:left w:w="0" w:type="dxa"/>
          <w:bottom w:w="0" w:type="dxa"/>
          <w:right w:w="0" w:type="dxa"/>
        </w:tblCellMar>
      </w:tblPr>
      <w:tr>
        <w:trPr>
          <w:trHeight w:val="237"/>
        </w:trPr>
        <w:tc>
          <w:tcPr>
            <w:tcW w:w="274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w w:val="94"/>
              </w:rPr>
              <w:t>Years ended December 31,</w:t>
            </w:r>
          </w:p>
        </w:tc>
        <w:tc>
          <w:tcPr>
            <w:tcW w:w="4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r>
      <w:tr>
        <w:trPr>
          <w:trHeight w:val="237"/>
        </w:trPr>
        <w:tc>
          <w:tcPr>
            <w:tcW w:w="2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(Dollars in millions)</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2007</w:t>
            </w:r>
          </w:p>
        </w:tc>
        <w:tc>
          <w:tcPr>
            <w:tcW w:w="52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2"/>
          </w:tcPr>
          <w:p>
            <w:pPr>
              <w:jc w:val="right"/>
              <w:ind w:right="1010"/>
              <w:spacing w:after="0"/>
              <w:rPr>
                <w:sz w:val="20"/>
                <w:szCs w:val="20"/>
                <w:color w:val="auto"/>
              </w:rPr>
            </w:pPr>
            <w:r>
              <w:rPr>
                <w:rFonts w:ascii="Arial" w:cs="Arial" w:eastAsia="Arial" w:hAnsi="Arial"/>
                <w:sz w:val="18"/>
                <w:szCs w:val="18"/>
                <w:color w:val="auto"/>
              </w:rPr>
              <w:t>2006</w:t>
            </w:r>
          </w:p>
        </w:tc>
        <w:tc>
          <w:tcPr>
            <w:tcW w:w="1120" w:type="dxa"/>
            <w:vAlign w:val="bottom"/>
            <w:tcBorders>
              <w:bottom w:val="single" w:sz="8" w:color="auto"/>
            </w:tcBorders>
            <w:gridSpan w:val="2"/>
          </w:tcPr>
          <w:p>
            <w:pPr>
              <w:jc w:val="right"/>
              <w:ind w:right="410"/>
              <w:spacing w:after="0"/>
              <w:rPr>
                <w:sz w:val="20"/>
                <w:szCs w:val="20"/>
                <w:color w:val="auto"/>
              </w:rPr>
            </w:pPr>
            <w:r>
              <w:rPr>
                <w:rFonts w:ascii="Arial" w:cs="Arial" w:eastAsia="Arial" w:hAnsi="Arial"/>
                <w:sz w:val="18"/>
                <w:szCs w:val="18"/>
                <w:color w:val="auto"/>
              </w:rPr>
              <w:t>2005</w:t>
            </w:r>
          </w:p>
        </w:tc>
      </w:tr>
      <w:tr>
        <w:trPr>
          <w:trHeight w:val="230"/>
        </w:trPr>
        <w:tc>
          <w:tcPr>
            <w:tcW w:w="2740" w:type="dxa"/>
            <w:vAlign w:val="bottom"/>
          </w:tcPr>
          <w:p>
            <w:pPr>
              <w:ind w:left="20"/>
              <w:spacing w:after="0"/>
              <w:rPr>
                <w:sz w:val="20"/>
                <w:szCs w:val="20"/>
                <w:color w:val="auto"/>
              </w:rPr>
            </w:pPr>
            <w:r>
              <w:rPr>
                <w:rFonts w:ascii="Arial" w:cs="Arial" w:eastAsia="Arial" w:hAnsi="Arial"/>
                <w:sz w:val="18"/>
                <w:szCs w:val="18"/>
                <w:color w:val="auto"/>
              </w:rPr>
              <w:t>Proceeds from sales</w:t>
            </w:r>
          </w:p>
        </w:tc>
        <w:tc>
          <w:tcPr>
            <w:tcW w:w="6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50"/>
              <w:spacing w:after="0"/>
              <w:rPr>
                <w:sz w:val="20"/>
                <w:szCs w:val="20"/>
                <w:color w:val="auto"/>
              </w:rPr>
            </w:pPr>
            <w:r>
              <w:rPr>
                <w:rFonts w:ascii="Arial" w:cs="Arial" w:eastAsia="Arial" w:hAnsi="Arial"/>
                <w:sz w:val="18"/>
                <w:szCs w:val="18"/>
                <w:color w:val="auto"/>
                <w:w w:val="86"/>
              </w:rPr>
              <w:t>578</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790"/>
              <w:spacing w:after="0"/>
              <w:rPr>
                <w:sz w:val="20"/>
                <w:szCs w:val="20"/>
                <w:color w:val="auto"/>
              </w:rPr>
            </w:pPr>
            <w:r>
              <w:rPr>
                <w:rFonts w:ascii="Arial" w:cs="Arial" w:eastAsia="Arial" w:hAnsi="Arial"/>
                <w:sz w:val="18"/>
                <w:szCs w:val="18"/>
                <w:color w:val="auto"/>
              </w:rPr>
              <w:t>474</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70"/>
              <w:spacing w:after="0"/>
              <w:rPr>
                <w:sz w:val="20"/>
                <w:szCs w:val="20"/>
                <w:color w:val="auto"/>
              </w:rPr>
            </w:pPr>
            <w:r>
              <w:rPr>
                <w:rFonts w:ascii="Arial" w:cs="Arial" w:eastAsia="Arial" w:hAnsi="Arial"/>
                <w:sz w:val="18"/>
                <w:szCs w:val="18"/>
                <w:color w:val="auto"/>
              </w:rPr>
              <w:t>223</w:t>
            </w:r>
          </w:p>
        </w:tc>
      </w:tr>
      <w:tr>
        <w:trPr>
          <w:trHeight w:val="242"/>
        </w:trPr>
        <w:tc>
          <w:tcPr>
            <w:tcW w:w="2740" w:type="dxa"/>
            <w:vAlign w:val="bottom"/>
          </w:tcPr>
          <w:p>
            <w:pPr>
              <w:ind w:left="20"/>
              <w:spacing w:after="0"/>
              <w:rPr>
                <w:sz w:val="20"/>
                <w:szCs w:val="20"/>
                <w:color w:val="auto"/>
              </w:rPr>
            </w:pPr>
            <w:r>
              <w:rPr>
                <w:rFonts w:ascii="Arial" w:cs="Arial" w:eastAsia="Arial" w:hAnsi="Arial"/>
                <w:sz w:val="18"/>
                <w:szCs w:val="18"/>
                <w:color w:val="auto"/>
              </w:rPr>
              <w:t>Gross realized gains</w:t>
            </w:r>
          </w:p>
        </w:tc>
        <w:tc>
          <w:tcPr>
            <w:tcW w:w="6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50"/>
              <w:spacing w:after="0"/>
              <w:rPr>
                <w:sz w:val="20"/>
                <w:szCs w:val="20"/>
                <w:color w:val="auto"/>
              </w:rPr>
            </w:pPr>
            <w:r>
              <w:rPr>
                <w:rFonts w:ascii="Arial" w:cs="Arial" w:eastAsia="Arial" w:hAnsi="Arial"/>
                <w:sz w:val="18"/>
                <w:szCs w:val="18"/>
                <w:color w:val="auto"/>
              </w:rPr>
              <w:t>18</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790"/>
              <w:spacing w:after="0"/>
              <w:rPr>
                <w:sz w:val="20"/>
                <w:szCs w:val="20"/>
                <w:color w:val="auto"/>
              </w:rPr>
            </w:pPr>
            <w:r>
              <w:rPr>
                <w:rFonts w:ascii="Arial" w:cs="Arial" w:eastAsia="Arial" w:hAnsi="Arial"/>
                <w:sz w:val="18"/>
                <w:szCs w:val="18"/>
                <w:color w:val="auto"/>
              </w:rPr>
              <w:t>22</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70"/>
              <w:spacing w:after="0"/>
              <w:rPr>
                <w:sz w:val="20"/>
                <w:szCs w:val="20"/>
                <w:color w:val="auto"/>
              </w:rPr>
            </w:pPr>
            <w:r>
              <w:rPr>
                <w:rFonts w:ascii="Arial" w:cs="Arial" w:eastAsia="Arial" w:hAnsi="Arial"/>
                <w:sz w:val="18"/>
                <w:szCs w:val="18"/>
                <w:color w:val="auto"/>
              </w:rPr>
              <w:t>17</w:t>
            </w:r>
          </w:p>
        </w:tc>
      </w:tr>
      <w:tr>
        <w:trPr>
          <w:trHeight w:val="277"/>
        </w:trPr>
        <w:tc>
          <w:tcPr>
            <w:tcW w:w="2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Gross realized losses</w:t>
            </w:r>
          </w:p>
        </w:tc>
        <w:tc>
          <w:tcPr>
            <w:tcW w:w="6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1"/>
              </w:rPr>
              <w:t>(12 )</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rPr>
              <w:t>(13 )</w:t>
            </w:r>
          </w:p>
        </w:tc>
        <w:tc>
          <w:tcPr>
            <w:tcW w:w="4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(11 )</w:t>
            </w:r>
          </w:p>
        </w:tc>
      </w:tr>
    </w:tbl>
    <w:p>
      <w:pPr>
        <w:spacing w:after="0" w:line="226" w:lineRule="exact"/>
        <w:rPr>
          <w:sz w:val="20"/>
          <w:szCs w:val="20"/>
          <w:color w:val="auto"/>
        </w:rPr>
      </w:pPr>
    </w:p>
    <w:p>
      <w:pPr>
        <w:ind w:right="620"/>
        <w:spacing w:after="0" w:line="316" w:lineRule="auto"/>
        <w:rPr>
          <w:sz w:val="20"/>
          <w:szCs w:val="20"/>
          <w:color w:val="auto"/>
        </w:rPr>
      </w:pPr>
      <w:r>
        <w:rPr>
          <w:rFonts w:ascii="Arial" w:cs="Arial" w:eastAsia="Arial" w:hAnsi="Arial"/>
          <w:sz w:val="18"/>
          <w:szCs w:val="18"/>
          <w:color w:val="auto"/>
        </w:rPr>
        <w:t>Net unrealized gains are included in Asset Retirement Obligations and Regulatory Liabilities Arising from Removal Obligations on the Consolidated Balance Sheets. The company determines the cost of securities in the trust on the basis of specific identification.</w:t>
      </w:r>
    </w:p>
    <w:p>
      <w:pPr>
        <w:spacing w:after="0" w:line="157" w:lineRule="exact"/>
        <w:rPr>
          <w:sz w:val="20"/>
          <w:szCs w:val="20"/>
          <w:color w:val="auto"/>
        </w:rPr>
      </w:pPr>
    </w:p>
    <w:p>
      <w:pPr>
        <w:ind w:right="480"/>
        <w:spacing w:after="0" w:line="250" w:lineRule="auto"/>
        <w:rPr>
          <w:sz w:val="20"/>
          <w:szCs w:val="20"/>
          <w:color w:val="auto"/>
        </w:rPr>
      </w:pPr>
      <w:r>
        <w:rPr>
          <w:rFonts w:ascii="Arial" w:cs="Arial" w:eastAsia="Arial" w:hAnsi="Arial"/>
          <w:sz w:val="20"/>
          <w:szCs w:val="20"/>
          <w:color w:val="auto"/>
        </w:rPr>
        <w:t>The fair value of securities in an unrealized loss position as of December 31, 2007 was $79 million. The unrealized losses were primarily caused by interest-rate movements and fluctuations in the market. The company does not consider these investments to be other than temporarily impaired as of December 31, 2007.</w:t>
      </w:r>
    </w:p>
    <w:p>
      <w:pPr>
        <w:spacing w:after="0" w:line="213" w:lineRule="exact"/>
        <w:rPr>
          <w:sz w:val="20"/>
          <w:szCs w:val="20"/>
          <w:color w:val="auto"/>
        </w:rPr>
      </w:pPr>
    </w:p>
    <w:p>
      <w:pPr>
        <w:jc w:val="both"/>
        <w:spacing w:after="0" w:line="386" w:lineRule="auto"/>
        <w:rPr>
          <w:sz w:val="20"/>
          <w:szCs w:val="20"/>
          <w:color w:val="auto"/>
        </w:rPr>
      </w:pPr>
      <w:r>
        <w:rPr>
          <w:rFonts w:ascii="Arial" w:cs="Arial" w:eastAsia="Arial" w:hAnsi="Arial"/>
          <w:sz w:val="16"/>
          <w:szCs w:val="16"/>
          <w:color w:val="auto"/>
        </w:rPr>
        <w:t>Customer contribution amounts are determined by estimates of after-tax investment returns, decommissioning costs and decommissioning cost escalation rates. Lower actual investment returns or higher actual decommissioning costs result in an increase in future customer contributions.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Discussion regarding the impact of SFAS 143 is provided in Note 1. Additional information regarding SONGS is provided in Notes 14 and 16.</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20"/>
          <w:szCs w:val="20"/>
          <w:color w:val="auto"/>
        </w:rPr>
        <w:t>80</w:t>
      </w:r>
    </w:p>
    <w:p>
      <w:pPr>
        <w:sectPr>
          <w:pgSz w:w="11900" w:h="16838" w:orient="portrait"/>
          <w:cols w:equalWidth="0" w:num="1">
            <w:col w:w="11340"/>
          </w:cols>
          <w:pgMar w:left="240" w:top="409" w:right="319" w:bottom="1440" w:gutter="0" w:footer="0" w:header="0"/>
        </w:sectPr>
      </w:pPr>
    </w:p>
    <w:bookmarkStart w:id="148" w:name="page149"/>
    <w:bookmarkEnd w:id="148"/>
    <w:p>
      <w:pPr>
        <w:spacing w:after="0"/>
        <w:rPr>
          <w:sz w:val="20"/>
          <w:szCs w:val="20"/>
          <w:color w:val="auto"/>
        </w:rPr>
      </w:pPr>
      <w:r>
        <w:rPr>
          <w:rFonts w:ascii="Arial" w:cs="Arial" w:eastAsia="Arial" w:hAnsi="Arial"/>
          <w:sz w:val="20"/>
          <w:szCs w:val="20"/>
          <w:b w:val="1"/>
          <w:bCs w:val="1"/>
          <w:color w:val="auto"/>
        </w:rPr>
        <w:t>NOTE 8. INCOME TAXES</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color w:val="auto"/>
        </w:rPr>
        <w:t>Reconciliations of the U.S. statutory federal income tax rate to the effective income tax rate are as follows:</w:t>
      </w:r>
    </w:p>
    <w:p>
      <w:pPr>
        <w:spacing w:after="0" w:line="286" w:lineRule="exact"/>
        <w:rPr>
          <w:sz w:val="20"/>
          <w:szCs w:val="20"/>
          <w:color w:val="auto"/>
        </w:rPr>
      </w:pPr>
    </w:p>
    <w:tbl>
      <w:tblPr>
        <w:tblLayout w:type="fixed"/>
        <w:tblInd w:w="1480" w:type="dxa"/>
        <w:tblCellMar>
          <w:top w:w="0" w:type="dxa"/>
          <w:left w:w="0" w:type="dxa"/>
          <w:bottom w:w="0" w:type="dxa"/>
          <w:right w:w="0" w:type="dxa"/>
        </w:tblCellMar>
      </w:tblPr>
      <w:tr>
        <w:trPr>
          <w:trHeight w:val="237"/>
        </w:trPr>
        <w:tc>
          <w:tcPr>
            <w:tcW w:w="5040" w:type="dxa"/>
            <w:vAlign w:val="bottom"/>
          </w:tcPr>
          <w:p>
            <w:pPr>
              <w:spacing w:after="0"/>
              <w:rPr>
                <w:sz w:val="20"/>
                <w:szCs w:val="20"/>
                <w:color w:val="auto"/>
              </w:rPr>
            </w:pPr>
          </w:p>
        </w:tc>
        <w:tc>
          <w:tcPr>
            <w:tcW w:w="3440" w:type="dxa"/>
            <w:vAlign w:val="bottom"/>
            <w:tcBorders>
              <w:bottom w:val="single" w:sz="8" w:color="auto"/>
            </w:tcBorders>
            <w:gridSpan w:val="3"/>
          </w:tcPr>
          <w:p>
            <w:pPr>
              <w:jc w:val="right"/>
              <w:ind w:right="550"/>
              <w:spacing w:after="0"/>
              <w:rPr>
                <w:sz w:val="20"/>
                <w:szCs w:val="20"/>
                <w:color w:val="auto"/>
              </w:rPr>
            </w:pPr>
            <w:r>
              <w:rPr>
                <w:rFonts w:ascii="Arial" w:cs="Arial" w:eastAsia="Arial" w:hAnsi="Arial"/>
                <w:sz w:val="18"/>
                <w:szCs w:val="18"/>
                <w:color w:val="auto"/>
              </w:rPr>
              <w:t>Years ended December 31,</w:t>
            </w:r>
          </w:p>
        </w:tc>
      </w:tr>
      <w:tr>
        <w:trPr>
          <w:trHeight w:val="237"/>
        </w:trPr>
        <w:tc>
          <w:tcPr>
            <w:tcW w:w="50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2007</w:t>
            </w: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2006</w:t>
            </w:r>
          </w:p>
        </w:tc>
        <w:tc>
          <w:tcPr>
            <w:tcW w:w="10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2005</w:t>
            </w: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Statutory federal income tax rate</w:t>
            </w: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35 %</w:t>
            </w:r>
          </w:p>
        </w:tc>
        <w:tc>
          <w:tcPr>
            <w:tcW w:w="1220" w:type="dxa"/>
            <w:vAlign w:val="bottom"/>
          </w:tcPr>
          <w:p>
            <w:pPr>
              <w:jc w:val="right"/>
              <w:ind w:right="190"/>
              <w:spacing w:after="0"/>
              <w:rPr>
                <w:sz w:val="20"/>
                <w:szCs w:val="20"/>
                <w:color w:val="auto"/>
              </w:rPr>
            </w:pPr>
            <w:r>
              <w:rPr>
                <w:rFonts w:ascii="Arial" w:cs="Arial" w:eastAsia="Arial" w:hAnsi="Arial"/>
                <w:sz w:val="18"/>
                <w:szCs w:val="18"/>
                <w:color w:val="auto"/>
              </w:rPr>
              <w:t>35 %</w:t>
            </w:r>
          </w:p>
        </w:tc>
        <w:tc>
          <w:tcPr>
            <w:tcW w:w="1000" w:type="dxa"/>
            <w:vAlign w:val="bottom"/>
          </w:tcPr>
          <w:p>
            <w:pPr>
              <w:jc w:val="right"/>
              <w:spacing w:after="0"/>
              <w:rPr>
                <w:sz w:val="20"/>
                <w:szCs w:val="20"/>
                <w:color w:val="auto"/>
              </w:rPr>
            </w:pPr>
            <w:r>
              <w:rPr>
                <w:rFonts w:ascii="Arial" w:cs="Arial" w:eastAsia="Arial" w:hAnsi="Arial"/>
                <w:sz w:val="18"/>
                <w:szCs w:val="18"/>
                <w:color w:val="auto"/>
              </w:rPr>
              <w:t>35 %</w:t>
            </w:r>
          </w:p>
        </w:tc>
      </w:tr>
      <w:tr>
        <w:trPr>
          <w:trHeight w:val="242"/>
        </w:trPr>
        <w:tc>
          <w:tcPr>
            <w:tcW w:w="5040" w:type="dxa"/>
            <w:vAlign w:val="bottom"/>
          </w:tcPr>
          <w:p>
            <w:pPr>
              <w:spacing w:after="0"/>
              <w:rPr>
                <w:sz w:val="20"/>
                <w:szCs w:val="20"/>
                <w:color w:val="auto"/>
              </w:rPr>
            </w:pPr>
            <w:r>
              <w:rPr>
                <w:rFonts w:ascii="Arial" w:cs="Arial" w:eastAsia="Arial" w:hAnsi="Arial"/>
                <w:sz w:val="18"/>
                <w:szCs w:val="18"/>
                <w:color w:val="auto"/>
              </w:rPr>
              <w:t>Utility depreciation</w:t>
            </w:r>
          </w:p>
        </w:tc>
        <w:tc>
          <w:tcPr>
            <w:tcW w:w="1220" w:type="dxa"/>
            <w:vAlign w:val="bottom"/>
          </w:tcPr>
          <w:p>
            <w:pPr>
              <w:jc w:val="right"/>
              <w:ind w:right="350"/>
              <w:spacing w:after="0"/>
              <w:rPr>
                <w:sz w:val="20"/>
                <w:szCs w:val="20"/>
                <w:color w:val="auto"/>
              </w:rPr>
            </w:pPr>
            <w:r>
              <w:rPr>
                <w:rFonts w:ascii="Arial" w:cs="Arial" w:eastAsia="Arial" w:hAnsi="Arial"/>
                <w:sz w:val="18"/>
                <w:szCs w:val="18"/>
                <w:color w:val="auto"/>
              </w:rPr>
              <w:t>2</w:t>
            </w:r>
          </w:p>
        </w:tc>
        <w:tc>
          <w:tcPr>
            <w:tcW w:w="1220" w:type="dxa"/>
            <w:vAlign w:val="bottom"/>
          </w:tcPr>
          <w:p>
            <w:pPr>
              <w:jc w:val="right"/>
              <w:ind w:right="370"/>
              <w:spacing w:after="0"/>
              <w:rPr>
                <w:sz w:val="20"/>
                <w:szCs w:val="20"/>
                <w:color w:val="auto"/>
              </w:rPr>
            </w:pPr>
            <w:r>
              <w:rPr>
                <w:rFonts w:ascii="Arial" w:cs="Arial" w:eastAsia="Arial" w:hAnsi="Arial"/>
                <w:sz w:val="18"/>
                <w:szCs w:val="18"/>
                <w:color w:val="auto"/>
              </w:rPr>
              <w:t>2</w:t>
            </w: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5</w:t>
            </w:r>
          </w:p>
        </w:tc>
      </w:tr>
      <w:tr>
        <w:trPr>
          <w:trHeight w:val="243"/>
        </w:trPr>
        <w:tc>
          <w:tcPr>
            <w:tcW w:w="5040" w:type="dxa"/>
            <w:vAlign w:val="bottom"/>
          </w:tcPr>
          <w:p>
            <w:pPr>
              <w:spacing w:after="0"/>
              <w:rPr>
                <w:sz w:val="20"/>
                <w:szCs w:val="20"/>
                <w:color w:val="auto"/>
              </w:rPr>
            </w:pPr>
            <w:r>
              <w:rPr>
                <w:rFonts w:ascii="Arial" w:cs="Arial" w:eastAsia="Arial" w:hAnsi="Arial"/>
                <w:sz w:val="18"/>
                <w:szCs w:val="18"/>
                <w:color w:val="auto"/>
              </w:rPr>
              <w:t>State income taxes, net of federal income tax benefit</w:t>
            </w:r>
          </w:p>
        </w:tc>
        <w:tc>
          <w:tcPr>
            <w:tcW w:w="1220" w:type="dxa"/>
            <w:vAlign w:val="bottom"/>
          </w:tcPr>
          <w:p>
            <w:pPr>
              <w:jc w:val="right"/>
              <w:ind w:right="350"/>
              <w:spacing w:after="0"/>
              <w:rPr>
                <w:sz w:val="20"/>
                <w:szCs w:val="20"/>
                <w:color w:val="auto"/>
              </w:rPr>
            </w:pPr>
            <w:r>
              <w:rPr>
                <w:rFonts w:ascii="Arial" w:cs="Arial" w:eastAsia="Arial" w:hAnsi="Arial"/>
                <w:sz w:val="18"/>
                <w:szCs w:val="18"/>
                <w:color w:val="auto"/>
              </w:rPr>
              <w:t>4</w:t>
            </w:r>
          </w:p>
        </w:tc>
        <w:tc>
          <w:tcPr>
            <w:tcW w:w="1220" w:type="dxa"/>
            <w:vAlign w:val="bottom"/>
          </w:tcPr>
          <w:p>
            <w:pPr>
              <w:jc w:val="right"/>
              <w:ind w:right="370"/>
              <w:spacing w:after="0"/>
              <w:rPr>
                <w:sz w:val="20"/>
                <w:szCs w:val="20"/>
                <w:color w:val="auto"/>
              </w:rPr>
            </w:pPr>
            <w:r>
              <w:rPr>
                <w:rFonts w:ascii="Arial" w:cs="Arial" w:eastAsia="Arial" w:hAnsi="Arial"/>
                <w:sz w:val="18"/>
                <w:szCs w:val="18"/>
                <w:color w:val="auto"/>
              </w:rPr>
              <w:t>4</w:t>
            </w: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3</w:t>
            </w:r>
          </w:p>
        </w:tc>
      </w:tr>
      <w:tr>
        <w:trPr>
          <w:trHeight w:val="243"/>
        </w:trPr>
        <w:tc>
          <w:tcPr>
            <w:tcW w:w="5040" w:type="dxa"/>
            <w:vAlign w:val="bottom"/>
          </w:tcPr>
          <w:p>
            <w:pPr>
              <w:spacing w:after="0"/>
              <w:rPr>
                <w:sz w:val="20"/>
                <w:szCs w:val="20"/>
                <w:color w:val="auto"/>
              </w:rPr>
            </w:pPr>
            <w:r>
              <w:rPr>
                <w:rFonts w:ascii="Arial" w:cs="Arial" w:eastAsia="Arial" w:hAnsi="Arial"/>
                <w:sz w:val="18"/>
                <w:szCs w:val="18"/>
                <w:color w:val="auto"/>
              </w:rPr>
              <w:t>Tax credits</w:t>
            </w:r>
          </w:p>
        </w:tc>
        <w:tc>
          <w:tcPr>
            <w:tcW w:w="1220" w:type="dxa"/>
            <w:vAlign w:val="bottom"/>
          </w:tcPr>
          <w:p>
            <w:pPr>
              <w:jc w:val="right"/>
              <w:ind w:right="270"/>
              <w:spacing w:after="0"/>
              <w:rPr>
                <w:sz w:val="20"/>
                <w:szCs w:val="20"/>
                <w:color w:val="auto"/>
              </w:rPr>
            </w:pPr>
            <w:r>
              <w:rPr>
                <w:rFonts w:ascii="Arial" w:cs="Arial" w:eastAsia="Arial" w:hAnsi="Arial"/>
                <w:sz w:val="18"/>
                <w:szCs w:val="18"/>
                <w:color w:val="auto"/>
              </w:rPr>
              <w:t>(3 )</w:t>
            </w:r>
          </w:p>
        </w:tc>
        <w:tc>
          <w:tcPr>
            <w:tcW w:w="1220" w:type="dxa"/>
            <w:vAlign w:val="bottom"/>
          </w:tcPr>
          <w:p>
            <w:pPr>
              <w:jc w:val="right"/>
              <w:ind w:right="270"/>
              <w:spacing w:after="0"/>
              <w:rPr>
                <w:sz w:val="20"/>
                <w:szCs w:val="20"/>
                <w:color w:val="auto"/>
              </w:rPr>
            </w:pPr>
            <w:r>
              <w:rPr>
                <w:rFonts w:ascii="Arial" w:cs="Arial" w:eastAsia="Arial" w:hAnsi="Arial"/>
                <w:sz w:val="18"/>
                <w:szCs w:val="18"/>
                <w:color w:val="auto"/>
              </w:rPr>
              <w:t>(4 )</w:t>
            </w: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(14 )</w:t>
            </w:r>
          </w:p>
        </w:tc>
      </w:tr>
      <w:tr>
        <w:trPr>
          <w:trHeight w:val="243"/>
        </w:trPr>
        <w:tc>
          <w:tcPr>
            <w:tcW w:w="5040" w:type="dxa"/>
            <w:vAlign w:val="bottom"/>
          </w:tcPr>
          <w:p>
            <w:pPr>
              <w:spacing w:after="0"/>
              <w:rPr>
                <w:sz w:val="20"/>
                <w:szCs w:val="20"/>
                <w:color w:val="auto"/>
              </w:rPr>
            </w:pPr>
            <w:r>
              <w:rPr>
                <w:rFonts w:ascii="Arial" w:cs="Arial" w:eastAsia="Arial" w:hAnsi="Arial"/>
                <w:sz w:val="18"/>
                <w:szCs w:val="18"/>
                <w:color w:val="auto"/>
              </w:rPr>
              <w:t>Foreign income taxes</w:t>
            </w:r>
          </w:p>
        </w:tc>
        <w:tc>
          <w:tcPr>
            <w:tcW w:w="1220" w:type="dxa"/>
            <w:vAlign w:val="bottom"/>
          </w:tcPr>
          <w:p>
            <w:pPr>
              <w:jc w:val="right"/>
              <w:ind w:right="270"/>
              <w:spacing w:after="0"/>
              <w:rPr>
                <w:sz w:val="20"/>
                <w:szCs w:val="20"/>
                <w:color w:val="auto"/>
              </w:rPr>
            </w:pPr>
            <w:r>
              <w:rPr>
                <w:rFonts w:ascii="Arial" w:cs="Arial" w:eastAsia="Arial" w:hAnsi="Arial"/>
                <w:sz w:val="18"/>
                <w:szCs w:val="18"/>
                <w:color w:val="auto"/>
              </w:rPr>
              <w:t>(1 )</w:t>
            </w:r>
          </w:p>
        </w:tc>
        <w:tc>
          <w:tcPr>
            <w:tcW w:w="1220" w:type="dxa"/>
            <w:vAlign w:val="bottom"/>
          </w:tcPr>
          <w:p>
            <w:pPr>
              <w:jc w:val="right"/>
              <w:ind w:right="270"/>
              <w:spacing w:after="0"/>
              <w:rPr>
                <w:sz w:val="20"/>
                <w:szCs w:val="20"/>
                <w:color w:val="auto"/>
              </w:rPr>
            </w:pPr>
            <w:r>
              <w:rPr>
                <w:rFonts w:ascii="Arial" w:cs="Arial" w:eastAsia="Arial" w:hAnsi="Arial"/>
                <w:sz w:val="18"/>
                <w:szCs w:val="18"/>
                <w:color w:val="auto"/>
              </w:rPr>
              <w:t>(1 )</w:t>
            </w: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(3 )</w:t>
            </w:r>
          </w:p>
        </w:tc>
      </w:tr>
      <w:tr>
        <w:trPr>
          <w:trHeight w:val="243"/>
        </w:trPr>
        <w:tc>
          <w:tcPr>
            <w:tcW w:w="5040" w:type="dxa"/>
            <w:vAlign w:val="bottom"/>
          </w:tcPr>
          <w:p>
            <w:pPr>
              <w:spacing w:after="0"/>
              <w:rPr>
                <w:sz w:val="20"/>
                <w:szCs w:val="20"/>
                <w:color w:val="auto"/>
              </w:rPr>
            </w:pPr>
            <w:r>
              <w:rPr>
                <w:rFonts w:ascii="Arial" w:cs="Arial" w:eastAsia="Arial" w:hAnsi="Arial"/>
                <w:sz w:val="18"/>
                <w:szCs w:val="18"/>
                <w:color w:val="auto"/>
              </w:rPr>
              <w:t>Resolution of Internal Revenue Service audits</w:t>
            </w:r>
          </w:p>
        </w:tc>
        <w:tc>
          <w:tcPr>
            <w:tcW w:w="122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270"/>
              <w:spacing w:after="0"/>
              <w:rPr>
                <w:sz w:val="20"/>
                <w:szCs w:val="20"/>
                <w:color w:val="auto"/>
              </w:rPr>
            </w:pPr>
            <w:r>
              <w:rPr>
                <w:rFonts w:ascii="Arial" w:cs="Arial" w:eastAsia="Arial" w:hAnsi="Arial"/>
                <w:sz w:val="18"/>
                <w:szCs w:val="18"/>
                <w:color w:val="auto"/>
              </w:rPr>
              <w:t>(1 )</w:t>
            </w: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(8 )</w:t>
            </w:r>
          </w:p>
        </w:tc>
      </w:tr>
      <w:tr>
        <w:trPr>
          <w:trHeight w:val="243"/>
        </w:trPr>
        <w:tc>
          <w:tcPr>
            <w:tcW w:w="5040" w:type="dxa"/>
            <w:vAlign w:val="bottom"/>
          </w:tcPr>
          <w:p>
            <w:pPr>
              <w:spacing w:after="0"/>
              <w:rPr>
                <w:sz w:val="20"/>
                <w:szCs w:val="20"/>
                <w:color w:val="auto"/>
              </w:rPr>
            </w:pPr>
            <w:r>
              <w:rPr>
                <w:rFonts w:ascii="Arial" w:cs="Arial" w:eastAsia="Arial" w:hAnsi="Arial"/>
                <w:sz w:val="18"/>
                <w:szCs w:val="18"/>
                <w:color w:val="auto"/>
              </w:rPr>
              <w:t>Reduction of prior period state income tax accruals,</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29"/>
        </w:trPr>
        <w:tc>
          <w:tcPr>
            <w:tcW w:w="5040" w:type="dxa"/>
            <w:vAlign w:val="bottom"/>
          </w:tcPr>
          <w:p>
            <w:pPr>
              <w:spacing w:after="0"/>
              <w:rPr>
                <w:sz w:val="20"/>
                <w:szCs w:val="20"/>
                <w:color w:val="auto"/>
              </w:rPr>
            </w:pPr>
            <w:r>
              <w:rPr>
                <w:rFonts w:ascii="Arial" w:cs="Arial" w:eastAsia="Arial" w:hAnsi="Arial"/>
                <w:sz w:val="18"/>
                <w:szCs w:val="18"/>
                <w:color w:val="auto"/>
                <w:w w:val="96"/>
              </w:rPr>
              <w:t>Reduction of prior period state income tax accruals, net of federal</w:t>
            </w: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5040" w:type="dxa"/>
            <w:vAlign w:val="bottom"/>
          </w:tcPr>
          <w:p>
            <w:pPr>
              <w:ind w:left="120"/>
              <w:spacing w:after="0"/>
              <w:rPr>
                <w:sz w:val="20"/>
                <w:szCs w:val="20"/>
                <w:color w:val="auto"/>
              </w:rPr>
            </w:pPr>
            <w:r>
              <w:rPr>
                <w:rFonts w:ascii="Arial" w:cs="Arial" w:eastAsia="Arial" w:hAnsi="Arial"/>
                <w:sz w:val="18"/>
                <w:szCs w:val="18"/>
                <w:color w:val="auto"/>
              </w:rPr>
              <w:t>income tax effect</w:t>
            </w:r>
          </w:p>
        </w:tc>
        <w:tc>
          <w:tcPr>
            <w:tcW w:w="1220" w:type="dxa"/>
            <w:vAlign w:val="bottom"/>
          </w:tcPr>
          <w:p>
            <w:pPr>
              <w:jc w:val="right"/>
              <w:ind w:right="350"/>
              <w:spacing w:after="0"/>
              <w:rPr>
                <w:sz w:val="20"/>
                <w:szCs w:val="20"/>
                <w:color w:val="auto"/>
              </w:rPr>
            </w:pPr>
            <w:r>
              <w:rPr>
                <w:rFonts w:ascii="Arial" w:cs="Arial" w:eastAsia="Arial" w:hAnsi="Arial"/>
                <w:sz w:val="18"/>
                <w:szCs w:val="18"/>
                <w:color w:val="auto"/>
              </w:rPr>
              <w:t>1</w:t>
            </w:r>
          </w:p>
        </w:tc>
        <w:tc>
          <w:tcPr>
            <w:tcW w:w="1220" w:type="dxa"/>
            <w:vAlign w:val="bottom"/>
          </w:tcPr>
          <w:p>
            <w:pPr>
              <w:jc w:val="right"/>
              <w:ind w:right="270"/>
              <w:spacing w:after="0"/>
              <w:rPr>
                <w:sz w:val="20"/>
                <w:szCs w:val="20"/>
                <w:color w:val="auto"/>
              </w:rPr>
            </w:pPr>
            <w:r>
              <w:rPr>
                <w:rFonts w:ascii="Arial" w:cs="Arial" w:eastAsia="Arial" w:hAnsi="Arial"/>
                <w:sz w:val="18"/>
                <w:szCs w:val="18"/>
                <w:color w:val="auto"/>
              </w:rPr>
              <w:t>(1 )</w:t>
            </w: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(6 )</w:t>
            </w:r>
          </w:p>
        </w:tc>
      </w:tr>
      <w:tr>
        <w:trPr>
          <w:trHeight w:val="243"/>
        </w:trPr>
        <w:tc>
          <w:tcPr>
            <w:tcW w:w="5040" w:type="dxa"/>
            <w:vAlign w:val="bottom"/>
          </w:tcPr>
          <w:p>
            <w:pPr>
              <w:spacing w:after="0"/>
              <w:rPr>
                <w:sz w:val="20"/>
                <w:szCs w:val="20"/>
                <w:color w:val="auto"/>
              </w:rPr>
            </w:pPr>
            <w:r>
              <w:rPr>
                <w:rFonts w:ascii="Arial" w:cs="Arial" w:eastAsia="Arial" w:hAnsi="Arial"/>
                <w:sz w:val="18"/>
                <w:szCs w:val="18"/>
                <w:color w:val="auto"/>
              </w:rPr>
              <w:t>Utility repair allowance</w:t>
            </w:r>
          </w:p>
        </w:tc>
        <w:tc>
          <w:tcPr>
            <w:tcW w:w="1220" w:type="dxa"/>
            <w:vAlign w:val="bottom"/>
          </w:tcPr>
          <w:p>
            <w:pPr>
              <w:jc w:val="right"/>
              <w:ind w:right="270"/>
              <w:spacing w:after="0"/>
              <w:rPr>
                <w:sz w:val="20"/>
                <w:szCs w:val="20"/>
                <w:color w:val="auto"/>
              </w:rPr>
            </w:pPr>
            <w:r>
              <w:rPr>
                <w:rFonts w:ascii="Arial" w:cs="Arial" w:eastAsia="Arial" w:hAnsi="Arial"/>
                <w:sz w:val="18"/>
                <w:szCs w:val="18"/>
                <w:color w:val="auto"/>
              </w:rPr>
              <w:t>(1 )</w:t>
            </w:r>
          </w:p>
        </w:tc>
        <w:tc>
          <w:tcPr>
            <w:tcW w:w="1220" w:type="dxa"/>
            <w:vAlign w:val="bottom"/>
          </w:tcPr>
          <w:p>
            <w:pPr>
              <w:jc w:val="right"/>
              <w:ind w:right="270"/>
              <w:spacing w:after="0"/>
              <w:rPr>
                <w:sz w:val="20"/>
                <w:szCs w:val="20"/>
                <w:color w:val="auto"/>
              </w:rPr>
            </w:pPr>
            <w:r>
              <w:rPr>
                <w:rFonts w:ascii="Arial" w:cs="Arial" w:eastAsia="Arial" w:hAnsi="Arial"/>
                <w:sz w:val="18"/>
                <w:szCs w:val="18"/>
                <w:color w:val="auto"/>
              </w:rPr>
              <w:t>(1 )</w:t>
            </w: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(3 )</w:t>
            </w:r>
          </w:p>
        </w:tc>
      </w:tr>
      <w:tr>
        <w:trPr>
          <w:trHeight w:val="243"/>
        </w:trPr>
        <w:tc>
          <w:tcPr>
            <w:tcW w:w="5040" w:type="dxa"/>
            <w:vAlign w:val="bottom"/>
          </w:tcPr>
          <w:p>
            <w:pPr>
              <w:spacing w:after="0"/>
              <w:rPr>
                <w:sz w:val="20"/>
                <w:szCs w:val="20"/>
                <w:color w:val="auto"/>
              </w:rPr>
            </w:pPr>
            <w:r>
              <w:rPr>
                <w:rFonts w:ascii="Arial" w:cs="Arial" w:eastAsia="Arial" w:hAnsi="Arial"/>
                <w:sz w:val="18"/>
                <w:szCs w:val="18"/>
                <w:color w:val="auto"/>
              </w:rPr>
              <w:t>Adjustment to prior year estimated tax accruals</w:t>
            </w:r>
          </w:p>
        </w:tc>
        <w:tc>
          <w:tcPr>
            <w:tcW w:w="122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270"/>
              <w:spacing w:after="0"/>
              <w:rPr>
                <w:sz w:val="20"/>
                <w:szCs w:val="20"/>
                <w:color w:val="auto"/>
              </w:rPr>
            </w:pPr>
            <w:r>
              <w:rPr>
                <w:rFonts w:ascii="Arial" w:cs="Arial" w:eastAsia="Arial" w:hAnsi="Arial"/>
                <w:sz w:val="18"/>
                <w:szCs w:val="18"/>
                <w:color w:val="auto"/>
              </w:rPr>
              <w:t>(1 )</w:t>
            </w: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(2 )</w:t>
            </w:r>
          </w:p>
        </w:tc>
      </w:tr>
      <w:tr>
        <w:trPr>
          <w:trHeight w:val="257"/>
        </w:trPr>
        <w:tc>
          <w:tcPr>
            <w:tcW w:w="5040" w:type="dxa"/>
            <w:vAlign w:val="bottom"/>
          </w:tcPr>
          <w:p>
            <w:pPr>
              <w:spacing w:after="0"/>
              <w:rPr>
                <w:sz w:val="20"/>
                <w:szCs w:val="20"/>
                <w:color w:val="auto"/>
              </w:rPr>
            </w:pPr>
            <w:r>
              <w:rPr>
                <w:rFonts w:ascii="Arial" w:cs="Arial" w:eastAsia="Arial" w:hAnsi="Arial"/>
                <w:sz w:val="18"/>
                <w:szCs w:val="18"/>
                <w:color w:val="auto"/>
              </w:rPr>
              <w:t>Other, net</w:t>
            </w:r>
          </w:p>
        </w:tc>
        <w:tc>
          <w:tcPr>
            <w:tcW w:w="12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(3 )</w:t>
            </w:r>
          </w:p>
        </w:tc>
        <w:tc>
          <w:tcPr>
            <w:tcW w:w="12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1</w:t>
            </w: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(3 )</w:t>
            </w:r>
          </w:p>
        </w:tc>
      </w:tr>
      <w:tr>
        <w:trPr>
          <w:trHeight w:val="257"/>
        </w:trPr>
        <w:tc>
          <w:tcPr>
            <w:tcW w:w="50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Effective income tax rate</w:t>
            </w:r>
          </w:p>
        </w:tc>
        <w:tc>
          <w:tcPr>
            <w:tcW w:w="12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34 %</w:t>
            </w:r>
          </w:p>
        </w:tc>
        <w:tc>
          <w:tcPr>
            <w:tcW w:w="12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33 %</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4 %</w:t>
            </w:r>
          </w:p>
        </w:tc>
      </w:tr>
    </w:tbl>
    <w:p>
      <w:pPr>
        <w:spacing w:after="0" w:line="226"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The geographic components of Income from Continuing Operations Before Income Taxes and Equity in Earnings (Losses) of Certain Unconsolidated Subsidiaries are as follows:</w:t>
      </w:r>
    </w:p>
    <w:p>
      <w:pPr>
        <w:spacing w:after="0" w:line="247" w:lineRule="exact"/>
        <w:rPr>
          <w:sz w:val="20"/>
          <w:szCs w:val="20"/>
          <w:color w:val="auto"/>
        </w:rPr>
      </w:pPr>
    </w:p>
    <w:tbl>
      <w:tblPr>
        <w:tblLayout w:type="fixed"/>
        <w:tblInd w:w="1500" w:type="dxa"/>
        <w:tblCellMar>
          <w:top w:w="0" w:type="dxa"/>
          <w:left w:w="0" w:type="dxa"/>
          <w:bottom w:w="0" w:type="dxa"/>
          <w:right w:w="0" w:type="dxa"/>
        </w:tblCellMar>
      </w:tblPr>
      <w:tr>
        <w:trPr>
          <w:trHeight w:val="237"/>
        </w:trPr>
        <w:tc>
          <w:tcPr>
            <w:tcW w:w="50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4"/>
          </w:tcPr>
          <w:p>
            <w:pPr>
              <w:jc w:val="right"/>
              <w:ind w:right="550"/>
              <w:spacing w:after="0"/>
              <w:rPr>
                <w:sz w:val="20"/>
                <w:szCs w:val="20"/>
                <w:color w:val="auto"/>
              </w:rPr>
            </w:pPr>
            <w:r>
              <w:rPr>
                <w:rFonts w:ascii="Arial" w:cs="Arial" w:eastAsia="Arial" w:hAnsi="Arial"/>
                <w:sz w:val="18"/>
                <w:szCs w:val="18"/>
                <w:color w:val="auto"/>
                <w:w w:val="89"/>
              </w:rPr>
              <w:t>Years ended December 31,</w:t>
            </w:r>
          </w:p>
        </w:tc>
      </w:tr>
      <w:tr>
        <w:trPr>
          <w:trHeight w:val="237"/>
        </w:trPr>
        <w:tc>
          <w:tcPr>
            <w:tcW w:w="5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(Dollars in millions)</w:t>
            </w:r>
          </w:p>
        </w:tc>
        <w:tc>
          <w:tcPr>
            <w:tcW w:w="2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2007</w:t>
            </w:r>
          </w:p>
        </w:tc>
        <w:tc>
          <w:tcPr>
            <w:tcW w:w="5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2006</w:t>
            </w:r>
          </w:p>
        </w:tc>
        <w:tc>
          <w:tcPr>
            <w:tcW w:w="4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2005</w:t>
            </w: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Domestic</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1,282</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30"/>
              <w:spacing w:after="0"/>
              <w:rPr>
                <w:sz w:val="20"/>
                <w:szCs w:val="20"/>
                <w:color w:val="auto"/>
              </w:rPr>
            </w:pPr>
            <w:r>
              <w:rPr>
                <w:rFonts w:ascii="Arial" w:cs="Arial" w:eastAsia="Arial" w:hAnsi="Arial"/>
                <w:sz w:val="18"/>
                <w:szCs w:val="18"/>
                <w:color w:val="auto"/>
              </w:rPr>
              <w:t>1,682</w:t>
            </w: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30"/>
              <w:spacing w:after="0"/>
              <w:rPr>
                <w:sz w:val="20"/>
                <w:szCs w:val="20"/>
                <w:color w:val="auto"/>
              </w:rPr>
            </w:pPr>
            <w:r>
              <w:rPr>
                <w:rFonts w:ascii="Arial" w:cs="Arial" w:eastAsia="Arial" w:hAnsi="Arial"/>
                <w:sz w:val="18"/>
                <w:szCs w:val="18"/>
                <w:color w:val="auto"/>
              </w:rPr>
              <w:t>724</w:t>
            </w:r>
          </w:p>
        </w:tc>
      </w:tr>
      <w:tr>
        <w:trPr>
          <w:trHeight w:val="249"/>
        </w:trPr>
        <w:tc>
          <w:tcPr>
            <w:tcW w:w="5000" w:type="dxa"/>
            <w:vAlign w:val="bottom"/>
          </w:tcPr>
          <w:p>
            <w:pPr>
              <w:spacing w:after="0"/>
              <w:rPr>
                <w:sz w:val="20"/>
                <w:szCs w:val="20"/>
                <w:color w:val="auto"/>
              </w:rPr>
            </w:pPr>
            <w:r>
              <w:rPr>
                <w:rFonts w:ascii="Arial" w:cs="Arial" w:eastAsia="Arial" w:hAnsi="Arial"/>
                <w:sz w:val="18"/>
                <w:szCs w:val="18"/>
                <w:color w:val="auto"/>
              </w:rPr>
              <w:t>Foreign</w:t>
            </w:r>
          </w:p>
        </w:tc>
        <w:tc>
          <w:tcPr>
            <w:tcW w:w="2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w:t>
            </w:r>
          </w:p>
        </w:tc>
        <w:tc>
          <w:tcPr>
            <w:tcW w:w="5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232</w:t>
            </w:r>
          </w:p>
        </w:tc>
        <w:tc>
          <w:tcPr>
            <w:tcW w:w="4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168</w:t>
            </w:r>
          </w:p>
        </w:tc>
      </w:tr>
      <w:tr>
        <w:trPr>
          <w:trHeight w:val="264"/>
        </w:trPr>
        <w:tc>
          <w:tcPr>
            <w:tcW w:w="5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1,550</w:t>
            </w:r>
          </w:p>
        </w:tc>
        <w:tc>
          <w:tcPr>
            <w:tcW w:w="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1,914</w:t>
            </w:r>
          </w:p>
        </w:tc>
        <w:tc>
          <w:tcPr>
            <w:tcW w:w="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892</w:t>
            </w:r>
          </w:p>
        </w:tc>
      </w:tr>
    </w:tbl>
    <w:p>
      <w:pPr>
        <w:spacing w:after="0" w:line="226" w:lineRule="exact"/>
        <w:rPr>
          <w:sz w:val="20"/>
          <w:szCs w:val="20"/>
          <w:color w:val="auto"/>
        </w:rPr>
      </w:pPr>
    </w:p>
    <w:p>
      <w:pPr>
        <w:spacing w:after="0"/>
        <w:rPr>
          <w:sz w:val="20"/>
          <w:szCs w:val="20"/>
          <w:color w:val="auto"/>
        </w:rPr>
      </w:pPr>
      <w:r>
        <w:rPr>
          <w:rFonts w:ascii="Arial" w:cs="Arial" w:eastAsia="Arial" w:hAnsi="Arial"/>
          <w:sz w:val="20"/>
          <w:szCs w:val="20"/>
          <w:color w:val="auto"/>
        </w:rPr>
        <w:t>The components of income tax expense are as follows:</w:t>
      </w:r>
    </w:p>
    <w:p>
      <w:pPr>
        <w:spacing w:after="0" w:line="286" w:lineRule="exact"/>
        <w:rPr>
          <w:sz w:val="20"/>
          <w:szCs w:val="20"/>
          <w:color w:val="auto"/>
        </w:rPr>
      </w:pPr>
    </w:p>
    <w:tbl>
      <w:tblPr>
        <w:tblLayout w:type="fixed"/>
        <w:tblInd w:w="1460" w:type="dxa"/>
        <w:tblCellMar>
          <w:top w:w="0" w:type="dxa"/>
          <w:left w:w="0" w:type="dxa"/>
          <w:bottom w:w="0" w:type="dxa"/>
          <w:right w:w="0" w:type="dxa"/>
        </w:tblCellMar>
      </w:tblPr>
      <w:tr>
        <w:trPr>
          <w:trHeight w:val="237"/>
        </w:trPr>
        <w:tc>
          <w:tcPr>
            <w:tcW w:w="50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4"/>
          </w:tcPr>
          <w:p>
            <w:pPr>
              <w:jc w:val="right"/>
              <w:ind w:right="550"/>
              <w:spacing w:after="0"/>
              <w:rPr>
                <w:sz w:val="20"/>
                <w:szCs w:val="20"/>
                <w:color w:val="auto"/>
              </w:rPr>
            </w:pPr>
            <w:r>
              <w:rPr>
                <w:rFonts w:ascii="Arial" w:cs="Arial" w:eastAsia="Arial" w:hAnsi="Arial"/>
                <w:sz w:val="18"/>
                <w:szCs w:val="18"/>
                <w:color w:val="auto"/>
                <w:w w:val="87"/>
              </w:rPr>
              <w:t>Years ended December 31,</w:t>
            </w:r>
          </w:p>
        </w:tc>
      </w:tr>
      <w:tr>
        <w:trPr>
          <w:trHeight w:val="237"/>
        </w:trPr>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(Dollars in millions)</w:t>
            </w: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2007</w:t>
            </w:r>
          </w:p>
        </w:tc>
        <w:tc>
          <w:tcPr>
            <w:tcW w:w="5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2006</w:t>
            </w:r>
          </w:p>
        </w:tc>
        <w:tc>
          <w:tcPr>
            <w:tcW w:w="3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2005</w:t>
            </w:r>
          </w:p>
        </w:tc>
      </w:tr>
      <w:tr>
        <w:trPr>
          <w:trHeight w:val="230"/>
        </w:trPr>
        <w:tc>
          <w:tcPr>
            <w:tcW w:w="5040" w:type="dxa"/>
            <w:vAlign w:val="bottom"/>
          </w:tcPr>
          <w:p>
            <w:pPr>
              <w:ind w:left="20"/>
              <w:spacing w:after="0"/>
              <w:rPr>
                <w:sz w:val="20"/>
                <w:szCs w:val="20"/>
                <w:color w:val="auto"/>
              </w:rPr>
            </w:pPr>
            <w:r>
              <w:rPr>
                <w:rFonts w:ascii="Arial" w:cs="Arial" w:eastAsia="Arial" w:hAnsi="Arial"/>
                <w:sz w:val="18"/>
                <w:szCs w:val="18"/>
                <w:color w:val="auto"/>
              </w:rPr>
              <w:t>Current:</w:t>
            </w: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42"/>
        </w:trPr>
        <w:tc>
          <w:tcPr>
            <w:tcW w:w="5040" w:type="dxa"/>
            <w:vAlign w:val="bottom"/>
          </w:tcPr>
          <w:p>
            <w:pPr>
              <w:ind w:left="280"/>
              <w:spacing w:after="0"/>
              <w:rPr>
                <w:sz w:val="20"/>
                <w:szCs w:val="20"/>
                <w:color w:val="auto"/>
              </w:rPr>
            </w:pPr>
            <w:r>
              <w:rPr>
                <w:rFonts w:ascii="Arial" w:cs="Arial" w:eastAsia="Arial" w:hAnsi="Arial"/>
                <w:sz w:val="18"/>
                <w:szCs w:val="18"/>
                <w:color w:val="auto"/>
              </w:rPr>
              <w:t>Federal</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247</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70"/>
              <w:spacing w:after="0"/>
              <w:rPr>
                <w:sz w:val="20"/>
                <w:szCs w:val="20"/>
                <w:color w:val="auto"/>
              </w:rPr>
            </w:pPr>
            <w:r>
              <w:rPr>
                <w:rFonts w:ascii="Arial" w:cs="Arial" w:eastAsia="Arial" w:hAnsi="Arial"/>
                <w:sz w:val="18"/>
                <w:szCs w:val="18"/>
                <w:color w:val="auto"/>
              </w:rPr>
              <w:t>416</w:t>
            </w: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30"/>
              <w:spacing w:after="0"/>
              <w:rPr>
                <w:sz w:val="20"/>
                <w:szCs w:val="20"/>
                <w:color w:val="auto"/>
              </w:rPr>
            </w:pPr>
            <w:r>
              <w:rPr>
                <w:rFonts w:ascii="Arial" w:cs="Arial" w:eastAsia="Arial" w:hAnsi="Arial"/>
                <w:sz w:val="18"/>
                <w:szCs w:val="18"/>
                <w:color w:val="auto"/>
              </w:rPr>
              <w:t>312</w:t>
            </w: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State</w:t>
            </w:r>
          </w:p>
        </w:tc>
        <w:tc>
          <w:tcPr>
            <w:tcW w:w="20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77</w:t>
            </w:r>
          </w:p>
        </w:tc>
        <w:tc>
          <w:tcPr>
            <w:tcW w:w="520" w:type="dxa"/>
            <w:vAlign w:val="bottom"/>
          </w:tcPr>
          <w:p>
            <w:pPr>
              <w:spacing w:after="0"/>
              <w:rPr>
                <w:sz w:val="21"/>
                <w:szCs w:val="21"/>
                <w:color w:val="auto"/>
              </w:rPr>
            </w:pPr>
          </w:p>
        </w:tc>
        <w:tc>
          <w:tcPr>
            <w:tcW w:w="860" w:type="dxa"/>
            <w:vAlign w:val="bottom"/>
          </w:tcPr>
          <w:p>
            <w:pPr>
              <w:jc w:val="right"/>
              <w:ind w:right="170"/>
              <w:spacing w:after="0"/>
              <w:rPr>
                <w:sz w:val="20"/>
                <w:szCs w:val="20"/>
                <w:color w:val="auto"/>
              </w:rPr>
            </w:pPr>
            <w:r>
              <w:rPr>
                <w:rFonts w:ascii="Arial" w:cs="Arial" w:eastAsia="Arial" w:hAnsi="Arial"/>
                <w:sz w:val="18"/>
                <w:szCs w:val="18"/>
                <w:color w:val="auto"/>
              </w:rPr>
              <w:t>96</w:t>
            </w:r>
          </w:p>
        </w:tc>
        <w:tc>
          <w:tcPr>
            <w:tcW w:w="380" w:type="dxa"/>
            <w:vAlign w:val="bottom"/>
          </w:tcPr>
          <w:p>
            <w:pPr>
              <w:spacing w:after="0"/>
              <w:rPr>
                <w:sz w:val="21"/>
                <w:szCs w:val="21"/>
                <w:color w:val="auto"/>
              </w:rPr>
            </w:pPr>
          </w:p>
        </w:tc>
        <w:tc>
          <w:tcPr>
            <w:tcW w:w="820" w:type="dxa"/>
            <w:vAlign w:val="bottom"/>
          </w:tcPr>
          <w:p>
            <w:pPr>
              <w:jc w:val="right"/>
              <w:ind w:right="130"/>
              <w:spacing w:after="0"/>
              <w:rPr>
                <w:sz w:val="20"/>
                <w:szCs w:val="20"/>
                <w:color w:val="auto"/>
              </w:rPr>
            </w:pPr>
            <w:r>
              <w:rPr>
                <w:rFonts w:ascii="Arial" w:cs="Arial" w:eastAsia="Arial" w:hAnsi="Arial"/>
                <w:sz w:val="18"/>
                <w:szCs w:val="18"/>
                <w:color w:val="auto"/>
              </w:rPr>
              <w:t>11</w:t>
            </w:r>
          </w:p>
        </w:tc>
      </w:tr>
      <w:tr>
        <w:trPr>
          <w:trHeight w:val="250"/>
        </w:trPr>
        <w:tc>
          <w:tcPr>
            <w:tcW w:w="5040" w:type="dxa"/>
            <w:vAlign w:val="bottom"/>
          </w:tcPr>
          <w:p>
            <w:pPr>
              <w:ind w:left="280"/>
              <w:spacing w:after="0"/>
              <w:rPr>
                <w:sz w:val="20"/>
                <w:szCs w:val="20"/>
                <w:color w:val="auto"/>
              </w:rPr>
            </w:pPr>
            <w:r>
              <w:rPr>
                <w:rFonts w:ascii="Arial" w:cs="Arial" w:eastAsia="Arial" w:hAnsi="Arial"/>
                <w:sz w:val="18"/>
                <w:szCs w:val="18"/>
                <w:color w:val="auto"/>
              </w:rPr>
              <w:t>Foreign</w:t>
            </w:r>
          </w:p>
        </w:tc>
        <w:tc>
          <w:tcPr>
            <w:tcW w:w="2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51</w:t>
            </w:r>
          </w:p>
        </w:tc>
        <w:tc>
          <w:tcPr>
            <w:tcW w:w="5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52</w:t>
            </w:r>
          </w:p>
        </w:tc>
        <w:tc>
          <w:tcPr>
            <w:tcW w:w="3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9</w:t>
            </w:r>
          </w:p>
        </w:tc>
      </w:tr>
      <w:tr>
        <w:trPr>
          <w:trHeight w:val="237"/>
        </w:trPr>
        <w:tc>
          <w:tcPr>
            <w:tcW w:w="5040" w:type="dxa"/>
            <w:vAlign w:val="bottom"/>
          </w:tcPr>
          <w:p>
            <w:pPr>
              <w:ind w:left="46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375</w:t>
            </w:r>
          </w:p>
        </w:tc>
        <w:tc>
          <w:tcPr>
            <w:tcW w:w="5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564</w:t>
            </w:r>
          </w:p>
        </w:tc>
        <w:tc>
          <w:tcPr>
            <w:tcW w:w="3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332</w:t>
            </w:r>
          </w:p>
        </w:tc>
      </w:tr>
      <w:tr>
        <w:trPr>
          <w:trHeight w:val="230"/>
        </w:trPr>
        <w:tc>
          <w:tcPr>
            <w:tcW w:w="5040" w:type="dxa"/>
            <w:vAlign w:val="bottom"/>
          </w:tcPr>
          <w:p>
            <w:pPr>
              <w:ind w:left="20"/>
              <w:spacing w:after="0"/>
              <w:rPr>
                <w:sz w:val="20"/>
                <w:szCs w:val="20"/>
                <w:color w:val="auto"/>
              </w:rPr>
            </w:pPr>
            <w:r>
              <w:rPr>
                <w:rFonts w:ascii="Arial" w:cs="Arial" w:eastAsia="Arial" w:hAnsi="Arial"/>
                <w:sz w:val="18"/>
                <w:szCs w:val="18"/>
                <w:color w:val="auto"/>
              </w:rPr>
              <w:t>Deferred:</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Federal</w:t>
            </w:r>
          </w:p>
        </w:tc>
        <w:tc>
          <w:tcPr>
            <w:tcW w:w="20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124</w:t>
            </w:r>
          </w:p>
        </w:tc>
        <w:tc>
          <w:tcPr>
            <w:tcW w:w="520" w:type="dxa"/>
            <w:vAlign w:val="bottom"/>
          </w:tcPr>
          <w:p>
            <w:pPr>
              <w:spacing w:after="0"/>
              <w:rPr>
                <w:sz w:val="21"/>
                <w:szCs w:val="21"/>
                <w:color w:val="auto"/>
              </w:rPr>
            </w:pPr>
          </w:p>
        </w:tc>
        <w:tc>
          <w:tcPr>
            <w:tcW w:w="860" w:type="dxa"/>
            <w:vAlign w:val="bottom"/>
          </w:tcPr>
          <w:p>
            <w:pPr>
              <w:jc w:val="right"/>
              <w:ind w:right="170"/>
              <w:spacing w:after="0"/>
              <w:rPr>
                <w:sz w:val="20"/>
                <w:szCs w:val="20"/>
                <w:color w:val="auto"/>
              </w:rPr>
            </w:pPr>
            <w:r>
              <w:rPr>
                <w:rFonts w:ascii="Arial" w:cs="Arial" w:eastAsia="Arial" w:hAnsi="Arial"/>
                <w:sz w:val="18"/>
                <w:szCs w:val="18"/>
                <w:color w:val="auto"/>
              </w:rPr>
              <w:t>90</w:t>
            </w:r>
          </w:p>
        </w:tc>
        <w:tc>
          <w:tcPr>
            <w:tcW w:w="38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(208 )</w:t>
            </w: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State</w:t>
            </w: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(5 )</w:t>
            </w:r>
          </w:p>
        </w:tc>
        <w:tc>
          <w:tcPr>
            <w:tcW w:w="520" w:type="dxa"/>
            <w:vAlign w:val="bottom"/>
          </w:tcPr>
          <w:p>
            <w:pPr>
              <w:spacing w:after="0"/>
              <w:rPr>
                <w:sz w:val="21"/>
                <w:szCs w:val="21"/>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(36 )</w:t>
            </w:r>
          </w:p>
        </w:tc>
        <w:tc>
          <w:tcPr>
            <w:tcW w:w="38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(78 )</w:t>
            </w:r>
          </w:p>
        </w:tc>
      </w:tr>
      <w:tr>
        <w:trPr>
          <w:trHeight w:val="250"/>
        </w:trPr>
        <w:tc>
          <w:tcPr>
            <w:tcW w:w="5040" w:type="dxa"/>
            <w:vAlign w:val="bottom"/>
          </w:tcPr>
          <w:p>
            <w:pPr>
              <w:ind w:left="280"/>
              <w:spacing w:after="0"/>
              <w:rPr>
                <w:sz w:val="20"/>
                <w:szCs w:val="20"/>
                <w:color w:val="auto"/>
              </w:rPr>
            </w:pPr>
            <w:r>
              <w:rPr>
                <w:rFonts w:ascii="Arial" w:cs="Arial" w:eastAsia="Arial" w:hAnsi="Arial"/>
                <w:sz w:val="18"/>
                <w:szCs w:val="18"/>
                <w:color w:val="auto"/>
              </w:rPr>
              <w:t>Foreign</w:t>
            </w:r>
          </w:p>
        </w:tc>
        <w:tc>
          <w:tcPr>
            <w:tcW w:w="2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w:t>
            </w:r>
          </w:p>
        </w:tc>
        <w:tc>
          <w:tcPr>
            <w:tcW w:w="5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28</w:t>
            </w:r>
          </w:p>
        </w:tc>
        <w:tc>
          <w:tcPr>
            <w:tcW w:w="3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(6 )</w:t>
            </w:r>
          </w:p>
        </w:tc>
      </w:tr>
      <w:tr>
        <w:trPr>
          <w:trHeight w:val="237"/>
        </w:trPr>
        <w:tc>
          <w:tcPr>
            <w:tcW w:w="5040" w:type="dxa"/>
            <w:vAlign w:val="bottom"/>
          </w:tcPr>
          <w:p>
            <w:pPr>
              <w:ind w:left="46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155</w:t>
            </w:r>
          </w:p>
        </w:tc>
        <w:tc>
          <w:tcPr>
            <w:tcW w:w="5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82</w:t>
            </w:r>
          </w:p>
        </w:tc>
        <w:tc>
          <w:tcPr>
            <w:tcW w:w="3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(292 )</w:t>
            </w:r>
          </w:p>
        </w:tc>
      </w:tr>
      <w:tr>
        <w:trPr>
          <w:trHeight w:val="237"/>
        </w:trPr>
        <w:tc>
          <w:tcPr>
            <w:tcW w:w="5040" w:type="dxa"/>
            <w:vAlign w:val="bottom"/>
          </w:tcPr>
          <w:p>
            <w:pPr>
              <w:ind w:left="20"/>
              <w:spacing w:after="0"/>
              <w:rPr>
                <w:sz w:val="20"/>
                <w:szCs w:val="20"/>
                <w:color w:val="auto"/>
              </w:rPr>
            </w:pPr>
            <w:r>
              <w:rPr>
                <w:rFonts w:ascii="Arial" w:cs="Arial" w:eastAsia="Arial" w:hAnsi="Arial"/>
                <w:sz w:val="18"/>
                <w:szCs w:val="18"/>
                <w:color w:val="auto"/>
              </w:rPr>
              <w:t>Deferred investment tax credits</w:t>
            </w: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(6 )</w:t>
            </w:r>
          </w:p>
        </w:tc>
        <w:tc>
          <w:tcPr>
            <w:tcW w:w="5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(5 )</w:t>
            </w:r>
          </w:p>
        </w:tc>
        <w:tc>
          <w:tcPr>
            <w:tcW w:w="3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(6 )</w:t>
            </w:r>
          </w:p>
        </w:tc>
      </w:tr>
      <w:tr>
        <w:trPr>
          <w:trHeight w:val="264"/>
        </w:trPr>
        <w:tc>
          <w:tcPr>
            <w:tcW w:w="504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Total income tax expense</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524</w:t>
            </w:r>
          </w:p>
        </w:tc>
        <w:tc>
          <w:tcPr>
            <w:tcW w:w="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641</w:t>
            </w:r>
          </w:p>
        </w:tc>
        <w:tc>
          <w:tcPr>
            <w:tcW w:w="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34</w:t>
            </w:r>
          </w:p>
        </w:tc>
      </w:tr>
    </w:tbl>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0"/>
          <w:szCs w:val="20"/>
          <w:color w:val="auto"/>
        </w:rPr>
        <w:t>81</w:t>
      </w:r>
    </w:p>
    <w:p>
      <w:pPr>
        <w:sectPr>
          <w:pgSz w:w="11900" w:h="16838" w:orient="portrait"/>
          <w:cols w:equalWidth="0" w:num="1">
            <w:col w:w="10580"/>
          </w:cols>
          <w:pgMar w:left="240" w:top="116" w:right="1079" w:bottom="1440" w:gutter="0" w:footer="0" w:header="0"/>
        </w:sectPr>
      </w:pPr>
    </w:p>
    <w:bookmarkStart w:id="149" w:name="page150"/>
    <w:bookmarkEnd w:id="149"/>
    <w:p>
      <w:pPr>
        <w:spacing w:after="0"/>
        <w:rPr>
          <w:sz w:val="20"/>
          <w:szCs w:val="20"/>
          <w:color w:val="auto"/>
        </w:rPr>
      </w:pPr>
      <w:r>
        <w:rPr>
          <w:rFonts w:ascii="Arial" w:cs="Arial" w:eastAsia="Arial" w:hAnsi="Arial"/>
          <w:sz w:val="20"/>
          <w:szCs w:val="20"/>
          <w:color w:val="auto"/>
        </w:rPr>
        <w:t>Accumulated deferred income taxes at December 31 relate to the following:</w:t>
      </w:r>
    </w:p>
    <w:p>
      <w:pPr>
        <w:spacing w:after="0" w:line="286" w:lineRule="exact"/>
        <w:rPr>
          <w:sz w:val="20"/>
          <w:szCs w:val="20"/>
          <w:color w:val="auto"/>
        </w:rPr>
      </w:pPr>
    </w:p>
    <w:tbl>
      <w:tblPr>
        <w:tblLayout w:type="fixed"/>
        <w:tblInd w:w="1540" w:type="dxa"/>
        <w:tblCellMar>
          <w:top w:w="0" w:type="dxa"/>
          <w:left w:w="0" w:type="dxa"/>
          <w:bottom w:w="0" w:type="dxa"/>
          <w:right w:w="0" w:type="dxa"/>
        </w:tblCellMar>
      </w:tblPr>
      <w:tr>
        <w:trPr>
          <w:trHeight w:val="237"/>
        </w:trPr>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(Dollars in millions)</w:t>
            </w: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2007</w:t>
            </w:r>
          </w:p>
        </w:tc>
        <w:tc>
          <w:tcPr>
            <w:tcW w:w="5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2006</w:t>
            </w:r>
          </w:p>
        </w:tc>
      </w:tr>
      <w:tr>
        <w:trPr>
          <w:trHeight w:val="230"/>
        </w:trPr>
        <w:tc>
          <w:tcPr>
            <w:tcW w:w="536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28"/>
        </w:trPr>
        <w:tc>
          <w:tcPr>
            <w:tcW w:w="5360" w:type="dxa"/>
            <w:vAlign w:val="bottom"/>
          </w:tcPr>
          <w:p>
            <w:pPr>
              <w:ind w:left="260"/>
              <w:spacing w:after="0"/>
              <w:rPr>
                <w:sz w:val="20"/>
                <w:szCs w:val="20"/>
                <w:color w:val="auto"/>
              </w:rPr>
            </w:pPr>
            <w:r>
              <w:rPr>
                <w:rFonts w:ascii="Arial" w:cs="Arial" w:eastAsia="Arial" w:hAnsi="Arial"/>
                <w:sz w:val="18"/>
                <w:szCs w:val="18"/>
                <w:color w:val="auto"/>
              </w:rPr>
              <w:t>Differences in financial and tax bases of depreciable and</w:t>
            </w: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5360" w:type="dxa"/>
            <w:vAlign w:val="bottom"/>
          </w:tcPr>
          <w:p>
            <w:pPr>
              <w:ind w:left="360"/>
              <w:spacing w:after="0"/>
              <w:rPr>
                <w:sz w:val="20"/>
                <w:szCs w:val="20"/>
                <w:color w:val="auto"/>
              </w:rPr>
            </w:pPr>
            <w:r>
              <w:rPr>
                <w:rFonts w:ascii="Arial" w:cs="Arial" w:eastAsia="Arial" w:hAnsi="Arial"/>
                <w:sz w:val="18"/>
                <w:szCs w:val="18"/>
                <w:color w:val="auto"/>
              </w:rPr>
              <w:t>amortizable assets</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10"/>
              <w:spacing w:after="0"/>
              <w:rPr>
                <w:sz w:val="20"/>
                <w:szCs w:val="20"/>
                <w:color w:val="auto"/>
              </w:rPr>
            </w:pPr>
            <w:r>
              <w:rPr>
                <w:rFonts w:ascii="Arial" w:cs="Arial" w:eastAsia="Arial" w:hAnsi="Arial"/>
                <w:sz w:val="18"/>
                <w:szCs w:val="18"/>
                <w:color w:val="auto"/>
              </w:rPr>
              <w:t>864</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831</w:t>
            </w:r>
          </w:p>
        </w:tc>
      </w:tr>
      <w:tr>
        <w:trPr>
          <w:trHeight w:val="243"/>
        </w:trPr>
        <w:tc>
          <w:tcPr>
            <w:tcW w:w="5360" w:type="dxa"/>
            <w:vAlign w:val="bottom"/>
          </w:tcPr>
          <w:p>
            <w:pPr>
              <w:ind w:left="260"/>
              <w:spacing w:after="0"/>
              <w:rPr>
                <w:sz w:val="20"/>
                <w:szCs w:val="20"/>
                <w:color w:val="auto"/>
              </w:rPr>
            </w:pPr>
            <w:r>
              <w:rPr>
                <w:rFonts w:ascii="Arial" w:cs="Arial" w:eastAsia="Arial" w:hAnsi="Arial"/>
                <w:sz w:val="18"/>
                <w:szCs w:val="18"/>
                <w:color w:val="auto"/>
              </w:rPr>
              <w:t>Regulatory balancing accounts</w:t>
            </w:r>
          </w:p>
        </w:tc>
        <w:tc>
          <w:tcPr>
            <w:tcW w:w="340" w:type="dxa"/>
            <w:vAlign w:val="bottom"/>
          </w:tcPr>
          <w:p>
            <w:pPr>
              <w:spacing w:after="0"/>
              <w:rPr>
                <w:sz w:val="21"/>
                <w:szCs w:val="21"/>
                <w:color w:val="auto"/>
              </w:rPr>
            </w:pPr>
          </w:p>
        </w:tc>
        <w:tc>
          <w:tcPr>
            <w:tcW w:w="1240" w:type="dxa"/>
            <w:vAlign w:val="bottom"/>
          </w:tcPr>
          <w:p>
            <w:pPr>
              <w:jc w:val="right"/>
              <w:ind w:right="310"/>
              <w:spacing w:after="0"/>
              <w:rPr>
                <w:sz w:val="20"/>
                <w:szCs w:val="20"/>
                <w:color w:val="auto"/>
              </w:rPr>
            </w:pPr>
            <w:r>
              <w:rPr>
                <w:rFonts w:ascii="Arial" w:cs="Arial" w:eastAsia="Arial" w:hAnsi="Arial"/>
                <w:sz w:val="18"/>
                <w:szCs w:val="18"/>
                <w:color w:val="auto"/>
              </w:rPr>
              <w:t>152</w:t>
            </w:r>
          </w:p>
        </w:tc>
        <w:tc>
          <w:tcPr>
            <w:tcW w:w="560" w:type="dxa"/>
            <w:vAlign w:val="bottom"/>
          </w:tcPr>
          <w:p>
            <w:pPr>
              <w:spacing w:after="0"/>
              <w:rPr>
                <w:sz w:val="21"/>
                <w:szCs w:val="21"/>
                <w:color w:val="auto"/>
              </w:rPr>
            </w:pP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269</w:t>
            </w:r>
          </w:p>
        </w:tc>
      </w:tr>
      <w:tr>
        <w:trPr>
          <w:trHeight w:val="243"/>
        </w:trPr>
        <w:tc>
          <w:tcPr>
            <w:tcW w:w="5360" w:type="dxa"/>
            <w:vAlign w:val="bottom"/>
          </w:tcPr>
          <w:p>
            <w:pPr>
              <w:ind w:left="260"/>
              <w:spacing w:after="0"/>
              <w:rPr>
                <w:sz w:val="20"/>
                <w:szCs w:val="20"/>
                <w:color w:val="auto"/>
              </w:rPr>
            </w:pPr>
            <w:r>
              <w:rPr>
                <w:rFonts w:ascii="Arial" w:cs="Arial" w:eastAsia="Arial" w:hAnsi="Arial"/>
                <w:sz w:val="18"/>
                <w:szCs w:val="18"/>
                <w:color w:val="auto"/>
              </w:rPr>
              <w:t>Unrealized revenue</w:t>
            </w:r>
          </w:p>
        </w:tc>
        <w:tc>
          <w:tcPr>
            <w:tcW w:w="340" w:type="dxa"/>
            <w:vAlign w:val="bottom"/>
          </w:tcPr>
          <w:p>
            <w:pPr>
              <w:spacing w:after="0"/>
              <w:rPr>
                <w:sz w:val="21"/>
                <w:szCs w:val="21"/>
                <w:color w:val="auto"/>
              </w:rPr>
            </w:pPr>
          </w:p>
        </w:tc>
        <w:tc>
          <w:tcPr>
            <w:tcW w:w="1240" w:type="dxa"/>
            <w:vAlign w:val="bottom"/>
          </w:tcPr>
          <w:p>
            <w:pPr>
              <w:jc w:val="right"/>
              <w:ind w:right="310"/>
              <w:spacing w:after="0"/>
              <w:rPr>
                <w:sz w:val="20"/>
                <w:szCs w:val="20"/>
                <w:color w:val="auto"/>
              </w:rPr>
            </w:pPr>
            <w:r>
              <w:rPr>
                <w:rFonts w:ascii="Arial" w:cs="Arial" w:eastAsia="Arial" w:hAnsi="Arial"/>
                <w:sz w:val="18"/>
                <w:szCs w:val="18"/>
                <w:color w:val="auto"/>
              </w:rPr>
              <w:t>63</w:t>
            </w:r>
          </w:p>
        </w:tc>
        <w:tc>
          <w:tcPr>
            <w:tcW w:w="560" w:type="dxa"/>
            <w:vAlign w:val="bottom"/>
          </w:tcPr>
          <w:p>
            <w:pPr>
              <w:spacing w:after="0"/>
              <w:rPr>
                <w:sz w:val="21"/>
                <w:szCs w:val="21"/>
                <w:color w:val="auto"/>
              </w:rPr>
            </w:pP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63</w:t>
            </w:r>
          </w:p>
        </w:tc>
      </w:tr>
      <w:tr>
        <w:trPr>
          <w:trHeight w:val="243"/>
        </w:trPr>
        <w:tc>
          <w:tcPr>
            <w:tcW w:w="5360" w:type="dxa"/>
            <w:vAlign w:val="bottom"/>
          </w:tcPr>
          <w:p>
            <w:pPr>
              <w:ind w:left="260"/>
              <w:spacing w:after="0"/>
              <w:rPr>
                <w:sz w:val="20"/>
                <w:szCs w:val="20"/>
                <w:color w:val="auto"/>
              </w:rPr>
            </w:pPr>
            <w:r>
              <w:rPr>
                <w:rFonts w:ascii="Arial" w:cs="Arial" w:eastAsia="Arial" w:hAnsi="Arial"/>
                <w:sz w:val="18"/>
                <w:szCs w:val="18"/>
                <w:color w:val="auto"/>
              </w:rPr>
              <w:t>Loss on reacquired debt</w:t>
            </w:r>
          </w:p>
        </w:tc>
        <w:tc>
          <w:tcPr>
            <w:tcW w:w="340" w:type="dxa"/>
            <w:vAlign w:val="bottom"/>
          </w:tcPr>
          <w:p>
            <w:pPr>
              <w:spacing w:after="0"/>
              <w:rPr>
                <w:sz w:val="21"/>
                <w:szCs w:val="21"/>
                <w:color w:val="auto"/>
              </w:rPr>
            </w:pPr>
          </w:p>
        </w:tc>
        <w:tc>
          <w:tcPr>
            <w:tcW w:w="1240" w:type="dxa"/>
            <w:vAlign w:val="bottom"/>
          </w:tcPr>
          <w:p>
            <w:pPr>
              <w:jc w:val="right"/>
              <w:ind w:right="310"/>
              <w:spacing w:after="0"/>
              <w:rPr>
                <w:sz w:val="20"/>
                <w:szCs w:val="20"/>
                <w:color w:val="auto"/>
              </w:rPr>
            </w:pPr>
            <w:r>
              <w:rPr>
                <w:rFonts w:ascii="Arial" w:cs="Arial" w:eastAsia="Arial" w:hAnsi="Arial"/>
                <w:sz w:val="18"/>
                <w:szCs w:val="18"/>
                <w:color w:val="auto"/>
              </w:rPr>
              <w:t>24</w:t>
            </w:r>
          </w:p>
        </w:tc>
        <w:tc>
          <w:tcPr>
            <w:tcW w:w="560" w:type="dxa"/>
            <w:vAlign w:val="bottom"/>
          </w:tcPr>
          <w:p>
            <w:pPr>
              <w:spacing w:after="0"/>
              <w:rPr>
                <w:sz w:val="21"/>
                <w:szCs w:val="21"/>
                <w:color w:val="auto"/>
              </w:rPr>
            </w:pP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26</w:t>
            </w:r>
          </w:p>
        </w:tc>
      </w:tr>
      <w:tr>
        <w:trPr>
          <w:trHeight w:val="243"/>
        </w:trPr>
        <w:tc>
          <w:tcPr>
            <w:tcW w:w="5360" w:type="dxa"/>
            <w:vAlign w:val="bottom"/>
          </w:tcPr>
          <w:p>
            <w:pPr>
              <w:ind w:left="260"/>
              <w:spacing w:after="0"/>
              <w:rPr>
                <w:sz w:val="20"/>
                <w:szCs w:val="20"/>
                <w:color w:val="auto"/>
              </w:rPr>
            </w:pPr>
            <w:r>
              <w:rPr>
                <w:rFonts w:ascii="Arial" w:cs="Arial" w:eastAsia="Arial" w:hAnsi="Arial"/>
                <w:sz w:val="18"/>
                <w:szCs w:val="18"/>
                <w:color w:val="auto"/>
              </w:rPr>
              <w:t>Property taxes</w:t>
            </w:r>
          </w:p>
        </w:tc>
        <w:tc>
          <w:tcPr>
            <w:tcW w:w="340" w:type="dxa"/>
            <w:vAlign w:val="bottom"/>
          </w:tcPr>
          <w:p>
            <w:pPr>
              <w:spacing w:after="0"/>
              <w:rPr>
                <w:sz w:val="21"/>
                <w:szCs w:val="21"/>
                <w:color w:val="auto"/>
              </w:rPr>
            </w:pPr>
          </w:p>
        </w:tc>
        <w:tc>
          <w:tcPr>
            <w:tcW w:w="1240" w:type="dxa"/>
            <w:vAlign w:val="bottom"/>
          </w:tcPr>
          <w:p>
            <w:pPr>
              <w:jc w:val="right"/>
              <w:ind w:right="310"/>
              <w:spacing w:after="0"/>
              <w:rPr>
                <w:sz w:val="20"/>
                <w:szCs w:val="20"/>
                <w:color w:val="auto"/>
              </w:rPr>
            </w:pPr>
            <w:r>
              <w:rPr>
                <w:rFonts w:ascii="Arial" w:cs="Arial" w:eastAsia="Arial" w:hAnsi="Arial"/>
                <w:sz w:val="18"/>
                <w:szCs w:val="18"/>
                <w:color w:val="auto"/>
              </w:rPr>
              <w:t>29</w:t>
            </w:r>
          </w:p>
        </w:tc>
        <w:tc>
          <w:tcPr>
            <w:tcW w:w="560" w:type="dxa"/>
            <w:vAlign w:val="bottom"/>
          </w:tcPr>
          <w:p>
            <w:pPr>
              <w:spacing w:after="0"/>
              <w:rPr>
                <w:sz w:val="21"/>
                <w:szCs w:val="21"/>
                <w:color w:val="auto"/>
              </w:rPr>
            </w:pP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27</w:t>
            </w:r>
          </w:p>
        </w:tc>
      </w:tr>
      <w:tr>
        <w:trPr>
          <w:trHeight w:val="257"/>
        </w:trPr>
        <w:tc>
          <w:tcPr>
            <w:tcW w:w="5360" w:type="dxa"/>
            <w:vAlign w:val="bottom"/>
          </w:tcPr>
          <w:p>
            <w:pPr>
              <w:ind w:left="26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32</w:t>
            </w:r>
          </w:p>
        </w:tc>
        <w:tc>
          <w:tcPr>
            <w:tcW w:w="5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17</w:t>
            </w:r>
          </w:p>
        </w:tc>
      </w:tr>
      <w:tr>
        <w:trPr>
          <w:trHeight w:val="237"/>
        </w:trPr>
        <w:tc>
          <w:tcPr>
            <w:tcW w:w="5360" w:type="dxa"/>
            <w:vAlign w:val="bottom"/>
          </w:tcPr>
          <w:p>
            <w:pPr>
              <w:ind w:left="520"/>
              <w:spacing w:after="0"/>
              <w:rPr>
                <w:sz w:val="20"/>
                <w:szCs w:val="20"/>
                <w:color w:val="auto"/>
              </w:rPr>
            </w:pPr>
            <w:r>
              <w:rPr>
                <w:rFonts w:ascii="Arial" w:cs="Arial" w:eastAsia="Arial" w:hAnsi="Arial"/>
                <w:sz w:val="18"/>
                <w:szCs w:val="18"/>
                <w:color w:val="auto"/>
              </w:rPr>
              <w:t>Total deferred tax liabilities</w:t>
            </w: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1,164</w:t>
            </w:r>
          </w:p>
        </w:tc>
        <w:tc>
          <w:tcPr>
            <w:tcW w:w="5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1,233</w:t>
            </w:r>
          </w:p>
        </w:tc>
      </w:tr>
      <w:tr>
        <w:trPr>
          <w:trHeight w:val="223"/>
        </w:trPr>
        <w:tc>
          <w:tcPr>
            <w:tcW w:w="5360" w:type="dxa"/>
            <w:vAlign w:val="bottom"/>
          </w:tcPr>
          <w:p>
            <w:pPr>
              <w:ind w:left="20"/>
              <w:spacing w:after="0"/>
              <w:rPr>
                <w:sz w:val="20"/>
                <w:szCs w:val="20"/>
                <w:color w:val="auto"/>
              </w:rPr>
            </w:pPr>
            <w:r>
              <w:rPr>
                <w:rFonts w:ascii="Arial" w:cs="Arial" w:eastAsia="Arial" w:hAnsi="Arial"/>
                <w:sz w:val="18"/>
                <w:szCs w:val="18"/>
                <w:color w:val="auto"/>
              </w:rPr>
              <w:t>Deferred tax assets:</w:t>
            </w: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43"/>
        </w:trPr>
        <w:tc>
          <w:tcPr>
            <w:tcW w:w="5360" w:type="dxa"/>
            <w:vAlign w:val="bottom"/>
          </w:tcPr>
          <w:p>
            <w:pPr>
              <w:ind w:left="260"/>
              <w:spacing w:after="0"/>
              <w:rPr>
                <w:sz w:val="20"/>
                <w:szCs w:val="20"/>
                <w:color w:val="auto"/>
              </w:rPr>
            </w:pPr>
            <w:r>
              <w:rPr>
                <w:rFonts w:ascii="Arial" w:cs="Arial" w:eastAsia="Arial" w:hAnsi="Arial"/>
                <w:sz w:val="18"/>
                <w:szCs w:val="18"/>
                <w:color w:val="auto"/>
              </w:rPr>
              <w:t>Credits from alternative minimum tax</w:t>
            </w:r>
          </w:p>
        </w:tc>
        <w:tc>
          <w:tcPr>
            <w:tcW w:w="340" w:type="dxa"/>
            <w:vAlign w:val="bottom"/>
          </w:tcPr>
          <w:p>
            <w:pPr>
              <w:spacing w:after="0"/>
              <w:rPr>
                <w:sz w:val="21"/>
                <w:szCs w:val="21"/>
                <w:color w:val="auto"/>
              </w:rPr>
            </w:pPr>
          </w:p>
        </w:tc>
        <w:tc>
          <w:tcPr>
            <w:tcW w:w="124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101</w:t>
            </w:r>
          </w:p>
        </w:tc>
      </w:tr>
      <w:tr>
        <w:trPr>
          <w:trHeight w:val="243"/>
        </w:trPr>
        <w:tc>
          <w:tcPr>
            <w:tcW w:w="5360" w:type="dxa"/>
            <w:vAlign w:val="bottom"/>
          </w:tcPr>
          <w:p>
            <w:pPr>
              <w:ind w:left="260"/>
              <w:spacing w:after="0"/>
              <w:rPr>
                <w:sz w:val="20"/>
                <w:szCs w:val="20"/>
                <w:color w:val="auto"/>
              </w:rPr>
            </w:pPr>
            <w:r>
              <w:rPr>
                <w:rFonts w:ascii="Arial" w:cs="Arial" w:eastAsia="Arial" w:hAnsi="Arial"/>
                <w:sz w:val="18"/>
                <w:szCs w:val="18"/>
                <w:color w:val="auto"/>
              </w:rPr>
              <w:t>Investment tax credits</w:t>
            </w:r>
          </w:p>
        </w:tc>
        <w:tc>
          <w:tcPr>
            <w:tcW w:w="340" w:type="dxa"/>
            <w:vAlign w:val="bottom"/>
          </w:tcPr>
          <w:p>
            <w:pPr>
              <w:spacing w:after="0"/>
              <w:rPr>
                <w:sz w:val="21"/>
                <w:szCs w:val="21"/>
                <w:color w:val="auto"/>
              </w:rPr>
            </w:pPr>
          </w:p>
        </w:tc>
        <w:tc>
          <w:tcPr>
            <w:tcW w:w="1240" w:type="dxa"/>
            <w:vAlign w:val="bottom"/>
          </w:tcPr>
          <w:p>
            <w:pPr>
              <w:jc w:val="right"/>
              <w:ind w:right="310"/>
              <w:spacing w:after="0"/>
              <w:rPr>
                <w:sz w:val="20"/>
                <w:szCs w:val="20"/>
                <w:color w:val="auto"/>
              </w:rPr>
            </w:pPr>
            <w:r>
              <w:rPr>
                <w:rFonts w:ascii="Arial" w:cs="Arial" w:eastAsia="Arial" w:hAnsi="Arial"/>
                <w:sz w:val="18"/>
                <w:szCs w:val="18"/>
                <w:color w:val="auto"/>
              </w:rPr>
              <w:t>42</w:t>
            </w:r>
          </w:p>
        </w:tc>
        <w:tc>
          <w:tcPr>
            <w:tcW w:w="560" w:type="dxa"/>
            <w:vAlign w:val="bottom"/>
          </w:tcPr>
          <w:p>
            <w:pPr>
              <w:spacing w:after="0"/>
              <w:rPr>
                <w:sz w:val="21"/>
                <w:szCs w:val="21"/>
                <w:color w:val="auto"/>
              </w:rPr>
            </w:pP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46</w:t>
            </w:r>
          </w:p>
        </w:tc>
      </w:tr>
      <w:tr>
        <w:trPr>
          <w:trHeight w:val="243"/>
        </w:trPr>
        <w:tc>
          <w:tcPr>
            <w:tcW w:w="5360" w:type="dxa"/>
            <w:vAlign w:val="bottom"/>
          </w:tcPr>
          <w:p>
            <w:pPr>
              <w:ind w:left="260"/>
              <w:spacing w:after="0"/>
              <w:rPr>
                <w:sz w:val="20"/>
                <w:szCs w:val="20"/>
                <w:color w:val="auto"/>
              </w:rPr>
            </w:pPr>
            <w:r>
              <w:rPr>
                <w:rFonts w:ascii="Arial" w:cs="Arial" w:eastAsia="Arial" w:hAnsi="Arial"/>
                <w:sz w:val="18"/>
                <w:szCs w:val="18"/>
                <w:color w:val="auto"/>
              </w:rPr>
              <w:t>Equity losses</w:t>
            </w:r>
          </w:p>
        </w:tc>
        <w:tc>
          <w:tcPr>
            <w:tcW w:w="340" w:type="dxa"/>
            <w:vAlign w:val="bottom"/>
          </w:tcPr>
          <w:p>
            <w:pPr>
              <w:spacing w:after="0"/>
              <w:rPr>
                <w:sz w:val="21"/>
                <w:szCs w:val="21"/>
                <w:color w:val="auto"/>
              </w:rPr>
            </w:pPr>
          </w:p>
        </w:tc>
        <w:tc>
          <w:tcPr>
            <w:tcW w:w="1240" w:type="dxa"/>
            <w:vAlign w:val="bottom"/>
          </w:tcPr>
          <w:p>
            <w:pPr>
              <w:jc w:val="right"/>
              <w:ind w:right="310"/>
              <w:spacing w:after="0"/>
              <w:rPr>
                <w:sz w:val="20"/>
                <w:szCs w:val="20"/>
                <w:color w:val="auto"/>
              </w:rPr>
            </w:pPr>
            <w:r>
              <w:rPr>
                <w:rFonts w:ascii="Arial" w:cs="Arial" w:eastAsia="Arial" w:hAnsi="Arial"/>
                <w:sz w:val="18"/>
                <w:szCs w:val="18"/>
                <w:color w:val="auto"/>
              </w:rPr>
              <w:t>34</w:t>
            </w:r>
          </w:p>
        </w:tc>
        <w:tc>
          <w:tcPr>
            <w:tcW w:w="560" w:type="dxa"/>
            <w:vAlign w:val="bottom"/>
          </w:tcPr>
          <w:p>
            <w:pPr>
              <w:spacing w:after="0"/>
              <w:rPr>
                <w:sz w:val="21"/>
                <w:szCs w:val="21"/>
                <w:color w:val="auto"/>
              </w:rPr>
            </w:pP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48</w:t>
            </w:r>
          </w:p>
        </w:tc>
      </w:tr>
      <w:tr>
        <w:trPr>
          <w:trHeight w:val="243"/>
        </w:trPr>
        <w:tc>
          <w:tcPr>
            <w:tcW w:w="5360" w:type="dxa"/>
            <w:vAlign w:val="bottom"/>
          </w:tcPr>
          <w:p>
            <w:pPr>
              <w:ind w:left="260"/>
              <w:spacing w:after="0"/>
              <w:rPr>
                <w:sz w:val="20"/>
                <w:szCs w:val="20"/>
                <w:color w:val="auto"/>
              </w:rPr>
            </w:pPr>
            <w:r>
              <w:rPr>
                <w:rFonts w:ascii="Arial" w:cs="Arial" w:eastAsia="Arial" w:hAnsi="Arial"/>
                <w:sz w:val="18"/>
                <w:szCs w:val="18"/>
                <w:color w:val="auto"/>
              </w:rPr>
              <w:t>Net operating losses of separate state and foreign entities</w:t>
            </w:r>
          </w:p>
        </w:tc>
        <w:tc>
          <w:tcPr>
            <w:tcW w:w="340" w:type="dxa"/>
            <w:vAlign w:val="bottom"/>
          </w:tcPr>
          <w:p>
            <w:pPr>
              <w:spacing w:after="0"/>
              <w:rPr>
                <w:sz w:val="21"/>
                <w:szCs w:val="21"/>
                <w:color w:val="auto"/>
              </w:rPr>
            </w:pPr>
          </w:p>
        </w:tc>
        <w:tc>
          <w:tcPr>
            <w:tcW w:w="1240" w:type="dxa"/>
            <w:vAlign w:val="bottom"/>
          </w:tcPr>
          <w:p>
            <w:pPr>
              <w:jc w:val="right"/>
              <w:ind w:right="310"/>
              <w:spacing w:after="0"/>
              <w:rPr>
                <w:sz w:val="20"/>
                <w:szCs w:val="20"/>
                <w:color w:val="auto"/>
              </w:rPr>
            </w:pPr>
            <w:r>
              <w:rPr>
                <w:rFonts w:ascii="Arial" w:cs="Arial" w:eastAsia="Arial" w:hAnsi="Arial"/>
                <w:sz w:val="18"/>
                <w:szCs w:val="18"/>
                <w:color w:val="auto"/>
              </w:rPr>
              <w:t>125</w:t>
            </w:r>
          </w:p>
        </w:tc>
        <w:tc>
          <w:tcPr>
            <w:tcW w:w="560" w:type="dxa"/>
            <w:vAlign w:val="bottom"/>
          </w:tcPr>
          <w:p>
            <w:pPr>
              <w:spacing w:after="0"/>
              <w:rPr>
                <w:sz w:val="21"/>
                <w:szCs w:val="21"/>
                <w:color w:val="auto"/>
              </w:rPr>
            </w:pP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95</w:t>
            </w:r>
          </w:p>
        </w:tc>
      </w:tr>
      <w:tr>
        <w:trPr>
          <w:trHeight w:val="243"/>
        </w:trPr>
        <w:tc>
          <w:tcPr>
            <w:tcW w:w="5360" w:type="dxa"/>
            <w:vAlign w:val="bottom"/>
          </w:tcPr>
          <w:p>
            <w:pPr>
              <w:ind w:left="260"/>
              <w:spacing w:after="0"/>
              <w:rPr>
                <w:sz w:val="20"/>
                <w:szCs w:val="20"/>
                <w:color w:val="auto"/>
              </w:rPr>
            </w:pPr>
            <w:r>
              <w:rPr>
                <w:rFonts w:ascii="Arial" w:cs="Arial" w:eastAsia="Arial" w:hAnsi="Arial"/>
                <w:sz w:val="18"/>
                <w:szCs w:val="18"/>
                <w:color w:val="auto"/>
              </w:rPr>
              <w:t>Compensation-related items</w:t>
            </w:r>
          </w:p>
        </w:tc>
        <w:tc>
          <w:tcPr>
            <w:tcW w:w="340" w:type="dxa"/>
            <w:vAlign w:val="bottom"/>
          </w:tcPr>
          <w:p>
            <w:pPr>
              <w:spacing w:after="0"/>
              <w:rPr>
                <w:sz w:val="21"/>
                <w:szCs w:val="21"/>
                <w:color w:val="auto"/>
              </w:rPr>
            </w:pPr>
          </w:p>
        </w:tc>
        <w:tc>
          <w:tcPr>
            <w:tcW w:w="1240" w:type="dxa"/>
            <w:vAlign w:val="bottom"/>
          </w:tcPr>
          <w:p>
            <w:pPr>
              <w:jc w:val="right"/>
              <w:ind w:right="310"/>
              <w:spacing w:after="0"/>
              <w:rPr>
                <w:sz w:val="20"/>
                <w:szCs w:val="20"/>
                <w:color w:val="auto"/>
              </w:rPr>
            </w:pPr>
            <w:r>
              <w:rPr>
                <w:rFonts w:ascii="Arial" w:cs="Arial" w:eastAsia="Arial" w:hAnsi="Arial"/>
                <w:sz w:val="18"/>
                <w:szCs w:val="18"/>
                <w:color w:val="auto"/>
              </w:rPr>
              <w:t>169</w:t>
            </w:r>
          </w:p>
        </w:tc>
        <w:tc>
          <w:tcPr>
            <w:tcW w:w="560" w:type="dxa"/>
            <w:vAlign w:val="bottom"/>
          </w:tcPr>
          <w:p>
            <w:pPr>
              <w:spacing w:after="0"/>
              <w:rPr>
                <w:sz w:val="21"/>
                <w:szCs w:val="21"/>
                <w:color w:val="auto"/>
              </w:rPr>
            </w:pP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165</w:t>
            </w:r>
          </w:p>
        </w:tc>
      </w:tr>
      <w:tr>
        <w:trPr>
          <w:trHeight w:val="243"/>
        </w:trPr>
        <w:tc>
          <w:tcPr>
            <w:tcW w:w="5360" w:type="dxa"/>
            <w:vAlign w:val="bottom"/>
          </w:tcPr>
          <w:p>
            <w:pPr>
              <w:ind w:left="260"/>
              <w:spacing w:after="0"/>
              <w:rPr>
                <w:sz w:val="20"/>
                <w:szCs w:val="20"/>
                <w:color w:val="auto"/>
              </w:rPr>
            </w:pPr>
            <w:r>
              <w:rPr>
                <w:rFonts w:ascii="Arial" w:cs="Arial" w:eastAsia="Arial" w:hAnsi="Arial"/>
                <w:sz w:val="18"/>
                <w:szCs w:val="18"/>
                <w:color w:val="auto"/>
              </w:rPr>
              <w:t>Postretirement benefits</w:t>
            </w:r>
          </w:p>
        </w:tc>
        <w:tc>
          <w:tcPr>
            <w:tcW w:w="340" w:type="dxa"/>
            <w:vAlign w:val="bottom"/>
          </w:tcPr>
          <w:p>
            <w:pPr>
              <w:spacing w:after="0"/>
              <w:rPr>
                <w:sz w:val="21"/>
                <w:szCs w:val="21"/>
                <w:color w:val="auto"/>
              </w:rPr>
            </w:pPr>
          </w:p>
        </w:tc>
        <w:tc>
          <w:tcPr>
            <w:tcW w:w="1240" w:type="dxa"/>
            <w:vAlign w:val="bottom"/>
          </w:tcPr>
          <w:p>
            <w:pPr>
              <w:jc w:val="right"/>
              <w:ind w:right="310"/>
              <w:spacing w:after="0"/>
              <w:rPr>
                <w:sz w:val="20"/>
                <w:szCs w:val="20"/>
                <w:color w:val="auto"/>
              </w:rPr>
            </w:pPr>
            <w:r>
              <w:rPr>
                <w:rFonts w:ascii="Arial" w:cs="Arial" w:eastAsia="Arial" w:hAnsi="Arial"/>
                <w:sz w:val="18"/>
                <w:szCs w:val="18"/>
                <w:color w:val="auto"/>
              </w:rPr>
              <w:t>148</w:t>
            </w:r>
          </w:p>
        </w:tc>
        <w:tc>
          <w:tcPr>
            <w:tcW w:w="560" w:type="dxa"/>
            <w:vAlign w:val="bottom"/>
          </w:tcPr>
          <w:p>
            <w:pPr>
              <w:spacing w:after="0"/>
              <w:rPr>
                <w:sz w:val="21"/>
                <w:szCs w:val="21"/>
                <w:color w:val="auto"/>
              </w:rPr>
            </w:pP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198</w:t>
            </w:r>
          </w:p>
        </w:tc>
      </w:tr>
      <w:tr>
        <w:trPr>
          <w:trHeight w:val="243"/>
        </w:trPr>
        <w:tc>
          <w:tcPr>
            <w:tcW w:w="5360" w:type="dxa"/>
            <w:vAlign w:val="bottom"/>
          </w:tcPr>
          <w:p>
            <w:pPr>
              <w:ind w:left="260"/>
              <w:spacing w:after="0"/>
              <w:rPr>
                <w:sz w:val="20"/>
                <w:szCs w:val="20"/>
                <w:color w:val="auto"/>
              </w:rPr>
            </w:pPr>
            <w:r>
              <w:rPr>
                <w:rFonts w:ascii="Arial" w:cs="Arial" w:eastAsia="Arial" w:hAnsi="Arial"/>
                <w:sz w:val="18"/>
                <w:szCs w:val="18"/>
                <w:color w:val="auto"/>
              </w:rPr>
              <w:t>Other deferred liabilities</w:t>
            </w:r>
          </w:p>
        </w:tc>
        <w:tc>
          <w:tcPr>
            <w:tcW w:w="340" w:type="dxa"/>
            <w:vAlign w:val="bottom"/>
          </w:tcPr>
          <w:p>
            <w:pPr>
              <w:spacing w:after="0"/>
              <w:rPr>
                <w:sz w:val="21"/>
                <w:szCs w:val="21"/>
                <w:color w:val="auto"/>
              </w:rPr>
            </w:pPr>
          </w:p>
        </w:tc>
        <w:tc>
          <w:tcPr>
            <w:tcW w:w="1240" w:type="dxa"/>
            <w:vAlign w:val="bottom"/>
          </w:tcPr>
          <w:p>
            <w:pPr>
              <w:jc w:val="right"/>
              <w:ind w:right="310"/>
              <w:spacing w:after="0"/>
              <w:rPr>
                <w:sz w:val="20"/>
                <w:szCs w:val="20"/>
                <w:color w:val="auto"/>
              </w:rPr>
            </w:pPr>
            <w:r>
              <w:rPr>
                <w:rFonts w:ascii="Arial" w:cs="Arial" w:eastAsia="Arial" w:hAnsi="Arial"/>
                <w:sz w:val="18"/>
                <w:szCs w:val="18"/>
                <w:color w:val="auto"/>
              </w:rPr>
              <w:t>34</w:t>
            </w:r>
          </w:p>
        </w:tc>
        <w:tc>
          <w:tcPr>
            <w:tcW w:w="560" w:type="dxa"/>
            <w:vAlign w:val="bottom"/>
          </w:tcPr>
          <w:p>
            <w:pPr>
              <w:spacing w:after="0"/>
              <w:rPr>
                <w:sz w:val="21"/>
                <w:szCs w:val="21"/>
                <w:color w:val="auto"/>
              </w:rPr>
            </w:pP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63</w:t>
            </w:r>
          </w:p>
        </w:tc>
      </w:tr>
      <w:tr>
        <w:trPr>
          <w:trHeight w:val="243"/>
        </w:trPr>
        <w:tc>
          <w:tcPr>
            <w:tcW w:w="5360" w:type="dxa"/>
            <w:vAlign w:val="bottom"/>
          </w:tcPr>
          <w:p>
            <w:pPr>
              <w:ind w:left="260"/>
              <w:spacing w:after="0"/>
              <w:rPr>
                <w:sz w:val="20"/>
                <w:szCs w:val="20"/>
                <w:color w:val="auto"/>
              </w:rPr>
            </w:pPr>
            <w:r>
              <w:rPr>
                <w:rFonts w:ascii="Arial" w:cs="Arial" w:eastAsia="Arial" w:hAnsi="Arial"/>
                <w:sz w:val="18"/>
                <w:szCs w:val="18"/>
                <w:color w:val="auto"/>
              </w:rPr>
              <w:t>State income taxes</w:t>
            </w:r>
          </w:p>
        </w:tc>
        <w:tc>
          <w:tcPr>
            <w:tcW w:w="340" w:type="dxa"/>
            <w:vAlign w:val="bottom"/>
          </w:tcPr>
          <w:p>
            <w:pPr>
              <w:spacing w:after="0"/>
              <w:rPr>
                <w:sz w:val="21"/>
                <w:szCs w:val="21"/>
                <w:color w:val="auto"/>
              </w:rPr>
            </w:pPr>
          </w:p>
        </w:tc>
        <w:tc>
          <w:tcPr>
            <w:tcW w:w="1240" w:type="dxa"/>
            <w:vAlign w:val="bottom"/>
          </w:tcPr>
          <w:p>
            <w:pPr>
              <w:jc w:val="right"/>
              <w:ind w:right="310"/>
              <w:spacing w:after="0"/>
              <w:rPr>
                <w:sz w:val="20"/>
                <w:szCs w:val="20"/>
                <w:color w:val="auto"/>
              </w:rPr>
            </w:pPr>
            <w:r>
              <w:rPr>
                <w:rFonts w:ascii="Arial" w:cs="Arial" w:eastAsia="Arial" w:hAnsi="Arial"/>
                <w:sz w:val="18"/>
                <w:szCs w:val="18"/>
                <w:color w:val="auto"/>
              </w:rPr>
              <w:t>34</w:t>
            </w:r>
          </w:p>
        </w:tc>
        <w:tc>
          <w:tcPr>
            <w:tcW w:w="560" w:type="dxa"/>
            <w:vAlign w:val="bottom"/>
          </w:tcPr>
          <w:p>
            <w:pPr>
              <w:spacing w:after="0"/>
              <w:rPr>
                <w:sz w:val="21"/>
                <w:szCs w:val="21"/>
                <w:color w:val="auto"/>
              </w:rPr>
            </w:pP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54</w:t>
            </w:r>
          </w:p>
        </w:tc>
      </w:tr>
      <w:tr>
        <w:trPr>
          <w:trHeight w:val="243"/>
        </w:trPr>
        <w:tc>
          <w:tcPr>
            <w:tcW w:w="5360" w:type="dxa"/>
            <w:vAlign w:val="bottom"/>
          </w:tcPr>
          <w:p>
            <w:pPr>
              <w:ind w:left="260"/>
              <w:spacing w:after="0"/>
              <w:rPr>
                <w:sz w:val="20"/>
                <w:szCs w:val="20"/>
                <w:color w:val="auto"/>
              </w:rPr>
            </w:pPr>
            <w:r>
              <w:rPr>
                <w:rFonts w:ascii="Arial" w:cs="Arial" w:eastAsia="Arial" w:hAnsi="Arial"/>
                <w:sz w:val="18"/>
                <w:szCs w:val="18"/>
                <w:color w:val="auto"/>
              </w:rPr>
              <w:t>Bad debt allowance</w:t>
            </w:r>
          </w:p>
        </w:tc>
        <w:tc>
          <w:tcPr>
            <w:tcW w:w="340" w:type="dxa"/>
            <w:vAlign w:val="bottom"/>
          </w:tcPr>
          <w:p>
            <w:pPr>
              <w:spacing w:after="0"/>
              <w:rPr>
                <w:sz w:val="21"/>
                <w:szCs w:val="21"/>
                <w:color w:val="auto"/>
              </w:rPr>
            </w:pPr>
          </w:p>
        </w:tc>
        <w:tc>
          <w:tcPr>
            <w:tcW w:w="1240" w:type="dxa"/>
            <w:vAlign w:val="bottom"/>
          </w:tcPr>
          <w:p>
            <w:pPr>
              <w:jc w:val="right"/>
              <w:ind w:right="310"/>
              <w:spacing w:after="0"/>
              <w:rPr>
                <w:sz w:val="20"/>
                <w:szCs w:val="20"/>
                <w:color w:val="auto"/>
              </w:rPr>
            </w:pPr>
            <w:r>
              <w:rPr>
                <w:rFonts w:ascii="Arial" w:cs="Arial" w:eastAsia="Arial" w:hAnsi="Arial"/>
                <w:sz w:val="18"/>
                <w:szCs w:val="18"/>
                <w:color w:val="auto"/>
              </w:rPr>
              <w:t>13</w:t>
            </w:r>
          </w:p>
        </w:tc>
        <w:tc>
          <w:tcPr>
            <w:tcW w:w="560" w:type="dxa"/>
            <w:vAlign w:val="bottom"/>
          </w:tcPr>
          <w:p>
            <w:pPr>
              <w:spacing w:after="0"/>
              <w:rPr>
                <w:sz w:val="21"/>
                <w:szCs w:val="21"/>
                <w:color w:val="auto"/>
              </w:rPr>
            </w:pP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18</w:t>
            </w:r>
          </w:p>
        </w:tc>
      </w:tr>
      <w:tr>
        <w:trPr>
          <w:trHeight w:val="257"/>
        </w:trPr>
        <w:tc>
          <w:tcPr>
            <w:tcW w:w="5360" w:type="dxa"/>
            <w:vAlign w:val="bottom"/>
          </w:tcPr>
          <w:p>
            <w:pPr>
              <w:ind w:left="260"/>
              <w:spacing w:after="0"/>
              <w:rPr>
                <w:sz w:val="20"/>
                <w:szCs w:val="20"/>
                <w:color w:val="auto"/>
              </w:rPr>
            </w:pPr>
            <w:r>
              <w:rPr>
                <w:rFonts w:ascii="Arial" w:cs="Arial" w:eastAsia="Arial" w:hAnsi="Arial"/>
                <w:sz w:val="18"/>
                <w:szCs w:val="18"/>
                <w:color w:val="auto"/>
              </w:rPr>
              <w:t>Litigation and other accruals not yet deductible</w:t>
            </w:r>
          </w:p>
        </w:tc>
        <w:tc>
          <w:tcPr>
            <w:tcW w:w="3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322</w:t>
            </w:r>
          </w:p>
        </w:tc>
        <w:tc>
          <w:tcPr>
            <w:tcW w:w="5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327</w:t>
            </w:r>
          </w:p>
        </w:tc>
      </w:tr>
      <w:tr>
        <w:trPr>
          <w:trHeight w:val="237"/>
        </w:trPr>
        <w:tc>
          <w:tcPr>
            <w:tcW w:w="5360" w:type="dxa"/>
            <w:vAlign w:val="bottom"/>
          </w:tcPr>
          <w:p>
            <w:pPr>
              <w:ind w:left="520"/>
              <w:spacing w:after="0"/>
              <w:rPr>
                <w:sz w:val="20"/>
                <w:szCs w:val="20"/>
                <w:color w:val="auto"/>
              </w:rPr>
            </w:pPr>
            <w:r>
              <w:rPr>
                <w:rFonts w:ascii="Arial" w:cs="Arial" w:eastAsia="Arial" w:hAnsi="Arial"/>
                <w:sz w:val="18"/>
                <w:szCs w:val="18"/>
                <w:color w:val="auto"/>
              </w:rPr>
              <w:t>Total deferred tax assets</w:t>
            </w: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921</w:t>
            </w:r>
          </w:p>
        </w:tc>
        <w:tc>
          <w:tcPr>
            <w:tcW w:w="5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1,115</w:t>
            </w:r>
          </w:p>
        </w:tc>
      </w:tr>
      <w:tr>
        <w:trPr>
          <w:trHeight w:val="224"/>
        </w:trPr>
        <w:tc>
          <w:tcPr>
            <w:tcW w:w="5360" w:type="dxa"/>
            <w:vAlign w:val="bottom"/>
          </w:tcPr>
          <w:p>
            <w:pPr>
              <w:ind w:left="20"/>
              <w:spacing w:after="0"/>
              <w:rPr>
                <w:sz w:val="20"/>
                <w:szCs w:val="20"/>
                <w:color w:val="auto"/>
              </w:rPr>
            </w:pPr>
            <w:r>
              <w:rPr>
                <w:rFonts w:ascii="Arial" w:cs="Arial" w:eastAsia="Arial" w:hAnsi="Arial"/>
                <w:sz w:val="18"/>
                <w:szCs w:val="18"/>
                <w:color w:val="auto"/>
              </w:rPr>
              <w:t>Net deferred income tax liability before valuation allowance</w:t>
            </w:r>
          </w:p>
        </w:tc>
        <w:tc>
          <w:tcPr>
            <w:tcW w:w="340" w:type="dxa"/>
            <w:vAlign w:val="bottom"/>
          </w:tcPr>
          <w:p>
            <w:pPr>
              <w:spacing w:after="0"/>
              <w:rPr>
                <w:sz w:val="19"/>
                <w:szCs w:val="19"/>
                <w:color w:val="auto"/>
              </w:rPr>
            </w:pPr>
          </w:p>
        </w:tc>
        <w:tc>
          <w:tcPr>
            <w:tcW w:w="1240" w:type="dxa"/>
            <w:vAlign w:val="bottom"/>
          </w:tcPr>
          <w:p>
            <w:pPr>
              <w:jc w:val="right"/>
              <w:ind w:right="310"/>
              <w:spacing w:after="0"/>
              <w:rPr>
                <w:sz w:val="20"/>
                <w:szCs w:val="20"/>
                <w:color w:val="auto"/>
              </w:rPr>
            </w:pPr>
            <w:r>
              <w:rPr>
                <w:rFonts w:ascii="Arial" w:cs="Arial" w:eastAsia="Arial" w:hAnsi="Arial"/>
                <w:sz w:val="18"/>
                <w:szCs w:val="18"/>
                <w:color w:val="auto"/>
              </w:rPr>
              <w:t>243</w:t>
            </w:r>
          </w:p>
        </w:tc>
        <w:tc>
          <w:tcPr>
            <w:tcW w:w="560" w:type="dxa"/>
            <w:vAlign w:val="bottom"/>
          </w:tcPr>
          <w:p>
            <w:pPr>
              <w:spacing w:after="0"/>
              <w:rPr>
                <w:sz w:val="19"/>
                <w:szCs w:val="19"/>
                <w:color w:val="auto"/>
              </w:rPr>
            </w:pP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118</w:t>
            </w:r>
          </w:p>
        </w:tc>
      </w:tr>
      <w:tr>
        <w:trPr>
          <w:trHeight w:val="256"/>
        </w:trPr>
        <w:tc>
          <w:tcPr>
            <w:tcW w:w="5360" w:type="dxa"/>
            <w:vAlign w:val="bottom"/>
          </w:tcPr>
          <w:p>
            <w:pPr>
              <w:ind w:left="20"/>
              <w:spacing w:after="0"/>
              <w:rPr>
                <w:sz w:val="20"/>
                <w:szCs w:val="20"/>
                <w:color w:val="auto"/>
              </w:rPr>
            </w:pPr>
            <w:r>
              <w:rPr>
                <w:rFonts w:ascii="Arial" w:cs="Arial" w:eastAsia="Arial" w:hAnsi="Arial"/>
                <w:sz w:val="18"/>
                <w:szCs w:val="18"/>
                <w:color w:val="auto"/>
              </w:rPr>
              <w:t>Valuation allowance</w:t>
            </w:r>
          </w:p>
        </w:tc>
        <w:tc>
          <w:tcPr>
            <w:tcW w:w="3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41</w:t>
            </w:r>
          </w:p>
        </w:tc>
        <w:tc>
          <w:tcPr>
            <w:tcW w:w="5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24</w:t>
            </w:r>
          </w:p>
        </w:tc>
      </w:tr>
      <w:tr>
        <w:trPr>
          <w:trHeight w:val="257"/>
        </w:trPr>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deferred income tax liability</w:t>
            </w: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284</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142</w:t>
            </w:r>
          </w:p>
        </w:tc>
      </w:tr>
    </w:tbl>
    <w:p>
      <w:pPr>
        <w:spacing w:after="0" w:line="226" w:lineRule="exact"/>
        <w:rPr>
          <w:sz w:val="20"/>
          <w:szCs w:val="20"/>
          <w:color w:val="auto"/>
        </w:rPr>
      </w:pPr>
    </w:p>
    <w:p>
      <w:pPr>
        <w:spacing w:after="0"/>
        <w:rPr>
          <w:sz w:val="20"/>
          <w:szCs w:val="20"/>
          <w:color w:val="auto"/>
        </w:rPr>
      </w:pPr>
      <w:r>
        <w:rPr>
          <w:rFonts w:ascii="Arial" w:cs="Arial" w:eastAsia="Arial" w:hAnsi="Arial"/>
          <w:sz w:val="20"/>
          <w:szCs w:val="20"/>
          <w:color w:val="auto"/>
        </w:rPr>
        <w:t>The net deferred income tax liability is recorded on the Consolidated Balance Sheets at December 31 as follows:</w:t>
      </w:r>
    </w:p>
    <w:p>
      <w:pPr>
        <w:spacing w:after="0" w:line="286" w:lineRule="exact"/>
        <w:rPr>
          <w:sz w:val="20"/>
          <w:szCs w:val="20"/>
          <w:color w:val="auto"/>
        </w:rPr>
      </w:pPr>
    </w:p>
    <w:tbl>
      <w:tblPr>
        <w:tblLayout w:type="fixed"/>
        <w:tblInd w:w="1580" w:type="dxa"/>
        <w:tblCellMar>
          <w:top w:w="0" w:type="dxa"/>
          <w:left w:w="0" w:type="dxa"/>
          <w:bottom w:w="0" w:type="dxa"/>
          <w:right w:w="0" w:type="dxa"/>
        </w:tblCellMar>
      </w:tblPr>
      <w:tr>
        <w:trPr>
          <w:trHeight w:val="237"/>
        </w:trPr>
        <w:tc>
          <w:tcPr>
            <w:tcW w:w="5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(Dollars in millions)</w:t>
            </w: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2007</w:t>
            </w:r>
          </w:p>
        </w:tc>
        <w:tc>
          <w:tcPr>
            <w:tcW w:w="5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2006</w:t>
            </w: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Current asset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70"/>
              <w:spacing w:after="0"/>
              <w:rPr>
                <w:sz w:val="20"/>
                <w:szCs w:val="20"/>
                <w:color w:val="auto"/>
              </w:rPr>
            </w:pPr>
            <w:r>
              <w:rPr>
                <w:rFonts w:ascii="Arial" w:cs="Arial" w:eastAsia="Arial" w:hAnsi="Arial"/>
                <w:sz w:val="18"/>
                <w:szCs w:val="18"/>
                <w:color w:val="auto"/>
              </w:rPr>
              <w:t>(247 )</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(270 )</w:t>
            </w:r>
          </w:p>
        </w:tc>
      </w:tr>
      <w:tr>
        <w:trPr>
          <w:trHeight w:val="249"/>
        </w:trPr>
        <w:tc>
          <w:tcPr>
            <w:tcW w:w="5580" w:type="dxa"/>
            <w:vAlign w:val="bottom"/>
          </w:tcPr>
          <w:p>
            <w:pPr>
              <w:spacing w:after="0"/>
              <w:rPr>
                <w:sz w:val="20"/>
                <w:szCs w:val="20"/>
                <w:color w:val="auto"/>
              </w:rPr>
            </w:pPr>
            <w:r>
              <w:rPr>
                <w:rFonts w:ascii="Arial" w:cs="Arial" w:eastAsia="Arial" w:hAnsi="Arial"/>
                <w:sz w:val="18"/>
                <w:szCs w:val="18"/>
                <w:color w:val="auto"/>
              </w:rPr>
              <w:t>Noncurrent liability</w:t>
            </w:r>
          </w:p>
        </w:tc>
        <w:tc>
          <w:tcPr>
            <w:tcW w:w="2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531</w:t>
            </w:r>
          </w:p>
        </w:tc>
        <w:tc>
          <w:tcPr>
            <w:tcW w:w="5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412</w:t>
            </w:r>
          </w:p>
        </w:tc>
      </w:tr>
      <w:tr>
        <w:trPr>
          <w:trHeight w:val="264"/>
        </w:trPr>
        <w:tc>
          <w:tcPr>
            <w:tcW w:w="5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284</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142</w:t>
            </w:r>
          </w:p>
        </w:tc>
      </w:tr>
    </w:tbl>
    <w:p>
      <w:pPr>
        <w:spacing w:after="0" w:line="226" w:lineRule="exact"/>
        <w:rPr>
          <w:sz w:val="20"/>
          <w:szCs w:val="20"/>
          <w:color w:val="auto"/>
        </w:rPr>
      </w:pPr>
    </w:p>
    <w:p>
      <w:pPr>
        <w:ind w:right="40"/>
        <w:spacing w:after="0" w:line="244" w:lineRule="auto"/>
        <w:rPr>
          <w:sz w:val="20"/>
          <w:szCs w:val="20"/>
          <w:color w:val="auto"/>
        </w:rPr>
      </w:pPr>
      <w:r>
        <w:rPr>
          <w:rFonts w:ascii="Arial" w:cs="Arial" w:eastAsia="Arial" w:hAnsi="Arial"/>
          <w:sz w:val="20"/>
          <w:szCs w:val="20"/>
          <w:color w:val="auto"/>
        </w:rPr>
        <w:t>At December 31, 2007, foreign subsidiaries had $251 million in unused net operating losses available to reduce future income taxes, primarily in Mexico and Canada. Significant amounts of these losses become unavailable to reduce future incomes taxes beginning in 2009. Financial statement benefits were recorded on all but $58 million of these losses, primarily by offsetting them against deferred tax liabilities with the same expiration pattern and country of jurisdiction. No benefits were recorded on the $58 million because they were incurred in jurisdictions where utilization is sufficiently in doubt.</w:t>
      </w:r>
    </w:p>
    <w:p>
      <w:pPr>
        <w:spacing w:after="0" w:line="222"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At December 31, 2007, the company had not provided for U.S. income taxes on $803 million of foreign subsidiaries' undistributed earnings, since they are expected to be reinvested indefinitely outside the United States. It is not possible to predict the amount of U.S. income taxes that might be payable if these earnings were eventually repatriated.</w:t>
      </w:r>
    </w:p>
    <w:p>
      <w:pPr>
        <w:spacing w:after="0" w:line="213" w:lineRule="exact"/>
        <w:rPr>
          <w:sz w:val="20"/>
          <w:szCs w:val="20"/>
          <w:color w:val="auto"/>
        </w:rPr>
      </w:pPr>
    </w:p>
    <w:p>
      <w:pPr>
        <w:ind w:right="160"/>
        <w:spacing w:after="0" w:line="260" w:lineRule="auto"/>
        <w:rPr>
          <w:sz w:val="20"/>
          <w:szCs w:val="20"/>
          <w:color w:val="auto"/>
        </w:rPr>
      </w:pPr>
      <w:r>
        <w:rPr>
          <w:rFonts w:ascii="Arial" w:cs="Arial" w:eastAsia="Arial" w:hAnsi="Arial"/>
          <w:sz w:val="20"/>
          <w:szCs w:val="20"/>
          <w:color w:val="auto"/>
        </w:rPr>
        <w:t>Sempra Commodities continued its operations related to synthetic fuels tax credits through 2007, the last year of the program. Credits of $32 million were recorded in 2007.</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The impact of the company’s adoption of FIN 48 is discussed in Note 2.</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0"/>
          <w:szCs w:val="20"/>
          <w:color w:val="auto"/>
        </w:rPr>
        <w:t>82</w:t>
      </w:r>
    </w:p>
    <w:p>
      <w:pPr>
        <w:sectPr>
          <w:pgSz w:w="11900" w:h="16838" w:orient="portrait"/>
          <w:cols w:equalWidth="0" w:num="1">
            <w:col w:w="11320"/>
          </w:cols>
          <w:pgMar w:left="240" w:top="366" w:right="339" w:bottom="1440" w:gutter="0" w:footer="0" w:header="0"/>
        </w:sectPr>
      </w:pPr>
    </w:p>
    <w:bookmarkStart w:id="150" w:name="page151"/>
    <w:bookmarkEnd w:id="150"/>
    <w:p>
      <w:pPr>
        <w:spacing w:after="0"/>
        <w:rPr>
          <w:sz w:val="20"/>
          <w:szCs w:val="20"/>
          <w:color w:val="auto"/>
        </w:rPr>
      </w:pPr>
      <w:r>
        <w:rPr>
          <w:rFonts w:ascii="Arial" w:cs="Arial" w:eastAsia="Arial" w:hAnsi="Arial"/>
          <w:sz w:val="20"/>
          <w:szCs w:val="20"/>
          <w:b w:val="1"/>
          <w:bCs w:val="1"/>
          <w:color w:val="auto"/>
        </w:rPr>
        <w:t>NOTE 9. EMPLOYEE BENEFIT PLANS</w:t>
      </w:r>
    </w:p>
    <w:p>
      <w:pPr>
        <w:spacing w:after="0" w:line="249" w:lineRule="exact"/>
        <w:rPr>
          <w:sz w:val="20"/>
          <w:szCs w:val="20"/>
          <w:color w:val="auto"/>
        </w:rPr>
      </w:pPr>
    </w:p>
    <w:p>
      <w:pPr>
        <w:ind w:right="40"/>
        <w:spacing w:after="0" w:line="276" w:lineRule="auto"/>
        <w:rPr>
          <w:sz w:val="20"/>
          <w:szCs w:val="20"/>
          <w:color w:val="auto"/>
        </w:rPr>
      </w:pPr>
      <w:r>
        <w:rPr>
          <w:rFonts w:ascii="Arial" w:cs="Arial" w:eastAsia="Arial" w:hAnsi="Arial"/>
          <w:sz w:val="18"/>
          <w:szCs w:val="18"/>
          <w:color w:val="auto"/>
        </w:rPr>
        <w:t xml:space="preserve">The company accounts for its employee benefit plans in accordance with SFAS 158, </w:t>
      </w:r>
      <w:r>
        <w:rPr>
          <w:rFonts w:ascii="Arial" w:cs="Arial" w:eastAsia="Arial" w:hAnsi="Arial"/>
          <w:sz w:val="18"/>
          <w:szCs w:val="18"/>
          <w:i w:val="1"/>
          <w:iCs w:val="1"/>
          <w:color w:val="auto"/>
        </w:rPr>
        <w:t>Employers' Accounting for Defined Benefit Pension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Other Postretirement Plans - an amendment of FASB Statements No. 87, 88, 106 and 132(R) </w:t>
      </w:r>
      <w:r>
        <w:rPr>
          <w:rFonts w:ascii="Arial" w:cs="Arial" w:eastAsia="Arial" w:hAnsi="Arial"/>
          <w:sz w:val="18"/>
          <w:szCs w:val="18"/>
          <w:color w:val="auto"/>
        </w:rPr>
        <w:t>(SFAS 158), which requires an employer to</w:t>
      </w:r>
      <w:r>
        <w:rPr>
          <w:rFonts w:ascii="Arial" w:cs="Arial" w:eastAsia="Arial" w:hAnsi="Arial"/>
          <w:sz w:val="18"/>
          <w:szCs w:val="18"/>
          <w:i w:val="1"/>
          <w:iCs w:val="1"/>
          <w:color w:val="auto"/>
        </w:rPr>
        <w:t xml:space="preserve"> </w:t>
      </w:r>
      <w:r>
        <w:rPr>
          <w:rFonts w:ascii="Arial" w:cs="Arial" w:eastAsia="Arial" w:hAnsi="Arial"/>
          <w:sz w:val="18"/>
          <w:szCs w:val="18"/>
          <w:color w:val="auto"/>
        </w:rPr>
        <w:t>recognize in its statement of financial position an asset for a plan's overfunded status or a liability for a plan's underfunded status, measure a plan's assets and its obligations that determine its funded status as of the end of the company's fiscal year (with limited exceptions), and recognize changes in the funded status of a defined benefit postretirement plan in the year in which the changes occur. Generally, those changes are reported in the company's comprehensive income and as a separate component of shareholders' equity.</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color w:val="auto"/>
        </w:rPr>
        <w:t>The information presented below covers the employee benefit plans of the company and its principal subsidiaries.</w:t>
      </w:r>
    </w:p>
    <w:p>
      <w:pPr>
        <w:spacing w:after="0" w:line="243" w:lineRule="exact"/>
        <w:rPr>
          <w:sz w:val="20"/>
          <w:szCs w:val="20"/>
          <w:color w:val="auto"/>
        </w:rPr>
      </w:pPr>
    </w:p>
    <w:p>
      <w:pPr>
        <w:ind w:right="200"/>
        <w:spacing w:after="0" w:line="260" w:lineRule="auto"/>
        <w:rPr>
          <w:sz w:val="20"/>
          <w:szCs w:val="20"/>
          <w:color w:val="auto"/>
        </w:rPr>
      </w:pPr>
      <w:r>
        <w:rPr>
          <w:rFonts w:ascii="Arial" w:cs="Arial" w:eastAsia="Arial" w:hAnsi="Arial"/>
          <w:sz w:val="20"/>
          <w:szCs w:val="20"/>
          <w:color w:val="auto"/>
        </w:rPr>
        <w:t>The company has funded and unfunded noncontributory defined benefit plans that together cover substantially all of its employees. The plans provide defined benefits based on years of service and either final average or career salary.</w:t>
      </w:r>
    </w:p>
    <w:p>
      <w:pPr>
        <w:spacing w:after="0" w:line="204" w:lineRule="exact"/>
        <w:rPr>
          <w:sz w:val="20"/>
          <w:szCs w:val="20"/>
          <w:color w:val="auto"/>
        </w:rPr>
      </w:pPr>
    </w:p>
    <w:p>
      <w:pPr>
        <w:jc w:val="both"/>
        <w:ind w:right="860"/>
        <w:spacing w:after="0" w:line="250" w:lineRule="auto"/>
        <w:rPr>
          <w:sz w:val="20"/>
          <w:szCs w:val="20"/>
          <w:color w:val="auto"/>
        </w:rPr>
      </w:pPr>
      <w:r>
        <w:rPr>
          <w:rFonts w:ascii="Arial" w:cs="Arial" w:eastAsia="Arial" w:hAnsi="Arial"/>
          <w:sz w:val="20"/>
          <w:szCs w:val="20"/>
          <w:color w:val="auto"/>
        </w:rPr>
        <w:t>The company also has other postretirement benefit plans covering substantially all of its employees. The life insurance plans are both contributory and noncontributory, and the health care plans are contributory, with participants' contributions adjusted annually. Other postretirement benefits include medical benefits for retirees' spouses.</w:t>
      </w:r>
    </w:p>
    <w:p>
      <w:pPr>
        <w:spacing w:after="0" w:line="213" w:lineRule="exact"/>
        <w:rPr>
          <w:sz w:val="20"/>
          <w:szCs w:val="20"/>
          <w:color w:val="auto"/>
        </w:rPr>
      </w:pPr>
    </w:p>
    <w:p>
      <w:pPr>
        <w:ind w:right="180"/>
        <w:spacing w:after="0" w:line="244" w:lineRule="auto"/>
        <w:rPr>
          <w:sz w:val="20"/>
          <w:szCs w:val="20"/>
          <w:color w:val="auto"/>
        </w:rPr>
      </w:pPr>
      <w:r>
        <w:rPr>
          <w:rFonts w:ascii="Arial" w:cs="Arial" w:eastAsia="Arial" w:hAnsi="Arial"/>
          <w:sz w:val="20"/>
          <w:szCs w:val="20"/>
          <w:color w:val="auto"/>
        </w:rPr>
        <w:t>Pension and other postretirement benefits costs and obligations are dependent on assumptions used in calculating such amounts. These assumptions include discount rates, expected return on plan assets, rates of compensation increase, health-care cost trend rates, mortality rates and other factors. These assumptions are reviewed on an annual basis prior to the beginning of each year and updated when appropriate. The company considers current market conditions, including interest rates, in making these assumptions. The company uses a December 31 measurement date for all of its plans.</w:t>
      </w:r>
    </w:p>
    <w:p>
      <w:pPr>
        <w:spacing w:after="0" w:line="222" w:lineRule="exact"/>
        <w:rPr>
          <w:sz w:val="20"/>
          <w:szCs w:val="20"/>
          <w:color w:val="auto"/>
        </w:rPr>
      </w:pPr>
    </w:p>
    <w:p>
      <w:pPr>
        <w:ind w:right="380"/>
        <w:spacing w:after="0" w:line="386" w:lineRule="auto"/>
        <w:rPr>
          <w:sz w:val="20"/>
          <w:szCs w:val="20"/>
          <w:color w:val="auto"/>
        </w:rPr>
      </w:pPr>
      <w:r>
        <w:rPr>
          <w:rFonts w:ascii="Arial" w:cs="Arial" w:eastAsia="Arial" w:hAnsi="Arial"/>
          <w:sz w:val="16"/>
          <w:szCs w:val="16"/>
          <w:color w:val="auto"/>
        </w:rPr>
        <w:t>In support of its Supplemental Executive Retirement and Deferred Compensation Plans, the company maintains dedicated assets, including investments in life insurance contracts, which totaled $440 million and $379 million at December 31, 2007 and 2006, respectively.</w:t>
      </w:r>
    </w:p>
    <w:p>
      <w:pPr>
        <w:spacing w:after="0" w:line="110"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Effective July 1, 2008, SDG&amp;E’s other postretirement benefit plan will be amended to increase the health benefits for certain represented participants. This amendment resulted in a $3 million increase in the benefit obligation and unrecognized prior service costs as of December 31, 2007.</w:t>
      </w:r>
    </w:p>
    <w:p>
      <w:pPr>
        <w:spacing w:after="0" w:line="21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Effective January 1, 2008, the pension plans were amended to increase the death benefit for beneficiaries of vested non-represented participants that die prior to retirement. This amendment resulted in a $2 million increase in the benefit obligation and unrecognized prior service costs as of December 31, 2007.</w:t>
      </w:r>
    </w:p>
    <w:p>
      <w:pPr>
        <w:spacing w:after="0" w:line="213" w:lineRule="exact"/>
        <w:rPr>
          <w:sz w:val="20"/>
          <w:szCs w:val="20"/>
          <w:color w:val="auto"/>
        </w:rPr>
      </w:pPr>
    </w:p>
    <w:p>
      <w:pPr>
        <w:ind w:right="80"/>
        <w:spacing w:after="0" w:line="250" w:lineRule="auto"/>
        <w:rPr>
          <w:sz w:val="20"/>
          <w:szCs w:val="20"/>
          <w:color w:val="auto"/>
        </w:rPr>
      </w:pPr>
      <w:r>
        <w:rPr>
          <w:rFonts w:ascii="Arial" w:cs="Arial" w:eastAsia="Arial" w:hAnsi="Arial"/>
          <w:sz w:val="20"/>
          <w:szCs w:val="20"/>
          <w:color w:val="auto"/>
        </w:rPr>
        <w:t>Effective January 1, 2008, the company’s and SoCalGas’ other postretirement benefit plan was amended to provide a health benefit for both represented and non-represented participants that are surviving spouses over the age of 65. This amendment resulted in an $18 million increase in the benefit obligation and unrecognized prior service costs as of December 31, 2007.</w:t>
      </w:r>
    </w:p>
    <w:p>
      <w:pPr>
        <w:spacing w:after="0" w:line="213" w:lineRule="exact"/>
        <w:rPr>
          <w:sz w:val="20"/>
          <w:szCs w:val="20"/>
          <w:color w:val="auto"/>
        </w:rPr>
      </w:pPr>
    </w:p>
    <w:p>
      <w:pPr>
        <w:ind w:right="420"/>
        <w:spacing w:after="0" w:line="250" w:lineRule="auto"/>
        <w:rPr>
          <w:sz w:val="20"/>
          <w:szCs w:val="20"/>
          <w:color w:val="auto"/>
        </w:rPr>
      </w:pPr>
      <w:r>
        <w:rPr>
          <w:rFonts w:ascii="Arial" w:cs="Arial" w:eastAsia="Arial" w:hAnsi="Arial"/>
          <w:sz w:val="20"/>
          <w:szCs w:val="20"/>
          <w:color w:val="auto"/>
        </w:rPr>
        <w:t>Effective March 1, 2007, the pension plans for all employees, except the represented employees of SoCalGas, were amended to change the calculation of the benefit for certain participants. The affected participants are those who had an accrued benefit under the SoCalGas or SDG&amp;E pension plans at the</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color w:val="auto"/>
        </w:rPr>
        <w:t>83</w:t>
      </w:r>
    </w:p>
    <w:p>
      <w:pPr>
        <w:sectPr>
          <w:pgSz w:w="11900" w:h="16838" w:orient="portrait"/>
          <w:cols w:equalWidth="0" w:num="1">
            <w:col w:w="11420"/>
          </w:cols>
          <w:pgMar w:left="240" w:top="360" w:right="239" w:bottom="1440" w:gutter="0" w:footer="0" w:header="0"/>
        </w:sectPr>
      </w:pPr>
    </w:p>
    <w:bookmarkStart w:id="151" w:name="page152"/>
    <w:bookmarkEnd w:id="151"/>
    <w:p>
      <w:pPr>
        <w:ind w:right="40"/>
        <w:spacing w:after="0" w:line="276" w:lineRule="auto"/>
        <w:rPr>
          <w:sz w:val="20"/>
          <w:szCs w:val="20"/>
          <w:color w:val="auto"/>
        </w:rPr>
      </w:pPr>
      <w:r>
        <w:rPr>
          <w:rFonts w:ascii="Arial" w:cs="Arial" w:eastAsia="Arial" w:hAnsi="Arial"/>
          <w:sz w:val="18"/>
          <w:szCs w:val="18"/>
          <w:color w:val="auto"/>
        </w:rPr>
        <w:t>date the plans transitioned from a traditional defined benefit plan to a cash balance plan. The transition date was July 1, 1998 for SoCalGas and SDG&amp;E non-represented participants, and November 1, 1998 for SDG&amp;E represented participants. Before the amendment date, these participants received the greater of their accrued benefit in the cash balance plan or the present value of their benefit under the prior plan as of June 30, 2003. After the amendment date, they receive the greater of the accrued benefit under the cash balance plan, or the present value of their accrued benefit under the prior plan at June 30, 2003 plus the cash balance benefit accrued after that date. This amendment resulted in a $56 million increase in the company’s benefit obligation and in the unrecognized prior service cost at the end of 2006.</w:t>
      </w:r>
    </w:p>
    <w:p>
      <w:pPr>
        <w:spacing w:after="0" w:line="193" w:lineRule="exact"/>
        <w:rPr>
          <w:sz w:val="20"/>
          <w:szCs w:val="20"/>
          <w:color w:val="auto"/>
        </w:rPr>
      </w:pPr>
    </w:p>
    <w:p>
      <w:pPr>
        <w:ind w:right="120"/>
        <w:spacing w:after="0" w:line="244" w:lineRule="auto"/>
        <w:rPr>
          <w:sz w:val="20"/>
          <w:szCs w:val="20"/>
          <w:color w:val="auto"/>
        </w:rPr>
      </w:pPr>
      <w:r>
        <w:rPr>
          <w:rFonts w:ascii="Arial" w:cs="Arial" w:eastAsia="Arial" w:hAnsi="Arial"/>
          <w:sz w:val="20"/>
          <w:szCs w:val="20"/>
          <w:color w:val="auto"/>
        </w:rPr>
        <w:t>In the third quarter of 2006, the Pension Protection Act of 2006 was enacted. This act increases the funding requirements for qualified pension plans beginning in 2008. It also changes certain costs of providing pension benefits, including the interest rate for benefits paid as lump sums and the level of benefits that may be provided through qualified pension plans. The $73 million decrease in the company’s pension obligation due to the plan changes required by this legislation were recognized in the benefit obligation and in the unrecognized prior service cost at the end of 2006.</w:t>
      </w:r>
    </w:p>
    <w:p>
      <w:pPr>
        <w:spacing w:after="0" w:line="222"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Effective January 1, 2006, the pension plans for all employees, except the represented employees of SoCalGas, were amended to include deferred compensation, beginning January 1, 2006, in pension-eligible earnings. Also effective January 1, 2006, SoCalGas’ pension plan for non-represented employees was amended to change the early retirement requirements. The service requirement necessary to qualify for early retirement was changed from 15 years to 10 years for participants currently in or grandfathered back to SoCalGas’ prior pension plan as of June 30, 2003. These two changes resulted in a net $1 million increase in the company’s benefit obligation and in the unrecognized prior service cost at the end of 2006.</w:t>
      </w:r>
    </w:p>
    <w:p>
      <w:pPr>
        <w:spacing w:after="0" w:line="224" w:lineRule="exact"/>
        <w:rPr>
          <w:sz w:val="20"/>
          <w:szCs w:val="20"/>
          <w:color w:val="auto"/>
        </w:rPr>
      </w:pPr>
    </w:p>
    <w:p>
      <w:pPr>
        <w:ind w:right="20"/>
        <w:spacing w:after="0" w:line="250" w:lineRule="auto"/>
        <w:rPr>
          <w:sz w:val="20"/>
          <w:szCs w:val="20"/>
          <w:color w:val="auto"/>
        </w:rPr>
      </w:pPr>
      <w:r>
        <w:rPr>
          <w:rFonts w:ascii="Arial" w:cs="Arial" w:eastAsia="Arial" w:hAnsi="Arial"/>
          <w:sz w:val="20"/>
          <w:szCs w:val="20"/>
          <w:color w:val="auto"/>
        </w:rPr>
        <w:t>Effective January 1, 2006, the other postretirement benefit plans for represented and non-represented employees at SDG&amp;E and non-represented employees at SoCalGas were amended to integrate the benefits plan design across the Sempra Utilities, resulting in a net $6 million decrease in the benefit obligation as of December 31, 2005.</w:t>
      </w:r>
    </w:p>
    <w:p>
      <w:pPr>
        <w:spacing w:after="0" w:line="213" w:lineRule="exact"/>
        <w:rPr>
          <w:sz w:val="20"/>
          <w:szCs w:val="20"/>
          <w:color w:val="auto"/>
        </w:rPr>
      </w:pPr>
    </w:p>
    <w:p>
      <w:pPr>
        <w:ind w:right="660"/>
        <w:spacing w:after="0" w:line="260" w:lineRule="auto"/>
        <w:rPr>
          <w:sz w:val="20"/>
          <w:szCs w:val="20"/>
          <w:color w:val="auto"/>
        </w:rPr>
      </w:pPr>
      <w:r>
        <w:rPr>
          <w:rFonts w:ascii="Arial" w:cs="Arial" w:eastAsia="Arial" w:hAnsi="Arial"/>
          <w:sz w:val="20"/>
          <w:szCs w:val="20"/>
          <w:color w:val="auto"/>
        </w:rPr>
        <w:t>SoCalGas' pension plan was amended effective January 1, 2005, to increase the pension formula for service credit in excess of 30 years resulting in an increase in the pension benefit obligation of $3 million.</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color w:val="auto"/>
        </w:rPr>
        <w:t>84</w:t>
      </w:r>
    </w:p>
    <w:p>
      <w:pPr>
        <w:sectPr>
          <w:pgSz w:w="11900" w:h="16838" w:orient="portrait"/>
          <w:cols w:equalWidth="0" w:num="1">
            <w:col w:w="11400"/>
          </w:cols>
          <w:pgMar w:left="240" w:top="121" w:right="259" w:bottom="1440" w:gutter="0" w:footer="0" w:header="0"/>
        </w:sectPr>
      </w:pPr>
    </w:p>
    <w:bookmarkStart w:id="152" w:name="page153"/>
    <w:bookmarkEnd w:id="152"/>
    <w:p>
      <w:pPr>
        <w:ind w:right="300"/>
        <w:spacing w:after="0" w:line="261" w:lineRule="auto"/>
        <w:rPr>
          <w:sz w:val="20"/>
          <w:szCs w:val="20"/>
          <w:color w:val="auto"/>
        </w:rPr>
      </w:pPr>
      <w:r>
        <w:rPr>
          <w:rFonts w:ascii="Arial" w:cs="Arial" w:eastAsia="Arial" w:hAnsi="Arial"/>
          <w:sz w:val="20"/>
          <w:szCs w:val="20"/>
          <w:color w:val="auto"/>
        </w:rPr>
        <w:t>The following table provides a reconciliation of the changes in the plans' projected benefit obligations and the fair value of assets during the latest two years, and a statement of the funded status as of the latest two year ends:</w:t>
      </w:r>
    </w:p>
    <w:p>
      <w:pPr>
        <w:spacing w:after="0" w:line="246" w:lineRule="exact"/>
        <w:rPr>
          <w:sz w:val="20"/>
          <w:szCs w:val="20"/>
          <w:color w:val="auto"/>
        </w:rPr>
      </w:pPr>
    </w:p>
    <w:tbl>
      <w:tblPr>
        <w:tblLayout w:type="fixed"/>
        <w:tblInd w:w="1600" w:type="dxa"/>
        <w:tblCellMar>
          <w:top w:w="0" w:type="dxa"/>
          <w:left w:w="0" w:type="dxa"/>
          <w:bottom w:w="0" w:type="dxa"/>
          <w:right w:w="0" w:type="dxa"/>
        </w:tblCellMar>
      </w:tblPr>
      <w:tr>
        <w:trPr>
          <w:trHeight w:val="216"/>
        </w:trPr>
        <w:tc>
          <w:tcPr>
            <w:tcW w:w="4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center"/>
              <w:ind w:left="270"/>
              <w:spacing w:after="0"/>
              <w:rPr>
                <w:sz w:val="20"/>
                <w:szCs w:val="20"/>
                <w:color w:val="auto"/>
              </w:rPr>
            </w:pPr>
            <w:r>
              <w:rPr>
                <w:rFonts w:ascii="Arial" w:cs="Arial" w:eastAsia="Arial" w:hAnsi="Arial"/>
                <w:sz w:val="18"/>
                <w:szCs w:val="18"/>
                <w:color w:val="auto"/>
                <w:w w:val="93"/>
              </w:rPr>
              <w:t>Other</w:t>
            </w:r>
          </w:p>
        </w:tc>
        <w:tc>
          <w:tcPr>
            <w:tcW w:w="740" w:type="dxa"/>
            <w:vAlign w:val="bottom"/>
          </w:tcPr>
          <w:p>
            <w:pPr>
              <w:spacing w:after="0"/>
              <w:rPr>
                <w:sz w:val="18"/>
                <w:szCs w:val="18"/>
                <w:color w:val="auto"/>
              </w:rPr>
            </w:pPr>
          </w:p>
        </w:tc>
      </w:tr>
      <w:tr>
        <w:trPr>
          <w:trHeight w:val="216"/>
        </w:trPr>
        <w:tc>
          <w:tcPr>
            <w:tcW w:w="4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0" w:type="dxa"/>
            <w:vAlign w:val="bottom"/>
            <w:gridSpan w:val="3"/>
          </w:tcPr>
          <w:p>
            <w:pPr>
              <w:jc w:val="center"/>
              <w:ind w:right="290"/>
              <w:spacing w:after="0"/>
              <w:rPr>
                <w:sz w:val="20"/>
                <w:szCs w:val="20"/>
                <w:color w:val="auto"/>
              </w:rPr>
            </w:pPr>
            <w:r>
              <w:rPr>
                <w:rFonts w:ascii="Arial" w:cs="Arial" w:eastAsia="Arial" w:hAnsi="Arial"/>
                <w:sz w:val="18"/>
                <w:szCs w:val="18"/>
                <w:color w:val="auto"/>
                <w:w w:val="90"/>
              </w:rPr>
              <w:t>Postretirement</w:t>
            </w:r>
          </w:p>
        </w:tc>
      </w:tr>
      <w:tr>
        <w:trPr>
          <w:trHeight w:val="237"/>
        </w:trPr>
        <w:tc>
          <w:tcPr>
            <w:tcW w:w="4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rPr>
              <w:t>Pension Benefits</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jc w:val="center"/>
              <w:ind w:left="250"/>
              <w:spacing w:after="0"/>
              <w:rPr>
                <w:sz w:val="20"/>
                <w:szCs w:val="20"/>
                <w:color w:val="auto"/>
              </w:rPr>
            </w:pPr>
            <w:r>
              <w:rPr>
                <w:rFonts w:ascii="Arial" w:cs="Arial" w:eastAsia="Arial" w:hAnsi="Arial"/>
                <w:sz w:val="18"/>
                <w:szCs w:val="18"/>
                <w:color w:val="auto"/>
                <w:w w:val="92"/>
              </w:rPr>
              <w:t>Benefits</w:t>
            </w:r>
          </w:p>
        </w:tc>
        <w:tc>
          <w:tcPr>
            <w:tcW w:w="740" w:type="dxa"/>
            <w:vAlign w:val="bottom"/>
            <w:tcBorders>
              <w:bottom w:val="single" w:sz="8" w:color="auto"/>
            </w:tcBorders>
          </w:tcPr>
          <w:p>
            <w:pPr>
              <w:spacing w:after="0"/>
              <w:rPr>
                <w:sz w:val="20"/>
                <w:szCs w:val="20"/>
                <w:color w:val="auto"/>
              </w:rPr>
            </w:pPr>
          </w:p>
        </w:tc>
      </w:tr>
      <w:tr>
        <w:trPr>
          <w:trHeight w:val="237"/>
        </w:trPr>
        <w:tc>
          <w:tcPr>
            <w:tcW w:w="4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(Dollars in millions)</w:t>
            </w: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2007</w:t>
            </w:r>
          </w:p>
        </w:tc>
        <w:tc>
          <w:tcPr>
            <w:tcW w:w="2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2006</w:t>
            </w:r>
          </w:p>
        </w:tc>
        <w:tc>
          <w:tcPr>
            <w:tcW w:w="3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2007</w:t>
            </w:r>
          </w:p>
        </w:tc>
        <w:tc>
          <w:tcPr>
            <w:tcW w:w="3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2006</w:t>
            </w:r>
          </w:p>
        </w:tc>
      </w:tr>
      <w:tr>
        <w:trPr>
          <w:trHeight w:val="230"/>
        </w:trPr>
        <w:tc>
          <w:tcPr>
            <w:tcW w:w="4140" w:type="dxa"/>
            <w:vAlign w:val="bottom"/>
          </w:tcPr>
          <w:p>
            <w:pPr>
              <w:ind w:left="20"/>
              <w:spacing w:after="0"/>
              <w:rPr>
                <w:sz w:val="20"/>
                <w:szCs w:val="20"/>
                <w:color w:val="auto"/>
              </w:rPr>
            </w:pPr>
            <w:r>
              <w:rPr>
                <w:rFonts w:ascii="Arial" w:cs="Arial" w:eastAsia="Arial" w:hAnsi="Arial"/>
                <w:sz w:val="18"/>
                <w:szCs w:val="18"/>
                <w:color w:val="auto"/>
                <w:w w:val="98"/>
              </w:rPr>
              <w:t>CHANGE IN PROJECTED BENEFIT OBLIGATION:</w:t>
            </w: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42"/>
        </w:trPr>
        <w:tc>
          <w:tcPr>
            <w:tcW w:w="4140" w:type="dxa"/>
            <w:vAlign w:val="bottom"/>
          </w:tcPr>
          <w:p>
            <w:pPr>
              <w:ind w:left="20"/>
              <w:spacing w:after="0"/>
              <w:rPr>
                <w:sz w:val="20"/>
                <w:szCs w:val="20"/>
                <w:color w:val="auto"/>
              </w:rPr>
            </w:pPr>
            <w:r>
              <w:rPr>
                <w:rFonts w:ascii="Arial" w:cs="Arial" w:eastAsia="Arial" w:hAnsi="Arial"/>
                <w:sz w:val="18"/>
                <w:szCs w:val="18"/>
                <w:color w:val="auto"/>
              </w:rPr>
              <w:t>Net obligation at January 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2,885</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2,843</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90"/>
              <w:spacing w:after="0"/>
              <w:rPr>
                <w:sz w:val="20"/>
                <w:szCs w:val="20"/>
                <w:color w:val="auto"/>
              </w:rPr>
            </w:pPr>
            <w:r>
              <w:rPr>
                <w:rFonts w:ascii="Arial" w:cs="Arial" w:eastAsia="Arial" w:hAnsi="Arial"/>
                <w:sz w:val="18"/>
                <w:szCs w:val="18"/>
                <w:color w:val="auto"/>
              </w:rPr>
              <w:t>952</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869</w:t>
            </w:r>
          </w:p>
        </w:tc>
      </w:tr>
      <w:tr>
        <w:trPr>
          <w:trHeight w:val="243"/>
        </w:trPr>
        <w:tc>
          <w:tcPr>
            <w:tcW w:w="4140" w:type="dxa"/>
            <w:vAlign w:val="bottom"/>
          </w:tcPr>
          <w:p>
            <w:pPr>
              <w:ind w:left="20"/>
              <w:spacing w:after="0"/>
              <w:rPr>
                <w:sz w:val="20"/>
                <w:szCs w:val="20"/>
                <w:color w:val="auto"/>
              </w:rPr>
            </w:pPr>
            <w:r>
              <w:rPr>
                <w:rFonts w:ascii="Arial" w:cs="Arial" w:eastAsia="Arial" w:hAnsi="Arial"/>
                <w:sz w:val="18"/>
                <w:szCs w:val="18"/>
                <w:color w:val="auto"/>
              </w:rPr>
              <w:t>Service cost</w:t>
            </w:r>
          </w:p>
        </w:tc>
        <w:tc>
          <w:tcPr>
            <w:tcW w:w="200" w:type="dxa"/>
            <w:vAlign w:val="bottom"/>
          </w:tcPr>
          <w:p>
            <w:pPr>
              <w:spacing w:after="0"/>
              <w:rPr>
                <w:sz w:val="21"/>
                <w:szCs w:val="21"/>
                <w:color w:val="auto"/>
              </w:rPr>
            </w:pP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76</w:t>
            </w:r>
          </w:p>
        </w:tc>
        <w:tc>
          <w:tcPr>
            <w:tcW w:w="260" w:type="dxa"/>
            <w:vAlign w:val="bottom"/>
          </w:tcPr>
          <w:p>
            <w:pPr>
              <w:spacing w:after="0"/>
              <w:rPr>
                <w:sz w:val="21"/>
                <w:szCs w:val="21"/>
                <w:color w:val="auto"/>
              </w:rPr>
            </w:pP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73</w:t>
            </w:r>
          </w:p>
        </w:tc>
        <w:tc>
          <w:tcPr>
            <w:tcW w:w="300" w:type="dxa"/>
            <w:vAlign w:val="bottom"/>
          </w:tcPr>
          <w:p>
            <w:pPr>
              <w:spacing w:after="0"/>
              <w:rPr>
                <w:sz w:val="21"/>
                <w:szCs w:val="21"/>
                <w:color w:val="auto"/>
              </w:rPr>
            </w:pPr>
          </w:p>
        </w:tc>
        <w:tc>
          <w:tcPr>
            <w:tcW w:w="760" w:type="dxa"/>
            <w:vAlign w:val="bottom"/>
          </w:tcPr>
          <w:p>
            <w:pPr>
              <w:jc w:val="right"/>
              <w:ind w:right="90"/>
              <w:spacing w:after="0"/>
              <w:rPr>
                <w:sz w:val="20"/>
                <w:szCs w:val="20"/>
                <w:color w:val="auto"/>
              </w:rPr>
            </w:pPr>
            <w:r>
              <w:rPr>
                <w:rFonts w:ascii="Arial" w:cs="Arial" w:eastAsia="Arial" w:hAnsi="Arial"/>
                <w:sz w:val="18"/>
                <w:szCs w:val="18"/>
                <w:color w:val="auto"/>
              </w:rPr>
              <w:t>26</w:t>
            </w:r>
          </w:p>
        </w:tc>
        <w:tc>
          <w:tcPr>
            <w:tcW w:w="300" w:type="dxa"/>
            <w:vAlign w:val="bottom"/>
          </w:tcPr>
          <w:p>
            <w:pPr>
              <w:spacing w:after="0"/>
              <w:rPr>
                <w:sz w:val="21"/>
                <w:szCs w:val="21"/>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24</w:t>
            </w:r>
          </w:p>
        </w:tc>
      </w:tr>
      <w:tr>
        <w:trPr>
          <w:trHeight w:val="243"/>
        </w:trPr>
        <w:tc>
          <w:tcPr>
            <w:tcW w:w="414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200" w:type="dxa"/>
            <w:vAlign w:val="bottom"/>
          </w:tcPr>
          <w:p>
            <w:pPr>
              <w:spacing w:after="0"/>
              <w:rPr>
                <w:sz w:val="21"/>
                <w:szCs w:val="21"/>
                <w:color w:val="auto"/>
              </w:rPr>
            </w:pP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164</w:t>
            </w:r>
          </w:p>
        </w:tc>
        <w:tc>
          <w:tcPr>
            <w:tcW w:w="260" w:type="dxa"/>
            <w:vAlign w:val="bottom"/>
          </w:tcPr>
          <w:p>
            <w:pPr>
              <w:spacing w:after="0"/>
              <w:rPr>
                <w:sz w:val="21"/>
                <w:szCs w:val="21"/>
                <w:color w:val="auto"/>
              </w:rPr>
            </w:pP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158</w:t>
            </w:r>
          </w:p>
        </w:tc>
        <w:tc>
          <w:tcPr>
            <w:tcW w:w="300" w:type="dxa"/>
            <w:vAlign w:val="bottom"/>
          </w:tcPr>
          <w:p>
            <w:pPr>
              <w:spacing w:after="0"/>
              <w:rPr>
                <w:sz w:val="21"/>
                <w:szCs w:val="21"/>
                <w:color w:val="auto"/>
              </w:rPr>
            </w:pPr>
          </w:p>
        </w:tc>
        <w:tc>
          <w:tcPr>
            <w:tcW w:w="760" w:type="dxa"/>
            <w:vAlign w:val="bottom"/>
          </w:tcPr>
          <w:p>
            <w:pPr>
              <w:jc w:val="right"/>
              <w:ind w:right="90"/>
              <w:spacing w:after="0"/>
              <w:rPr>
                <w:sz w:val="20"/>
                <w:szCs w:val="20"/>
                <w:color w:val="auto"/>
              </w:rPr>
            </w:pPr>
            <w:r>
              <w:rPr>
                <w:rFonts w:ascii="Arial" w:cs="Arial" w:eastAsia="Arial" w:hAnsi="Arial"/>
                <w:sz w:val="18"/>
                <w:szCs w:val="18"/>
                <w:color w:val="auto"/>
              </w:rPr>
              <w:t>54</w:t>
            </w:r>
          </w:p>
        </w:tc>
        <w:tc>
          <w:tcPr>
            <w:tcW w:w="300" w:type="dxa"/>
            <w:vAlign w:val="bottom"/>
          </w:tcPr>
          <w:p>
            <w:pPr>
              <w:spacing w:after="0"/>
              <w:rPr>
                <w:sz w:val="21"/>
                <w:szCs w:val="21"/>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45</w:t>
            </w:r>
          </w:p>
        </w:tc>
      </w:tr>
      <w:tr>
        <w:trPr>
          <w:trHeight w:val="243"/>
        </w:trPr>
        <w:tc>
          <w:tcPr>
            <w:tcW w:w="4140" w:type="dxa"/>
            <w:vAlign w:val="bottom"/>
          </w:tcPr>
          <w:p>
            <w:pPr>
              <w:ind w:left="20"/>
              <w:spacing w:after="0"/>
              <w:rPr>
                <w:sz w:val="20"/>
                <w:szCs w:val="20"/>
                <w:color w:val="auto"/>
              </w:rPr>
            </w:pPr>
            <w:r>
              <w:rPr>
                <w:rFonts w:ascii="Arial" w:cs="Arial" w:eastAsia="Arial" w:hAnsi="Arial"/>
                <w:sz w:val="18"/>
                <w:szCs w:val="18"/>
                <w:color w:val="auto"/>
              </w:rPr>
              <w:t>Plan amendments</w:t>
            </w:r>
          </w:p>
        </w:tc>
        <w:tc>
          <w:tcPr>
            <w:tcW w:w="200" w:type="dxa"/>
            <w:vAlign w:val="bottom"/>
          </w:tcPr>
          <w:p>
            <w:pPr>
              <w:spacing w:after="0"/>
              <w:rPr>
                <w:sz w:val="21"/>
                <w:szCs w:val="21"/>
                <w:color w:val="auto"/>
              </w:rPr>
            </w:pP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(16 )</w:t>
            </w:r>
          </w:p>
        </w:tc>
        <w:tc>
          <w:tcPr>
            <w:tcW w:w="300" w:type="dxa"/>
            <w:vAlign w:val="bottom"/>
          </w:tcPr>
          <w:p>
            <w:pPr>
              <w:spacing w:after="0"/>
              <w:rPr>
                <w:sz w:val="21"/>
                <w:szCs w:val="21"/>
                <w:color w:val="auto"/>
              </w:rPr>
            </w:pPr>
          </w:p>
        </w:tc>
        <w:tc>
          <w:tcPr>
            <w:tcW w:w="760" w:type="dxa"/>
            <w:vAlign w:val="bottom"/>
          </w:tcPr>
          <w:p>
            <w:pPr>
              <w:jc w:val="right"/>
              <w:ind w:right="90"/>
              <w:spacing w:after="0"/>
              <w:rPr>
                <w:sz w:val="20"/>
                <w:szCs w:val="20"/>
                <w:color w:val="auto"/>
              </w:rPr>
            </w:pPr>
            <w:r>
              <w:rPr>
                <w:rFonts w:ascii="Arial" w:cs="Arial" w:eastAsia="Arial" w:hAnsi="Arial"/>
                <w:sz w:val="18"/>
                <w:szCs w:val="18"/>
                <w:color w:val="auto"/>
              </w:rPr>
              <w:t>21</w:t>
            </w:r>
          </w:p>
        </w:tc>
        <w:tc>
          <w:tcPr>
            <w:tcW w:w="300" w:type="dxa"/>
            <w:vAlign w:val="bottom"/>
          </w:tcPr>
          <w:p>
            <w:pPr>
              <w:spacing w:after="0"/>
              <w:rPr>
                <w:sz w:val="21"/>
                <w:szCs w:val="21"/>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4140" w:type="dxa"/>
            <w:vAlign w:val="bottom"/>
          </w:tcPr>
          <w:p>
            <w:pPr>
              <w:ind w:left="20"/>
              <w:spacing w:after="0"/>
              <w:rPr>
                <w:sz w:val="20"/>
                <w:szCs w:val="20"/>
                <w:color w:val="auto"/>
              </w:rPr>
            </w:pPr>
            <w:r>
              <w:rPr>
                <w:rFonts w:ascii="Arial" w:cs="Arial" w:eastAsia="Arial" w:hAnsi="Arial"/>
                <w:sz w:val="18"/>
                <w:szCs w:val="18"/>
                <w:color w:val="auto"/>
              </w:rPr>
              <w:t>Actuarial loss (gain)</w:t>
            </w: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(90 )</w:t>
            </w:r>
          </w:p>
        </w:tc>
        <w:tc>
          <w:tcPr>
            <w:tcW w:w="260" w:type="dxa"/>
            <w:vAlign w:val="bottom"/>
          </w:tcPr>
          <w:p>
            <w:pPr>
              <w:spacing w:after="0"/>
              <w:rPr>
                <w:sz w:val="21"/>
                <w:szCs w:val="21"/>
                <w:color w:val="auto"/>
              </w:rPr>
            </w:pP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25</w:t>
            </w:r>
          </w:p>
        </w:tc>
        <w:tc>
          <w:tcPr>
            <w:tcW w:w="3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(139 )</w:t>
            </w:r>
          </w:p>
        </w:tc>
        <w:tc>
          <w:tcPr>
            <w:tcW w:w="300" w:type="dxa"/>
            <w:vAlign w:val="bottom"/>
          </w:tcPr>
          <w:p>
            <w:pPr>
              <w:spacing w:after="0"/>
              <w:rPr>
                <w:sz w:val="21"/>
                <w:szCs w:val="21"/>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59</w:t>
            </w:r>
          </w:p>
        </w:tc>
      </w:tr>
      <w:tr>
        <w:trPr>
          <w:trHeight w:val="243"/>
        </w:trPr>
        <w:tc>
          <w:tcPr>
            <w:tcW w:w="4140" w:type="dxa"/>
            <w:vAlign w:val="bottom"/>
          </w:tcPr>
          <w:p>
            <w:pPr>
              <w:ind w:left="20"/>
              <w:spacing w:after="0"/>
              <w:rPr>
                <w:sz w:val="20"/>
                <w:szCs w:val="20"/>
                <w:color w:val="auto"/>
              </w:rPr>
            </w:pPr>
            <w:r>
              <w:rPr>
                <w:rFonts w:ascii="Arial" w:cs="Arial" w:eastAsia="Arial" w:hAnsi="Arial"/>
                <w:sz w:val="18"/>
                <w:szCs w:val="18"/>
                <w:color w:val="auto"/>
              </w:rPr>
              <w:t>Curtailments</w:t>
            </w:r>
          </w:p>
        </w:tc>
        <w:tc>
          <w:tcPr>
            <w:tcW w:w="200" w:type="dxa"/>
            <w:vAlign w:val="bottom"/>
          </w:tcPr>
          <w:p>
            <w:pPr>
              <w:spacing w:after="0"/>
              <w:rPr>
                <w:sz w:val="21"/>
                <w:szCs w:val="21"/>
                <w:color w:val="auto"/>
              </w:rPr>
            </w:pP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(1 )</w:t>
            </w:r>
          </w:p>
        </w:tc>
        <w:tc>
          <w:tcPr>
            <w:tcW w:w="300" w:type="dxa"/>
            <w:vAlign w:val="bottom"/>
          </w:tcPr>
          <w:p>
            <w:pPr>
              <w:spacing w:after="0"/>
              <w:rPr>
                <w:sz w:val="21"/>
                <w:szCs w:val="21"/>
                <w:color w:val="auto"/>
              </w:rPr>
            </w:pPr>
          </w:p>
        </w:tc>
        <w:tc>
          <w:tcPr>
            <w:tcW w:w="7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(4 )</w:t>
            </w:r>
          </w:p>
        </w:tc>
      </w:tr>
      <w:tr>
        <w:trPr>
          <w:trHeight w:val="243"/>
        </w:trPr>
        <w:tc>
          <w:tcPr>
            <w:tcW w:w="4140" w:type="dxa"/>
            <w:vAlign w:val="bottom"/>
          </w:tcPr>
          <w:p>
            <w:pPr>
              <w:ind w:left="20"/>
              <w:spacing w:after="0"/>
              <w:rPr>
                <w:sz w:val="20"/>
                <w:szCs w:val="20"/>
                <w:color w:val="auto"/>
              </w:rPr>
            </w:pPr>
            <w:r>
              <w:rPr>
                <w:rFonts w:ascii="Arial" w:cs="Arial" w:eastAsia="Arial" w:hAnsi="Arial"/>
                <w:sz w:val="18"/>
                <w:szCs w:val="18"/>
                <w:color w:val="auto"/>
              </w:rPr>
              <w:t>Special termination benefits</w:t>
            </w:r>
          </w:p>
        </w:tc>
        <w:tc>
          <w:tcPr>
            <w:tcW w:w="200" w:type="dxa"/>
            <w:vAlign w:val="bottom"/>
          </w:tcPr>
          <w:p>
            <w:pPr>
              <w:spacing w:after="0"/>
              <w:rPr>
                <w:sz w:val="21"/>
                <w:szCs w:val="21"/>
                <w:color w:val="auto"/>
              </w:rPr>
            </w:pP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21"/>
                <w:szCs w:val="21"/>
                <w:color w:val="auto"/>
              </w:rPr>
            </w:pP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7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4140" w:type="dxa"/>
            <w:vAlign w:val="bottom"/>
          </w:tcPr>
          <w:p>
            <w:pPr>
              <w:ind w:left="20"/>
              <w:spacing w:after="0"/>
              <w:rPr>
                <w:sz w:val="20"/>
                <w:szCs w:val="20"/>
                <w:color w:val="auto"/>
              </w:rPr>
            </w:pPr>
            <w:r>
              <w:rPr>
                <w:rFonts w:ascii="Arial" w:cs="Arial" w:eastAsia="Arial" w:hAnsi="Arial"/>
                <w:sz w:val="18"/>
                <w:szCs w:val="18"/>
                <w:color w:val="auto"/>
              </w:rPr>
              <w:t>Benefit payments</w:t>
            </w: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(249 )</w:t>
            </w:r>
          </w:p>
        </w:tc>
        <w:tc>
          <w:tcPr>
            <w:tcW w:w="2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(197 )</w:t>
            </w:r>
          </w:p>
        </w:tc>
        <w:tc>
          <w:tcPr>
            <w:tcW w:w="3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(46 )</w:t>
            </w:r>
          </w:p>
        </w:tc>
        <w:tc>
          <w:tcPr>
            <w:tcW w:w="3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(43 )</w:t>
            </w:r>
          </w:p>
        </w:tc>
      </w:tr>
      <w:tr>
        <w:trPr>
          <w:trHeight w:val="250"/>
        </w:trPr>
        <w:tc>
          <w:tcPr>
            <w:tcW w:w="4140" w:type="dxa"/>
            <w:vAlign w:val="bottom"/>
          </w:tcPr>
          <w:p>
            <w:pPr>
              <w:ind w:left="20"/>
              <w:spacing w:after="0"/>
              <w:rPr>
                <w:sz w:val="20"/>
                <w:szCs w:val="20"/>
                <w:color w:val="auto"/>
              </w:rPr>
            </w:pPr>
            <w:r>
              <w:rPr>
                <w:rFonts w:ascii="Arial" w:cs="Arial" w:eastAsia="Arial" w:hAnsi="Arial"/>
                <w:sz w:val="18"/>
                <w:szCs w:val="18"/>
                <w:color w:val="auto"/>
              </w:rPr>
              <w:t>Federal subsidy (Medicare Part D)</w:t>
            </w:r>
          </w:p>
        </w:tc>
        <w:tc>
          <w:tcPr>
            <w:tcW w:w="2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w:t>
            </w:r>
          </w:p>
        </w:tc>
        <w:tc>
          <w:tcPr>
            <w:tcW w:w="3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w:t>
            </w:r>
          </w:p>
        </w:tc>
      </w:tr>
      <w:tr>
        <w:trPr>
          <w:trHeight w:val="237"/>
        </w:trPr>
        <w:tc>
          <w:tcPr>
            <w:tcW w:w="4140" w:type="dxa"/>
            <w:vAlign w:val="bottom"/>
          </w:tcPr>
          <w:p>
            <w:pPr>
              <w:ind w:left="20"/>
              <w:spacing w:after="0"/>
              <w:rPr>
                <w:sz w:val="20"/>
                <w:szCs w:val="20"/>
                <w:color w:val="auto"/>
              </w:rPr>
            </w:pPr>
            <w:r>
              <w:rPr>
                <w:rFonts w:ascii="Arial" w:cs="Arial" w:eastAsia="Arial" w:hAnsi="Arial"/>
                <w:sz w:val="18"/>
                <w:szCs w:val="18"/>
                <w:color w:val="auto"/>
              </w:rPr>
              <w:t>Net obligation at December 31</w:t>
            </w: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2,791</w:t>
            </w:r>
          </w:p>
        </w:tc>
        <w:tc>
          <w:tcPr>
            <w:tcW w:w="2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2,885</w:t>
            </w:r>
          </w:p>
        </w:tc>
        <w:tc>
          <w:tcPr>
            <w:tcW w:w="3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871</w:t>
            </w:r>
          </w:p>
        </w:tc>
        <w:tc>
          <w:tcPr>
            <w:tcW w:w="3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952</w:t>
            </w:r>
          </w:p>
        </w:tc>
      </w:tr>
      <w:tr>
        <w:trPr>
          <w:trHeight w:val="473"/>
        </w:trPr>
        <w:tc>
          <w:tcPr>
            <w:tcW w:w="4140" w:type="dxa"/>
            <w:vAlign w:val="bottom"/>
          </w:tcPr>
          <w:p>
            <w:pPr>
              <w:ind w:left="20"/>
              <w:spacing w:after="0"/>
              <w:rPr>
                <w:sz w:val="20"/>
                <w:szCs w:val="20"/>
                <w:color w:val="auto"/>
              </w:rPr>
            </w:pPr>
            <w:r>
              <w:rPr>
                <w:rFonts w:ascii="Arial" w:cs="Arial" w:eastAsia="Arial" w:hAnsi="Arial"/>
                <w:sz w:val="18"/>
                <w:szCs w:val="18"/>
                <w:color w:val="auto"/>
              </w:rPr>
              <w:t>CHANGE IN PLAN ASSETS:</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43"/>
        </w:trPr>
        <w:tc>
          <w:tcPr>
            <w:tcW w:w="4140" w:type="dxa"/>
            <w:vAlign w:val="bottom"/>
          </w:tcPr>
          <w:p>
            <w:pPr>
              <w:ind w:left="20"/>
              <w:spacing w:after="0"/>
              <w:rPr>
                <w:sz w:val="20"/>
                <w:szCs w:val="20"/>
                <w:color w:val="auto"/>
              </w:rPr>
            </w:pPr>
            <w:r>
              <w:rPr>
                <w:rFonts w:ascii="Arial" w:cs="Arial" w:eastAsia="Arial" w:hAnsi="Arial"/>
                <w:sz w:val="18"/>
                <w:szCs w:val="18"/>
                <w:color w:val="auto"/>
              </w:rPr>
              <w:t>Fair value of plan assets at January 1</w:t>
            </w:r>
          </w:p>
        </w:tc>
        <w:tc>
          <w:tcPr>
            <w:tcW w:w="200" w:type="dxa"/>
            <w:vAlign w:val="bottom"/>
          </w:tcPr>
          <w:p>
            <w:pPr>
              <w:spacing w:after="0"/>
              <w:rPr>
                <w:sz w:val="21"/>
                <w:szCs w:val="21"/>
                <w:color w:val="auto"/>
              </w:rPr>
            </w:pP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2,535</w:t>
            </w:r>
          </w:p>
        </w:tc>
        <w:tc>
          <w:tcPr>
            <w:tcW w:w="260" w:type="dxa"/>
            <w:vAlign w:val="bottom"/>
          </w:tcPr>
          <w:p>
            <w:pPr>
              <w:spacing w:after="0"/>
              <w:rPr>
                <w:sz w:val="21"/>
                <w:szCs w:val="21"/>
                <w:color w:val="auto"/>
              </w:rPr>
            </w:pP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2,364</w:t>
            </w:r>
          </w:p>
        </w:tc>
        <w:tc>
          <w:tcPr>
            <w:tcW w:w="300" w:type="dxa"/>
            <w:vAlign w:val="bottom"/>
          </w:tcPr>
          <w:p>
            <w:pPr>
              <w:spacing w:after="0"/>
              <w:rPr>
                <w:sz w:val="21"/>
                <w:szCs w:val="21"/>
                <w:color w:val="auto"/>
              </w:rPr>
            </w:pPr>
          </w:p>
        </w:tc>
        <w:tc>
          <w:tcPr>
            <w:tcW w:w="760" w:type="dxa"/>
            <w:vAlign w:val="bottom"/>
          </w:tcPr>
          <w:p>
            <w:pPr>
              <w:jc w:val="right"/>
              <w:ind w:right="90"/>
              <w:spacing w:after="0"/>
              <w:rPr>
                <w:sz w:val="20"/>
                <w:szCs w:val="20"/>
                <w:color w:val="auto"/>
              </w:rPr>
            </w:pPr>
            <w:r>
              <w:rPr>
                <w:rFonts w:ascii="Arial" w:cs="Arial" w:eastAsia="Arial" w:hAnsi="Arial"/>
                <w:sz w:val="18"/>
                <w:szCs w:val="18"/>
                <w:color w:val="auto"/>
              </w:rPr>
              <w:t>694</w:t>
            </w:r>
          </w:p>
        </w:tc>
        <w:tc>
          <w:tcPr>
            <w:tcW w:w="300" w:type="dxa"/>
            <w:vAlign w:val="bottom"/>
          </w:tcPr>
          <w:p>
            <w:pPr>
              <w:spacing w:after="0"/>
              <w:rPr>
                <w:sz w:val="21"/>
                <w:szCs w:val="21"/>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623</w:t>
            </w:r>
          </w:p>
        </w:tc>
      </w:tr>
      <w:tr>
        <w:trPr>
          <w:trHeight w:val="243"/>
        </w:trPr>
        <w:tc>
          <w:tcPr>
            <w:tcW w:w="4140" w:type="dxa"/>
            <w:vAlign w:val="bottom"/>
          </w:tcPr>
          <w:p>
            <w:pPr>
              <w:ind w:left="20"/>
              <w:spacing w:after="0"/>
              <w:rPr>
                <w:sz w:val="20"/>
                <w:szCs w:val="20"/>
                <w:color w:val="auto"/>
              </w:rPr>
            </w:pPr>
            <w:r>
              <w:rPr>
                <w:rFonts w:ascii="Arial" w:cs="Arial" w:eastAsia="Arial" w:hAnsi="Arial"/>
                <w:sz w:val="18"/>
                <w:szCs w:val="18"/>
                <w:color w:val="auto"/>
              </w:rPr>
              <w:t>Actual return on plan assets</w:t>
            </w:r>
          </w:p>
        </w:tc>
        <w:tc>
          <w:tcPr>
            <w:tcW w:w="200" w:type="dxa"/>
            <w:vAlign w:val="bottom"/>
          </w:tcPr>
          <w:p>
            <w:pPr>
              <w:spacing w:after="0"/>
              <w:rPr>
                <w:sz w:val="21"/>
                <w:szCs w:val="21"/>
                <w:color w:val="auto"/>
              </w:rPr>
            </w:pP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207</w:t>
            </w:r>
          </w:p>
        </w:tc>
        <w:tc>
          <w:tcPr>
            <w:tcW w:w="260" w:type="dxa"/>
            <w:vAlign w:val="bottom"/>
          </w:tcPr>
          <w:p>
            <w:pPr>
              <w:spacing w:after="0"/>
              <w:rPr>
                <w:sz w:val="21"/>
                <w:szCs w:val="21"/>
                <w:color w:val="auto"/>
              </w:rPr>
            </w:pP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333</w:t>
            </w:r>
          </w:p>
        </w:tc>
        <w:tc>
          <w:tcPr>
            <w:tcW w:w="300" w:type="dxa"/>
            <w:vAlign w:val="bottom"/>
          </w:tcPr>
          <w:p>
            <w:pPr>
              <w:spacing w:after="0"/>
              <w:rPr>
                <w:sz w:val="21"/>
                <w:szCs w:val="21"/>
                <w:color w:val="auto"/>
              </w:rPr>
            </w:pPr>
          </w:p>
        </w:tc>
        <w:tc>
          <w:tcPr>
            <w:tcW w:w="760" w:type="dxa"/>
            <w:vAlign w:val="bottom"/>
          </w:tcPr>
          <w:p>
            <w:pPr>
              <w:jc w:val="right"/>
              <w:ind w:right="90"/>
              <w:spacing w:after="0"/>
              <w:rPr>
                <w:sz w:val="20"/>
                <w:szCs w:val="20"/>
                <w:color w:val="auto"/>
              </w:rPr>
            </w:pPr>
            <w:r>
              <w:rPr>
                <w:rFonts w:ascii="Arial" w:cs="Arial" w:eastAsia="Arial" w:hAnsi="Arial"/>
                <w:sz w:val="18"/>
                <w:szCs w:val="18"/>
                <w:color w:val="auto"/>
              </w:rPr>
              <w:t>47</w:t>
            </w:r>
          </w:p>
        </w:tc>
        <w:tc>
          <w:tcPr>
            <w:tcW w:w="300" w:type="dxa"/>
            <w:vAlign w:val="bottom"/>
          </w:tcPr>
          <w:p>
            <w:pPr>
              <w:spacing w:after="0"/>
              <w:rPr>
                <w:sz w:val="21"/>
                <w:szCs w:val="21"/>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82</w:t>
            </w:r>
          </w:p>
        </w:tc>
      </w:tr>
      <w:tr>
        <w:trPr>
          <w:trHeight w:val="243"/>
        </w:trPr>
        <w:tc>
          <w:tcPr>
            <w:tcW w:w="4140" w:type="dxa"/>
            <w:vAlign w:val="bottom"/>
          </w:tcPr>
          <w:p>
            <w:pPr>
              <w:ind w:left="20"/>
              <w:spacing w:after="0"/>
              <w:rPr>
                <w:sz w:val="20"/>
                <w:szCs w:val="20"/>
                <w:color w:val="auto"/>
              </w:rPr>
            </w:pPr>
            <w:r>
              <w:rPr>
                <w:rFonts w:ascii="Arial" w:cs="Arial" w:eastAsia="Arial" w:hAnsi="Arial"/>
                <w:sz w:val="18"/>
                <w:szCs w:val="18"/>
                <w:color w:val="auto"/>
              </w:rPr>
              <w:t>Employer contributions</w:t>
            </w:r>
          </w:p>
        </w:tc>
        <w:tc>
          <w:tcPr>
            <w:tcW w:w="200" w:type="dxa"/>
            <w:vAlign w:val="bottom"/>
          </w:tcPr>
          <w:p>
            <w:pPr>
              <w:spacing w:after="0"/>
              <w:rPr>
                <w:sz w:val="21"/>
                <w:szCs w:val="21"/>
                <w:color w:val="auto"/>
              </w:rPr>
            </w:pP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35</w:t>
            </w:r>
          </w:p>
        </w:tc>
        <w:tc>
          <w:tcPr>
            <w:tcW w:w="260" w:type="dxa"/>
            <w:vAlign w:val="bottom"/>
          </w:tcPr>
          <w:p>
            <w:pPr>
              <w:spacing w:after="0"/>
              <w:rPr>
                <w:sz w:val="21"/>
                <w:szCs w:val="21"/>
                <w:color w:val="auto"/>
              </w:rPr>
            </w:pP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35</w:t>
            </w:r>
          </w:p>
        </w:tc>
        <w:tc>
          <w:tcPr>
            <w:tcW w:w="300" w:type="dxa"/>
            <w:vAlign w:val="bottom"/>
          </w:tcPr>
          <w:p>
            <w:pPr>
              <w:spacing w:after="0"/>
              <w:rPr>
                <w:sz w:val="21"/>
                <w:szCs w:val="21"/>
                <w:color w:val="auto"/>
              </w:rPr>
            </w:pPr>
          </w:p>
        </w:tc>
        <w:tc>
          <w:tcPr>
            <w:tcW w:w="760" w:type="dxa"/>
            <w:vAlign w:val="bottom"/>
          </w:tcPr>
          <w:p>
            <w:pPr>
              <w:jc w:val="right"/>
              <w:ind w:right="90"/>
              <w:spacing w:after="0"/>
              <w:rPr>
                <w:sz w:val="20"/>
                <w:szCs w:val="20"/>
                <w:color w:val="auto"/>
              </w:rPr>
            </w:pPr>
            <w:r>
              <w:rPr>
                <w:rFonts w:ascii="Arial" w:cs="Arial" w:eastAsia="Arial" w:hAnsi="Arial"/>
                <w:sz w:val="18"/>
                <w:szCs w:val="18"/>
                <w:color w:val="auto"/>
              </w:rPr>
              <w:t>45</w:t>
            </w:r>
          </w:p>
        </w:tc>
        <w:tc>
          <w:tcPr>
            <w:tcW w:w="300" w:type="dxa"/>
            <w:vAlign w:val="bottom"/>
          </w:tcPr>
          <w:p>
            <w:pPr>
              <w:spacing w:after="0"/>
              <w:rPr>
                <w:sz w:val="21"/>
                <w:szCs w:val="21"/>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32</w:t>
            </w:r>
          </w:p>
        </w:tc>
      </w:tr>
      <w:tr>
        <w:trPr>
          <w:trHeight w:val="243"/>
        </w:trPr>
        <w:tc>
          <w:tcPr>
            <w:tcW w:w="4140" w:type="dxa"/>
            <w:vAlign w:val="bottom"/>
          </w:tcPr>
          <w:p>
            <w:pPr>
              <w:ind w:left="20"/>
              <w:spacing w:after="0"/>
              <w:rPr>
                <w:sz w:val="20"/>
                <w:szCs w:val="20"/>
                <w:color w:val="auto"/>
              </w:rPr>
            </w:pPr>
            <w:r>
              <w:rPr>
                <w:rFonts w:ascii="Arial" w:cs="Arial" w:eastAsia="Arial" w:hAnsi="Arial"/>
                <w:sz w:val="18"/>
                <w:szCs w:val="18"/>
                <w:color w:val="auto"/>
              </w:rPr>
              <w:t>Benefit payments</w:t>
            </w: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(249 )</w:t>
            </w:r>
          </w:p>
        </w:tc>
        <w:tc>
          <w:tcPr>
            <w:tcW w:w="2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(197 )</w:t>
            </w:r>
          </w:p>
        </w:tc>
        <w:tc>
          <w:tcPr>
            <w:tcW w:w="3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(46 )</w:t>
            </w:r>
          </w:p>
        </w:tc>
        <w:tc>
          <w:tcPr>
            <w:tcW w:w="3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(43 )</w:t>
            </w:r>
          </w:p>
        </w:tc>
      </w:tr>
      <w:tr>
        <w:trPr>
          <w:trHeight w:val="250"/>
        </w:trPr>
        <w:tc>
          <w:tcPr>
            <w:tcW w:w="4140" w:type="dxa"/>
            <w:vAlign w:val="bottom"/>
          </w:tcPr>
          <w:p>
            <w:pPr>
              <w:ind w:left="2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w:t>
            </w:r>
          </w:p>
        </w:tc>
        <w:tc>
          <w:tcPr>
            <w:tcW w:w="3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r>
      <w:tr>
        <w:trPr>
          <w:trHeight w:val="237"/>
        </w:trPr>
        <w:tc>
          <w:tcPr>
            <w:tcW w:w="4140" w:type="dxa"/>
            <w:vAlign w:val="bottom"/>
          </w:tcPr>
          <w:p>
            <w:pPr>
              <w:ind w:left="20"/>
              <w:spacing w:after="0"/>
              <w:rPr>
                <w:sz w:val="20"/>
                <w:szCs w:val="20"/>
                <w:color w:val="auto"/>
              </w:rPr>
            </w:pPr>
            <w:r>
              <w:rPr>
                <w:rFonts w:ascii="Arial" w:cs="Arial" w:eastAsia="Arial" w:hAnsi="Arial"/>
                <w:sz w:val="18"/>
                <w:szCs w:val="18"/>
                <w:color w:val="auto"/>
              </w:rPr>
              <w:t>Fair value of plan assets at December 31</w:t>
            </w: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2,528</w:t>
            </w:r>
          </w:p>
        </w:tc>
        <w:tc>
          <w:tcPr>
            <w:tcW w:w="2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2,535</w:t>
            </w:r>
          </w:p>
        </w:tc>
        <w:tc>
          <w:tcPr>
            <w:tcW w:w="3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743</w:t>
            </w:r>
          </w:p>
        </w:tc>
        <w:tc>
          <w:tcPr>
            <w:tcW w:w="3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694</w:t>
            </w:r>
          </w:p>
        </w:tc>
      </w:tr>
      <w:tr>
        <w:trPr>
          <w:trHeight w:val="507"/>
        </w:trPr>
        <w:tc>
          <w:tcPr>
            <w:tcW w:w="4140" w:type="dxa"/>
            <w:vAlign w:val="bottom"/>
          </w:tcPr>
          <w:p>
            <w:pPr>
              <w:ind w:left="20"/>
              <w:spacing w:after="0"/>
              <w:rPr>
                <w:sz w:val="20"/>
                <w:szCs w:val="20"/>
                <w:color w:val="auto"/>
              </w:rPr>
            </w:pPr>
            <w:r>
              <w:rPr>
                <w:rFonts w:ascii="Arial" w:cs="Arial" w:eastAsia="Arial" w:hAnsi="Arial"/>
                <w:sz w:val="18"/>
                <w:szCs w:val="18"/>
                <w:color w:val="auto"/>
              </w:rPr>
              <w:t>Funded status at December 31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(263 )</w:t>
            </w:r>
          </w:p>
        </w:tc>
        <w:tc>
          <w:tcPr>
            <w:tcW w:w="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(350 )</w:t>
            </w: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(128 )</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(258 )</w:t>
            </w:r>
          </w:p>
        </w:tc>
      </w:tr>
      <w:tr>
        <w:trPr>
          <w:trHeight w:val="264"/>
        </w:trPr>
        <w:tc>
          <w:tcPr>
            <w:tcW w:w="4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recorded liability at December 31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(263 )</w:t>
            </w:r>
          </w:p>
        </w:tc>
        <w:tc>
          <w:tcPr>
            <w:tcW w:w="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(350 )</w:t>
            </w: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(128 )</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(258 )</w:t>
            </w:r>
          </w:p>
        </w:tc>
      </w:tr>
    </w:tbl>
    <w:p>
      <w:pPr>
        <w:spacing w:after="0" w:line="226"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The assets and liabilities of the pension and other postretirement benefit plans are affected by changing market conditions as well as when actual plan experience is different than assumed. Such events result in gains and losses. Investment gains and losses are deferred and recognized in pension and postretirement benefit costs over a period of years. The company uses the asset "smoothing" method for nearly 80 percent of the assets held for its pension and other postretirement plans and recognizes realized and unrealized investment gains and losses over a three-year period. This adjusted asset value, known as the market-related value of assets, is used to determine the expected return-on-assets component of net periodic cost. If, as of the beginning of a year, unrecognized net gain or loss exceeds 10 percent of the greater of the projected benefit obligation or the market-related value of plan assets, the excess is amortized over the average r emaining service period of active participants. The asset smoothing and 10-percent corridor accounting methods help mitigate volatility of net periodic costs from year to year.</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auto"/>
        </w:rPr>
        <w:t>85</w:t>
      </w:r>
    </w:p>
    <w:p>
      <w:pPr>
        <w:sectPr>
          <w:pgSz w:w="11900" w:h="16838" w:orient="portrait"/>
          <w:cols w:equalWidth="0" w:num="1">
            <w:col w:w="11400"/>
          </w:cols>
          <w:pgMar w:left="240" w:top="122" w:right="259" w:bottom="1440" w:gutter="0" w:footer="0" w:header="0"/>
        </w:sectPr>
      </w:pPr>
    </w:p>
    <w:bookmarkStart w:id="153" w:name="page154"/>
    <w:bookmarkEnd w:id="153"/>
    <w:p>
      <w:pPr>
        <w:spacing w:after="0"/>
        <w:rPr>
          <w:sz w:val="20"/>
          <w:szCs w:val="20"/>
          <w:color w:val="auto"/>
        </w:rPr>
      </w:pPr>
      <w:r>
        <w:rPr>
          <w:rFonts w:ascii="Arial" w:cs="Arial" w:eastAsia="Arial" w:hAnsi="Arial"/>
          <w:sz w:val="20"/>
          <w:szCs w:val="20"/>
          <w:color w:val="auto"/>
        </w:rPr>
        <w:t>The net liability is included in the following captions on the Consolidated Balance Sheets at December 31 as follows:</w:t>
      </w:r>
    </w:p>
    <w:p>
      <w:pPr>
        <w:spacing w:after="0" w:line="287" w:lineRule="exact"/>
        <w:rPr>
          <w:sz w:val="20"/>
          <w:szCs w:val="20"/>
          <w:color w:val="auto"/>
        </w:rPr>
      </w:pPr>
    </w:p>
    <w:tbl>
      <w:tblPr>
        <w:tblLayout w:type="fixed"/>
        <w:tblInd w:w="1620" w:type="dxa"/>
        <w:tblCellMar>
          <w:top w:w="0" w:type="dxa"/>
          <w:left w:w="0" w:type="dxa"/>
          <w:bottom w:w="0" w:type="dxa"/>
          <w:right w:w="0" w:type="dxa"/>
        </w:tblCellMar>
      </w:tblPr>
      <w:tr>
        <w:trPr>
          <w:trHeight w:val="230"/>
        </w:trPr>
        <w:tc>
          <w:tcPr>
            <w:tcW w:w="2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50"/>
        </w:trPr>
        <w:tc>
          <w:tcPr>
            <w:tcW w:w="27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Pension Benefits</w:t>
            </w:r>
          </w:p>
        </w:tc>
        <w:tc>
          <w:tcPr>
            <w:tcW w:w="88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2420" w:type="dxa"/>
            <w:vAlign w:val="bottom"/>
            <w:tcBorders>
              <w:bottom w:val="single" w:sz="8" w:color="auto"/>
            </w:tcBorders>
            <w:gridSpan w:val="3"/>
          </w:tcPr>
          <w:p>
            <w:pPr>
              <w:jc w:val="right"/>
              <w:ind w:right="530"/>
              <w:spacing w:after="0"/>
              <w:rPr>
                <w:sz w:val="20"/>
                <w:szCs w:val="20"/>
                <w:color w:val="auto"/>
              </w:rPr>
            </w:pPr>
            <w:r>
              <w:rPr>
                <w:rFonts w:ascii="Arial" w:cs="Arial" w:eastAsia="Arial" w:hAnsi="Arial"/>
                <w:sz w:val="18"/>
                <w:szCs w:val="18"/>
                <w:color w:val="auto"/>
                <w:w w:val="95"/>
              </w:rPr>
              <w:t>Postretirement Benefits</w:t>
            </w:r>
          </w:p>
        </w:tc>
      </w:tr>
      <w:tr>
        <w:trPr>
          <w:trHeight w:val="237"/>
        </w:trPr>
        <w:tc>
          <w:tcPr>
            <w:tcW w:w="2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(Dollars in millions)</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2007</w:t>
            </w:r>
          </w:p>
        </w:tc>
        <w:tc>
          <w:tcPr>
            <w:tcW w:w="5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84"/>
              </w:rPr>
              <w:t>2006</w:t>
            </w:r>
          </w:p>
        </w:tc>
        <w:tc>
          <w:tcPr>
            <w:tcW w:w="4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2007</w:t>
            </w: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2006</w:t>
            </w:r>
          </w:p>
        </w:tc>
      </w:tr>
      <w:tr>
        <w:trPr>
          <w:trHeight w:val="230"/>
        </w:trPr>
        <w:tc>
          <w:tcPr>
            <w:tcW w:w="2700" w:type="dxa"/>
            <w:vAlign w:val="bottom"/>
          </w:tcPr>
          <w:p>
            <w:pPr>
              <w:spacing w:after="0"/>
              <w:rPr>
                <w:sz w:val="20"/>
                <w:szCs w:val="20"/>
                <w:color w:val="auto"/>
              </w:rPr>
            </w:pPr>
            <w:r>
              <w:rPr>
                <w:rFonts w:ascii="Arial" w:cs="Arial" w:eastAsia="Arial" w:hAnsi="Arial"/>
                <w:sz w:val="18"/>
                <w:szCs w:val="18"/>
                <w:color w:val="auto"/>
              </w:rPr>
              <w:t>Noncurrent assets</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75</w:t>
            </w:r>
          </w:p>
        </w:tc>
        <w:tc>
          <w:tcPr>
            <w:tcW w:w="5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10"/>
              <w:spacing w:after="0"/>
              <w:rPr>
                <w:sz w:val="20"/>
                <w:szCs w:val="20"/>
                <w:color w:val="auto"/>
              </w:rPr>
            </w:pPr>
            <w:r>
              <w:rPr>
                <w:rFonts w:ascii="Arial" w:cs="Arial" w:eastAsia="Arial" w:hAnsi="Arial"/>
                <w:sz w:val="18"/>
                <w:szCs w:val="18"/>
                <w:color w:val="auto"/>
              </w:rPr>
              <w:t>19</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42"/>
        </w:trPr>
        <w:tc>
          <w:tcPr>
            <w:tcW w:w="2700" w:type="dxa"/>
            <w:vAlign w:val="bottom"/>
          </w:tcPr>
          <w:p>
            <w:pPr>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21"/>
                <w:szCs w:val="21"/>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(32 )</w:t>
            </w:r>
          </w:p>
        </w:tc>
        <w:tc>
          <w:tcPr>
            <w:tcW w:w="540" w:type="dxa"/>
            <w:vAlign w:val="bottom"/>
          </w:tcPr>
          <w:p>
            <w:pPr>
              <w:spacing w:after="0"/>
              <w:rPr>
                <w:sz w:val="21"/>
                <w:szCs w:val="21"/>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(18 )</w:t>
            </w:r>
          </w:p>
        </w:tc>
        <w:tc>
          <w:tcPr>
            <w:tcW w:w="400" w:type="dxa"/>
            <w:vAlign w:val="bottom"/>
          </w:tcPr>
          <w:p>
            <w:pPr>
              <w:spacing w:after="0"/>
              <w:rPr>
                <w:sz w:val="21"/>
                <w:szCs w:val="21"/>
                <w:color w:val="auto"/>
              </w:rPr>
            </w:pPr>
          </w:p>
        </w:tc>
        <w:tc>
          <w:tcPr>
            <w:tcW w:w="11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50"/>
        </w:trPr>
        <w:tc>
          <w:tcPr>
            <w:tcW w:w="2700" w:type="dxa"/>
            <w:vAlign w:val="bottom"/>
          </w:tcPr>
          <w:p>
            <w:pPr>
              <w:spacing w:after="0"/>
              <w:rPr>
                <w:sz w:val="20"/>
                <w:szCs w:val="20"/>
                <w:color w:val="auto"/>
              </w:rPr>
            </w:pPr>
            <w:r>
              <w:rPr>
                <w:rFonts w:ascii="Arial" w:cs="Arial" w:eastAsia="Arial" w:hAnsi="Arial"/>
                <w:sz w:val="18"/>
                <w:szCs w:val="18"/>
                <w:color w:val="auto"/>
              </w:rPr>
              <w:t>Noncurrent liabilities</w:t>
            </w: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(306 )</w:t>
            </w:r>
          </w:p>
        </w:tc>
        <w:tc>
          <w:tcPr>
            <w:tcW w:w="5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(351 )</w:t>
            </w:r>
          </w:p>
        </w:tc>
        <w:tc>
          <w:tcPr>
            <w:tcW w:w="4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(128 )</w:t>
            </w: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(258 )</w:t>
            </w:r>
          </w:p>
        </w:tc>
      </w:tr>
      <w:tr>
        <w:trPr>
          <w:trHeight w:val="264"/>
        </w:trPr>
        <w:tc>
          <w:tcPr>
            <w:tcW w:w="2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recorded liability</w:t>
            </w: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(263 )</w:t>
            </w:r>
          </w:p>
        </w:tc>
        <w:tc>
          <w:tcPr>
            <w:tcW w:w="5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(350 )</w:t>
            </w:r>
          </w:p>
        </w:tc>
        <w:tc>
          <w:tcPr>
            <w:tcW w:w="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(128 )</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(258 )</w:t>
            </w:r>
          </w:p>
        </w:tc>
      </w:tr>
    </w:tbl>
    <w:p>
      <w:pPr>
        <w:spacing w:after="0" w:line="226" w:lineRule="exact"/>
        <w:rPr>
          <w:sz w:val="20"/>
          <w:szCs w:val="20"/>
          <w:color w:val="auto"/>
        </w:rPr>
      </w:pPr>
    </w:p>
    <w:p>
      <w:pPr>
        <w:ind w:right="120"/>
        <w:spacing w:after="0" w:line="260" w:lineRule="auto"/>
        <w:rPr>
          <w:sz w:val="20"/>
          <w:szCs w:val="20"/>
          <w:color w:val="auto"/>
        </w:rPr>
      </w:pPr>
      <w:r>
        <w:rPr>
          <w:rFonts w:ascii="Arial" w:cs="Arial" w:eastAsia="Arial" w:hAnsi="Arial"/>
          <w:sz w:val="20"/>
          <w:szCs w:val="20"/>
          <w:color w:val="auto"/>
        </w:rPr>
        <w:t>Amounts recorded in Accumulated Other Comprehensive Income (Loss) as of December 31, 2007 and 2006, net of tax effects and amounts recorded as regulatory assets, are as follows:</w:t>
      </w:r>
    </w:p>
    <w:p>
      <w:pPr>
        <w:spacing w:after="0" w:line="247" w:lineRule="exact"/>
        <w:rPr>
          <w:sz w:val="20"/>
          <w:szCs w:val="20"/>
          <w:color w:val="auto"/>
        </w:rPr>
      </w:pPr>
    </w:p>
    <w:tbl>
      <w:tblPr>
        <w:tblLayout w:type="fixed"/>
        <w:tblInd w:w="1620" w:type="dxa"/>
        <w:tblCellMar>
          <w:top w:w="0" w:type="dxa"/>
          <w:left w:w="0" w:type="dxa"/>
          <w:bottom w:w="0" w:type="dxa"/>
          <w:right w:w="0" w:type="dxa"/>
        </w:tblCellMar>
      </w:tblPr>
      <w:tr>
        <w:trPr>
          <w:trHeight w:val="230"/>
        </w:trPr>
        <w:tc>
          <w:tcPr>
            <w:tcW w:w="2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50"/>
        </w:trPr>
        <w:tc>
          <w:tcPr>
            <w:tcW w:w="27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Pension Benefits</w:t>
            </w:r>
          </w:p>
        </w:tc>
        <w:tc>
          <w:tcPr>
            <w:tcW w:w="88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2420" w:type="dxa"/>
            <w:vAlign w:val="bottom"/>
            <w:tcBorders>
              <w:bottom w:val="single" w:sz="8" w:color="auto"/>
            </w:tcBorders>
            <w:gridSpan w:val="3"/>
          </w:tcPr>
          <w:p>
            <w:pPr>
              <w:jc w:val="right"/>
              <w:ind w:right="530"/>
              <w:spacing w:after="0"/>
              <w:rPr>
                <w:sz w:val="20"/>
                <w:szCs w:val="20"/>
                <w:color w:val="auto"/>
              </w:rPr>
            </w:pPr>
            <w:r>
              <w:rPr>
                <w:rFonts w:ascii="Arial" w:cs="Arial" w:eastAsia="Arial" w:hAnsi="Arial"/>
                <w:sz w:val="18"/>
                <w:szCs w:val="18"/>
                <w:color w:val="auto"/>
                <w:w w:val="95"/>
              </w:rPr>
              <w:t>Postretirement Benefits</w:t>
            </w:r>
          </w:p>
        </w:tc>
      </w:tr>
      <w:tr>
        <w:trPr>
          <w:trHeight w:val="237"/>
        </w:trPr>
        <w:tc>
          <w:tcPr>
            <w:tcW w:w="2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(Dollars in millions)</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2007</w:t>
            </w:r>
          </w:p>
        </w:tc>
        <w:tc>
          <w:tcPr>
            <w:tcW w:w="5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84"/>
              </w:rPr>
              <w:t>2006</w:t>
            </w:r>
          </w:p>
        </w:tc>
        <w:tc>
          <w:tcPr>
            <w:tcW w:w="4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2007</w:t>
            </w: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2006</w:t>
            </w:r>
          </w:p>
        </w:tc>
      </w:tr>
      <w:tr>
        <w:trPr>
          <w:trHeight w:val="230"/>
        </w:trPr>
        <w:tc>
          <w:tcPr>
            <w:tcW w:w="2700" w:type="dxa"/>
            <w:vAlign w:val="bottom"/>
          </w:tcPr>
          <w:p>
            <w:pPr>
              <w:spacing w:after="0"/>
              <w:rPr>
                <w:sz w:val="20"/>
                <w:szCs w:val="20"/>
                <w:color w:val="auto"/>
              </w:rPr>
            </w:pPr>
            <w:r>
              <w:rPr>
                <w:rFonts w:ascii="Arial" w:cs="Arial" w:eastAsia="Arial" w:hAnsi="Arial"/>
                <w:sz w:val="18"/>
                <w:szCs w:val="18"/>
                <w:color w:val="auto"/>
              </w:rPr>
              <w:t>Net actuarial loss</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70</w:t>
            </w:r>
          </w:p>
        </w:tc>
        <w:tc>
          <w:tcPr>
            <w:tcW w:w="5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10"/>
              <w:spacing w:after="0"/>
              <w:rPr>
                <w:sz w:val="20"/>
                <w:szCs w:val="20"/>
                <w:color w:val="auto"/>
              </w:rPr>
            </w:pPr>
            <w:r>
              <w:rPr>
                <w:rFonts w:ascii="Arial" w:cs="Arial" w:eastAsia="Arial" w:hAnsi="Arial"/>
                <w:sz w:val="18"/>
                <w:szCs w:val="18"/>
                <w:color w:val="auto"/>
              </w:rPr>
              <w:t>82</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0"/>
              <w:spacing w:after="0"/>
              <w:rPr>
                <w:sz w:val="20"/>
                <w:szCs w:val="20"/>
                <w:color w:val="auto"/>
              </w:rPr>
            </w:pPr>
            <w:r>
              <w:rPr>
                <w:rFonts w:ascii="Arial" w:cs="Arial" w:eastAsia="Arial" w:hAnsi="Arial"/>
                <w:sz w:val="18"/>
                <w:szCs w:val="18"/>
                <w:color w:val="auto"/>
              </w:rPr>
              <w:t>2</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3</w:t>
            </w:r>
          </w:p>
        </w:tc>
      </w:tr>
      <w:tr>
        <w:trPr>
          <w:trHeight w:val="249"/>
        </w:trPr>
        <w:tc>
          <w:tcPr>
            <w:tcW w:w="2700" w:type="dxa"/>
            <w:vAlign w:val="bottom"/>
          </w:tcPr>
          <w:p>
            <w:pPr>
              <w:spacing w:after="0"/>
              <w:rPr>
                <w:sz w:val="20"/>
                <w:szCs w:val="20"/>
                <w:color w:val="auto"/>
              </w:rPr>
            </w:pPr>
            <w:r>
              <w:rPr>
                <w:rFonts w:ascii="Arial" w:cs="Arial" w:eastAsia="Arial" w:hAnsi="Arial"/>
                <w:sz w:val="18"/>
                <w:szCs w:val="18"/>
                <w:color w:val="auto"/>
              </w:rPr>
              <w:t>Prior service credit</w:t>
            </w: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(3 )</w:t>
            </w:r>
          </w:p>
        </w:tc>
        <w:tc>
          <w:tcPr>
            <w:tcW w:w="5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(1 )</w:t>
            </w:r>
          </w:p>
        </w:tc>
        <w:tc>
          <w:tcPr>
            <w:tcW w:w="4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(2 )</w:t>
            </w: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(2 )</w:t>
            </w:r>
          </w:p>
        </w:tc>
      </w:tr>
      <w:tr>
        <w:trPr>
          <w:trHeight w:val="264"/>
        </w:trPr>
        <w:tc>
          <w:tcPr>
            <w:tcW w:w="2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67</w:t>
            </w:r>
          </w:p>
        </w:tc>
        <w:tc>
          <w:tcPr>
            <w:tcW w:w="5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81</w:t>
            </w:r>
          </w:p>
        </w:tc>
        <w:tc>
          <w:tcPr>
            <w:tcW w:w="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w:t>
            </w:r>
          </w:p>
        </w:tc>
      </w:tr>
    </w:tbl>
    <w:p>
      <w:pPr>
        <w:spacing w:after="0" w:line="226"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The accumulated benefit obligations for defined benefit pension plans were $2.6 billion and $2.7 billion at December 31, 2007 and 2006, respectively. The following table provides information concerning the one pension plan with benefit obligations in excess of plan assets as of December 31:</w:t>
      </w:r>
    </w:p>
    <w:p>
      <w:pPr>
        <w:spacing w:after="0" w:line="256" w:lineRule="exact"/>
        <w:rPr>
          <w:sz w:val="20"/>
          <w:szCs w:val="20"/>
          <w:color w:val="auto"/>
        </w:rPr>
      </w:pPr>
    </w:p>
    <w:tbl>
      <w:tblPr>
        <w:tblLayout w:type="fixed"/>
        <w:tblInd w:w="2440" w:type="dxa"/>
        <w:tblCellMar>
          <w:top w:w="0" w:type="dxa"/>
          <w:left w:w="0" w:type="dxa"/>
          <w:bottom w:w="0" w:type="dxa"/>
          <w:right w:w="0" w:type="dxa"/>
        </w:tblCellMar>
      </w:tblPr>
      <w:tr>
        <w:trPr>
          <w:trHeight w:val="237"/>
        </w:trPr>
        <w:tc>
          <w:tcPr>
            <w:tcW w:w="3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(Dollars in millions)</w:t>
            </w:r>
          </w:p>
        </w:tc>
        <w:tc>
          <w:tcPr>
            <w:tcW w:w="10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2007</w:t>
            </w:r>
          </w:p>
        </w:tc>
        <w:tc>
          <w:tcPr>
            <w:tcW w:w="4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2006</w:t>
            </w:r>
          </w:p>
        </w:tc>
      </w:tr>
      <w:tr>
        <w:trPr>
          <w:trHeight w:val="230"/>
        </w:trPr>
        <w:tc>
          <w:tcPr>
            <w:tcW w:w="3120" w:type="dxa"/>
            <w:vAlign w:val="bottom"/>
          </w:tcPr>
          <w:p>
            <w:pPr>
              <w:ind w:left="20"/>
              <w:spacing w:after="0"/>
              <w:rPr>
                <w:sz w:val="20"/>
                <w:szCs w:val="20"/>
                <w:color w:val="auto"/>
              </w:rPr>
            </w:pPr>
            <w:r>
              <w:rPr>
                <w:rFonts w:ascii="Arial" w:cs="Arial" w:eastAsia="Arial" w:hAnsi="Arial"/>
                <w:sz w:val="18"/>
                <w:szCs w:val="18"/>
                <w:color w:val="auto"/>
              </w:rPr>
              <w:t>Projected benefit obligation</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774</w:t>
            </w: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812</w:t>
            </w:r>
          </w:p>
        </w:tc>
      </w:tr>
      <w:tr>
        <w:trPr>
          <w:trHeight w:val="242"/>
        </w:trPr>
        <w:tc>
          <w:tcPr>
            <w:tcW w:w="3120" w:type="dxa"/>
            <w:vAlign w:val="bottom"/>
          </w:tcPr>
          <w:p>
            <w:pPr>
              <w:ind w:left="20"/>
              <w:spacing w:after="0"/>
              <w:rPr>
                <w:sz w:val="20"/>
                <w:szCs w:val="20"/>
                <w:color w:val="auto"/>
              </w:rPr>
            </w:pPr>
            <w:r>
              <w:rPr>
                <w:rFonts w:ascii="Arial" w:cs="Arial" w:eastAsia="Arial" w:hAnsi="Arial"/>
                <w:sz w:val="18"/>
                <w:szCs w:val="18"/>
                <w:color w:val="auto"/>
              </w:rPr>
              <w:t>Accumulated benefit obligation</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771</w:t>
            </w: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809</w:t>
            </w:r>
          </w:p>
        </w:tc>
      </w:tr>
      <w:tr>
        <w:trPr>
          <w:trHeight w:val="277"/>
        </w:trPr>
        <w:tc>
          <w:tcPr>
            <w:tcW w:w="3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Fair value of plan assets</w:t>
            </w: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684</w:t>
            </w:r>
          </w:p>
        </w:tc>
        <w:tc>
          <w:tcPr>
            <w:tcW w:w="4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679</w:t>
            </w:r>
          </w:p>
        </w:tc>
      </w:tr>
    </w:tbl>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color w:val="auto"/>
        </w:rPr>
        <w:t>86</w:t>
      </w:r>
    </w:p>
    <w:p>
      <w:pPr>
        <w:sectPr>
          <w:pgSz w:w="11900" w:h="16838" w:orient="portrait"/>
          <w:cols w:equalWidth="0" w:num="1">
            <w:col w:w="11180"/>
          </w:cols>
          <w:pgMar w:left="240" w:top="122" w:right="479" w:bottom="1440" w:gutter="0" w:footer="0" w:header="0"/>
        </w:sectPr>
      </w:pPr>
    </w:p>
    <w:bookmarkStart w:id="154" w:name="page155"/>
    <w:bookmarkEnd w:id="154"/>
    <w:p>
      <w:pPr>
        <w:spacing w:after="0" w:line="262" w:lineRule="auto"/>
        <w:rPr>
          <w:sz w:val="20"/>
          <w:szCs w:val="20"/>
          <w:color w:val="auto"/>
        </w:rPr>
      </w:pPr>
      <w:r>
        <w:rPr>
          <w:rFonts w:ascii="Arial" w:cs="Arial" w:eastAsia="Arial" w:hAnsi="Arial"/>
          <w:sz w:val="20"/>
          <w:szCs w:val="20"/>
          <w:color w:val="auto"/>
        </w:rPr>
        <w:t>The following table provides the components of net periodic benefit cost and amounts recognized in other comprehensive income for the years ended December 31:</w:t>
      </w:r>
    </w:p>
    <w:p>
      <w:pPr>
        <w:spacing w:after="0" w:line="244" w:lineRule="exact"/>
        <w:rPr>
          <w:sz w:val="20"/>
          <w:szCs w:val="20"/>
          <w:color w:val="auto"/>
        </w:rPr>
      </w:pPr>
    </w:p>
    <w:tbl>
      <w:tblPr>
        <w:tblLayout w:type="fixed"/>
        <w:tblInd w:w="84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90"/>
              <w:spacing w:after="0"/>
              <w:rPr>
                <w:sz w:val="20"/>
                <w:szCs w:val="20"/>
                <w:color w:val="auto"/>
              </w:rPr>
            </w:pPr>
            <w:r>
              <w:rPr>
                <w:rFonts w:ascii="Arial" w:cs="Arial" w:eastAsia="Arial" w:hAnsi="Arial"/>
                <w:sz w:val="18"/>
                <w:szCs w:val="18"/>
                <w:color w:val="auto"/>
                <w:w w:val="88"/>
              </w:rPr>
              <w:t>Other</w:t>
            </w: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Pension Benefits</w:t>
            </w:r>
          </w:p>
        </w:tc>
        <w:tc>
          <w:tcPr>
            <w:tcW w:w="24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4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06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color w:val="auto"/>
              </w:rPr>
              <w:t>Postretirement Benefits</w:t>
            </w:r>
          </w:p>
        </w:tc>
        <w:tc>
          <w:tcPr>
            <w:tcW w:w="7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5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(Dollars in millions)</w:t>
            </w:r>
          </w:p>
        </w:tc>
        <w:tc>
          <w:tcPr>
            <w:tcW w:w="2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2007</w:t>
            </w:r>
          </w:p>
        </w:tc>
        <w:tc>
          <w:tcPr>
            <w:tcW w:w="3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2006</w:t>
            </w:r>
          </w:p>
        </w:tc>
        <w:tc>
          <w:tcPr>
            <w:tcW w:w="2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2005</w:t>
            </w:r>
          </w:p>
        </w:tc>
        <w:tc>
          <w:tcPr>
            <w:tcW w:w="4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2007</w:t>
            </w: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2006</w:t>
            </w:r>
          </w:p>
        </w:tc>
        <w:tc>
          <w:tcPr>
            <w:tcW w:w="3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2005</w:t>
            </w:r>
          </w:p>
        </w:tc>
        <w:tc>
          <w:tcPr>
            <w:tcW w:w="0" w:type="dxa"/>
            <w:vAlign w:val="bottom"/>
          </w:tcPr>
          <w:p>
            <w:pPr>
              <w:spacing w:after="0"/>
              <w:rPr>
                <w:sz w:val="1"/>
                <w:szCs w:val="1"/>
                <w:color w:val="auto"/>
              </w:rPr>
            </w:pPr>
          </w:p>
        </w:tc>
      </w:tr>
      <w:tr>
        <w:trPr>
          <w:trHeight w:val="236"/>
        </w:trPr>
        <w:tc>
          <w:tcPr>
            <w:tcW w:w="35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Periodic Benefit Cost</w:t>
            </w: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20"/>
              <w:spacing w:after="0"/>
              <w:rPr>
                <w:sz w:val="20"/>
                <w:szCs w:val="20"/>
                <w:color w:val="auto"/>
              </w:rPr>
            </w:pPr>
            <w:r>
              <w:rPr>
                <w:rFonts w:ascii="Arial" w:cs="Arial" w:eastAsia="Arial" w:hAnsi="Arial"/>
                <w:sz w:val="18"/>
                <w:szCs w:val="18"/>
                <w:color w:val="auto"/>
              </w:rPr>
              <w:t>Service cost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10"/>
              <w:spacing w:after="0"/>
              <w:rPr>
                <w:sz w:val="20"/>
                <w:szCs w:val="20"/>
                <w:color w:val="auto"/>
              </w:rPr>
            </w:pPr>
            <w:r>
              <w:rPr>
                <w:rFonts w:ascii="Arial" w:cs="Arial" w:eastAsia="Arial" w:hAnsi="Arial"/>
                <w:sz w:val="18"/>
                <w:szCs w:val="18"/>
                <w:color w:val="auto"/>
              </w:rPr>
              <w:t>76</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70"/>
              <w:spacing w:after="0"/>
              <w:rPr>
                <w:sz w:val="20"/>
                <w:szCs w:val="20"/>
                <w:color w:val="auto"/>
              </w:rPr>
            </w:pPr>
            <w:r>
              <w:rPr>
                <w:rFonts w:ascii="Arial" w:cs="Arial" w:eastAsia="Arial" w:hAnsi="Arial"/>
                <w:sz w:val="18"/>
                <w:szCs w:val="18"/>
                <w:color w:val="auto"/>
              </w:rPr>
              <w:t>73</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62</w:t>
            </w:r>
          </w:p>
        </w:tc>
        <w:tc>
          <w:tcPr>
            <w:tcW w:w="420" w:type="dxa"/>
            <w:vAlign w:val="bottom"/>
          </w:tcPr>
          <w:p>
            <w:pPr>
              <w:spacing w:after="0"/>
              <w:rPr>
                <w:sz w:val="20"/>
                <w:szCs w:val="20"/>
                <w:color w:val="auto"/>
              </w:rPr>
            </w:pP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10"/>
              <w:spacing w:after="0"/>
              <w:rPr>
                <w:sz w:val="20"/>
                <w:szCs w:val="20"/>
                <w:color w:val="auto"/>
              </w:rPr>
            </w:pPr>
            <w:r>
              <w:rPr>
                <w:rFonts w:ascii="Arial" w:cs="Arial" w:eastAsia="Arial" w:hAnsi="Arial"/>
                <w:sz w:val="18"/>
                <w:szCs w:val="18"/>
                <w:color w:val="auto"/>
              </w:rPr>
              <w:t>26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10"/>
              <w:spacing w:after="0"/>
              <w:rPr>
                <w:sz w:val="20"/>
                <w:szCs w:val="20"/>
                <w:color w:val="auto"/>
              </w:rPr>
            </w:pPr>
            <w:r>
              <w:rPr>
                <w:rFonts w:ascii="Arial" w:cs="Arial" w:eastAsia="Arial" w:hAnsi="Arial"/>
                <w:sz w:val="18"/>
                <w:szCs w:val="18"/>
                <w:color w:val="auto"/>
              </w:rPr>
              <w:t>24</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9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2"/>
        </w:trPr>
        <w:tc>
          <w:tcPr>
            <w:tcW w:w="354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240" w:type="dxa"/>
            <w:vAlign w:val="bottom"/>
          </w:tcPr>
          <w:p>
            <w:pPr>
              <w:spacing w:after="0"/>
              <w:rPr>
                <w:sz w:val="21"/>
                <w:szCs w:val="21"/>
                <w:color w:val="auto"/>
              </w:rPr>
            </w:pPr>
          </w:p>
        </w:tc>
        <w:tc>
          <w:tcPr>
            <w:tcW w:w="680" w:type="dxa"/>
            <w:vAlign w:val="bottom"/>
          </w:tcPr>
          <w:p>
            <w:pPr>
              <w:jc w:val="right"/>
              <w:ind w:right="110"/>
              <w:spacing w:after="0"/>
              <w:rPr>
                <w:sz w:val="20"/>
                <w:szCs w:val="20"/>
                <w:color w:val="auto"/>
              </w:rPr>
            </w:pPr>
            <w:r>
              <w:rPr>
                <w:rFonts w:ascii="Arial" w:cs="Arial" w:eastAsia="Arial" w:hAnsi="Arial"/>
                <w:sz w:val="18"/>
                <w:szCs w:val="18"/>
                <w:color w:val="auto"/>
              </w:rPr>
              <w:t>164</w:t>
            </w:r>
          </w:p>
        </w:tc>
        <w:tc>
          <w:tcPr>
            <w:tcW w:w="320" w:type="dxa"/>
            <w:vAlign w:val="bottom"/>
          </w:tcPr>
          <w:p>
            <w:pPr>
              <w:spacing w:after="0"/>
              <w:rPr>
                <w:sz w:val="21"/>
                <w:szCs w:val="21"/>
                <w:color w:val="auto"/>
              </w:rPr>
            </w:pPr>
          </w:p>
        </w:tc>
        <w:tc>
          <w:tcPr>
            <w:tcW w:w="740" w:type="dxa"/>
            <w:vAlign w:val="bottom"/>
          </w:tcPr>
          <w:p>
            <w:pPr>
              <w:jc w:val="right"/>
              <w:ind w:right="170"/>
              <w:spacing w:after="0"/>
              <w:rPr>
                <w:sz w:val="20"/>
                <w:szCs w:val="20"/>
                <w:color w:val="auto"/>
              </w:rPr>
            </w:pPr>
            <w:r>
              <w:rPr>
                <w:rFonts w:ascii="Arial" w:cs="Arial" w:eastAsia="Arial" w:hAnsi="Arial"/>
                <w:sz w:val="18"/>
                <w:szCs w:val="18"/>
                <w:color w:val="auto"/>
              </w:rPr>
              <w:t>158</w:t>
            </w:r>
          </w:p>
        </w:tc>
        <w:tc>
          <w:tcPr>
            <w:tcW w:w="2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153</w:t>
            </w:r>
          </w:p>
        </w:tc>
        <w:tc>
          <w:tcPr>
            <w:tcW w:w="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jc w:val="right"/>
              <w:ind w:right="110"/>
              <w:spacing w:after="0"/>
              <w:rPr>
                <w:sz w:val="20"/>
                <w:szCs w:val="20"/>
                <w:color w:val="auto"/>
              </w:rPr>
            </w:pPr>
            <w:r>
              <w:rPr>
                <w:rFonts w:ascii="Arial" w:cs="Arial" w:eastAsia="Arial" w:hAnsi="Arial"/>
                <w:sz w:val="18"/>
                <w:szCs w:val="18"/>
                <w:color w:val="auto"/>
              </w:rPr>
              <w:t>54</w:t>
            </w:r>
          </w:p>
        </w:tc>
        <w:tc>
          <w:tcPr>
            <w:tcW w:w="220" w:type="dxa"/>
            <w:vAlign w:val="bottom"/>
          </w:tcPr>
          <w:p>
            <w:pPr>
              <w:spacing w:after="0"/>
              <w:rPr>
                <w:sz w:val="21"/>
                <w:szCs w:val="21"/>
                <w:color w:val="auto"/>
              </w:rPr>
            </w:pPr>
          </w:p>
        </w:tc>
        <w:tc>
          <w:tcPr>
            <w:tcW w:w="800" w:type="dxa"/>
            <w:vAlign w:val="bottom"/>
          </w:tcPr>
          <w:p>
            <w:pPr>
              <w:jc w:val="right"/>
              <w:ind w:right="110"/>
              <w:spacing w:after="0"/>
              <w:rPr>
                <w:sz w:val="20"/>
                <w:szCs w:val="20"/>
                <w:color w:val="auto"/>
              </w:rPr>
            </w:pPr>
            <w:r>
              <w:rPr>
                <w:rFonts w:ascii="Arial" w:cs="Arial" w:eastAsia="Arial" w:hAnsi="Arial"/>
                <w:sz w:val="18"/>
                <w:szCs w:val="18"/>
                <w:color w:val="auto"/>
              </w:rPr>
              <w:t>45</w:t>
            </w:r>
          </w:p>
        </w:tc>
        <w:tc>
          <w:tcPr>
            <w:tcW w:w="360" w:type="dxa"/>
            <w:vAlign w:val="bottom"/>
          </w:tcPr>
          <w:p>
            <w:pPr>
              <w:spacing w:after="0"/>
              <w:rPr>
                <w:sz w:val="21"/>
                <w:szCs w:val="21"/>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43"/>
        </w:trPr>
        <w:tc>
          <w:tcPr>
            <w:tcW w:w="3540" w:type="dxa"/>
            <w:vAlign w:val="bottom"/>
          </w:tcPr>
          <w:p>
            <w:pPr>
              <w:ind w:left="20"/>
              <w:spacing w:after="0"/>
              <w:rPr>
                <w:sz w:val="20"/>
                <w:szCs w:val="20"/>
                <w:color w:val="auto"/>
              </w:rPr>
            </w:pPr>
            <w:r>
              <w:rPr>
                <w:rFonts w:ascii="Arial" w:cs="Arial" w:eastAsia="Arial" w:hAnsi="Arial"/>
                <w:sz w:val="18"/>
                <w:szCs w:val="18"/>
                <w:color w:val="auto"/>
              </w:rPr>
              <w:t>Expected return on assets</w:t>
            </w:r>
          </w:p>
        </w:tc>
        <w:tc>
          <w:tcPr>
            <w:tcW w:w="2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(158 )</w:t>
            </w:r>
          </w:p>
        </w:tc>
        <w:tc>
          <w:tcPr>
            <w:tcW w:w="320" w:type="dxa"/>
            <w:vAlign w:val="bottom"/>
          </w:tcPr>
          <w:p>
            <w:pPr>
              <w:spacing w:after="0"/>
              <w:rPr>
                <w:sz w:val="21"/>
                <w:szCs w:val="21"/>
                <w:color w:val="auto"/>
              </w:rPr>
            </w:pP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(149 )</w:t>
            </w:r>
          </w:p>
        </w:tc>
        <w:tc>
          <w:tcPr>
            <w:tcW w:w="240" w:type="dxa"/>
            <w:vAlign w:val="bottom"/>
          </w:tcPr>
          <w:p>
            <w:pPr>
              <w:spacing w:after="0"/>
              <w:rPr>
                <w:sz w:val="21"/>
                <w:szCs w:val="21"/>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(153 )</w:t>
            </w:r>
          </w:p>
        </w:tc>
        <w:tc>
          <w:tcPr>
            <w:tcW w:w="28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(44 )</w:t>
            </w: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(40 )</w:t>
            </w:r>
          </w:p>
        </w:tc>
        <w:tc>
          <w:tcPr>
            <w:tcW w:w="360" w:type="dxa"/>
            <w:vAlign w:val="bottom"/>
          </w:tcPr>
          <w:p>
            <w:pPr>
              <w:spacing w:after="0"/>
              <w:rPr>
                <w:sz w:val="21"/>
                <w:szCs w:val="21"/>
                <w:color w:val="auto"/>
              </w:rPr>
            </w:pPr>
          </w:p>
        </w:tc>
        <w:tc>
          <w:tcPr>
            <w:tcW w:w="740" w:type="dxa"/>
            <w:vAlign w:val="bottom"/>
          </w:tcPr>
          <w:p>
            <w:pPr>
              <w:jc w:val="right"/>
              <w:ind w:right="110"/>
              <w:spacing w:after="0"/>
              <w:rPr>
                <w:sz w:val="20"/>
                <w:szCs w:val="20"/>
                <w:color w:val="auto"/>
              </w:rPr>
            </w:pPr>
            <w:r>
              <w:rPr>
                <w:rFonts w:ascii="Arial" w:cs="Arial" w:eastAsia="Arial" w:hAnsi="Arial"/>
                <w:sz w:val="18"/>
                <w:szCs w:val="18"/>
                <w:color w:val="auto"/>
              </w:rPr>
              <w:t>(39 )</w:t>
            </w:r>
          </w:p>
        </w:tc>
        <w:tc>
          <w:tcPr>
            <w:tcW w:w="0" w:type="dxa"/>
            <w:vAlign w:val="bottom"/>
          </w:tcPr>
          <w:p>
            <w:pPr>
              <w:spacing w:after="0"/>
              <w:rPr>
                <w:sz w:val="1"/>
                <w:szCs w:val="1"/>
                <w:color w:val="auto"/>
              </w:rPr>
            </w:pPr>
          </w:p>
        </w:tc>
      </w:tr>
      <w:tr>
        <w:trPr>
          <w:trHeight w:val="243"/>
        </w:trPr>
        <w:tc>
          <w:tcPr>
            <w:tcW w:w="3540" w:type="dxa"/>
            <w:vAlign w:val="bottom"/>
          </w:tcPr>
          <w:p>
            <w:pPr>
              <w:ind w:left="20"/>
              <w:spacing w:after="0"/>
              <w:rPr>
                <w:sz w:val="20"/>
                <w:szCs w:val="20"/>
                <w:color w:val="auto"/>
              </w:rPr>
            </w:pPr>
            <w:r>
              <w:rPr>
                <w:rFonts w:ascii="Arial" w:cs="Arial" w:eastAsia="Arial" w:hAnsi="Arial"/>
                <w:sz w:val="18"/>
                <w:szCs w:val="18"/>
                <w:color w:val="auto"/>
              </w:rPr>
              <w:t>Amortization of:</w:t>
            </w: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200"/>
              <w:spacing w:after="0"/>
              <w:rPr>
                <w:sz w:val="20"/>
                <w:szCs w:val="20"/>
                <w:color w:val="auto"/>
              </w:rPr>
            </w:pPr>
            <w:r>
              <w:rPr>
                <w:rFonts w:ascii="Arial" w:cs="Arial" w:eastAsia="Arial" w:hAnsi="Arial"/>
                <w:sz w:val="18"/>
                <w:szCs w:val="18"/>
                <w:color w:val="auto"/>
              </w:rPr>
              <w:t>Prior service cost (credit)</w:t>
            </w:r>
          </w:p>
        </w:tc>
        <w:tc>
          <w:tcPr>
            <w:tcW w:w="240" w:type="dxa"/>
            <w:vAlign w:val="bottom"/>
          </w:tcPr>
          <w:p>
            <w:pPr>
              <w:spacing w:after="0"/>
              <w:rPr>
                <w:sz w:val="21"/>
                <w:szCs w:val="21"/>
                <w:color w:val="auto"/>
              </w:rPr>
            </w:pPr>
          </w:p>
        </w:tc>
        <w:tc>
          <w:tcPr>
            <w:tcW w:w="680" w:type="dxa"/>
            <w:vAlign w:val="bottom"/>
          </w:tcPr>
          <w:p>
            <w:pPr>
              <w:jc w:val="right"/>
              <w:ind w:right="110"/>
              <w:spacing w:after="0"/>
              <w:rPr>
                <w:sz w:val="20"/>
                <w:szCs w:val="20"/>
                <w:color w:val="auto"/>
              </w:rPr>
            </w:pPr>
            <w:r>
              <w:rPr>
                <w:rFonts w:ascii="Arial" w:cs="Arial" w:eastAsia="Arial" w:hAnsi="Arial"/>
                <w:sz w:val="18"/>
                <w:szCs w:val="18"/>
                <w:color w:val="auto"/>
              </w:rPr>
              <w:t>5</w:t>
            </w:r>
          </w:p>
        </w:tc>
        <w:tc>
          <w:tcPr>
            <w:tcW w:w="320" w:type="dxa"/>
            <w:vAlign w:val="bottom"/>
          </w:tcPr>
          <w:p>
            <w:pPr>
              <w:spacing w:after="0"/>
              <w:rPr>
                <w:sz w:val="21"/>
                <w:szCs w:val="21"/>
                <w:color w:val="auto"/>
              </w:rPr>
            </w:pPr>
          </w:p>
        </w:tc>
        <w:tc>
          <w:tcPr>
            <w:tcW w:w="740" w:type="dxa"/>
            <w:vAlign w:val="bottom"/>
          </w:tcPr>
          <w:p>
            <w:pPr>
              <w:jc w:val="right"/>
              <w:ind w:right="170"/>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w:t>
            </w:r>
          </w:p>
        </w:tc>
        <w:tc>
          <w:tcPr>
            <w:tcW w:w="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(3 )</w:t>
            </w: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(3 )</w:t>
            </w:r>
          </w:p>
        </w:tc>
        <w:tc>
          <w:tcPr>
            <w:tcW w:w="360" w:type="dxa"/>
            <w:vAlign w:val="bottom"/>
          </w:tcPr>
          <w:p>
            <w:pPr>
              <w:spacing w:after="0"/>
              <w:rPr>
                <w:sz w:val="21"/>
                <w:szCs w:val="21"/>
                <w:color w:val="auto"/>
              </w:rPr>
            </w:pPr>
          </w:p>
        </w:tc>
        <w:tc>
          <w:tcPr>
            <w:tcW w:w="740" w:type="dxa"/>
            <w:vAlign w:val="bottom"/>
          </w:tcPr>
          <w:p>
            <w:pPr>
              <w:jc w:val="right"/>
              <w:ind w:right="110"/>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43"/>
        </w:trPr>
        <w:tc>
          <w:tcPr>
            <w:tcW w:w="3540" w:type="dxa"/>
            <w:vAlign w:val="bottom"/>
          </w:tcPr>
          <w:p>
            <w:pPr>
              <w:ind w:left="200"/>
              <w:spacing w:after="0"/>
              <w:rPr>
                <w:sz w:val="20"/>
                <w:szCs w:val="20"/>
                <w:color w:val="auto"/>
              </w:rPr>
            </w:pPr>
            <w:r>
              <w:rPr>
                <w:rFonts w:ascii="Arial" w:cs="Arial" w:eastAsia="Arial" w:hAnsi="Arial"/>
                <w:sz w:val="18"/>
                <w:szCs w:val="18"/>
                <w:color w:val="auto"/>
              </w:rPr>
              <w:t>Actuarial loss</w:t>
            </w:r>
          </w:p>
        </w:tc>
        <w:tc>
          <w:tcPr>
            <w:tcW w:w="240" w:type="dxa"/>
            <w:vAlign w:val="bottom"/>
          </w:tcPr>
          <w:p>
            <w:pPr>
              <w:spacing w:after="0"/>
              <w:rPr>
                <w:sz w:val="21"/>
                <w:szCs w:val="21"/>
                <w:color w:val="auto"/>
              </w:rPr>
            </w:pPr>
          </w:p>
        </w:tc>
        <w:tc>
          <w:tcPr>
            <w:tcW w:w="680" w:type="dxa"/>
            <w:vAlign w:val="bottom"/>
          </w:tcPr>
          <w:p>
            <w:pPr>
              <w:jc w:val="right"/>
              <w:ind w:right="110"/>
              <w:spacing w:after="0"/>
              <w:rPr>
                <w:sz w:val="20"/>
                <w:szCs w:val="20"/>
                <w:color w:val="auto"/>
              </w:rPr>
            </w:pPr>
            <w:r>
              <w:rPr>
                <w:rFonts w:ascii="Arial" w:cs="Arial" w:eastAsia="Arial" w:hAnsi="Arial"/>
                <w:sz w:val="18"/>
                <w:szCs w:val="18"/>
                <w:color w:val="auto"/>
              </w:rPr>
              <w:t>8</w:t>
            </w:r>
          </w:p>
        </w:tc>
        <w:tc>
          <w:tcPr>
            <w:tcW w:w="320" w:type="dxa"/>
            <w:vAlign w:val="bottom"/>
          </w:tcPr>
          <w:p>
            <w:pPr>
              <w:spacing w:after="0"/>
              <w:rPr>
                <w:sz w:val="21"/>
                <w:szCs w:val="21"/>
                <w:color w:val="auto"/>
              </w:rPr>
            </w:pPr>
          </w:p>
        </w:tc>
        <w:tc>
          <w:tcPr>
            <w:tcW w:w="740" w:type="dxa"/>
            <w:vAlign w:val="bottom"/>
          </w:tcPr>
          <w:p>
            <w:pPr>
              <w:jc w:val="right"/>
              <w:ind w:right="170"/>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w:t>
            </w:r>
          </w:p>
        </w:tc>
        <w:tc>
          <w:tcPr>
            <w:tcW w:w="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jc w:val="right"/>
              <w:ind w:right="110"/>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21"/>
                <w:szCs w:val="21"/>
                <w:color w:val="auto"/>
              </w:rPr>
            </w:pPr>
          </w:p>
        </w:tc>
        <w:tc>
          <w:tcPr>
            <w:tcW w:w="800" w:type="dxa"/>
            <w:vAlign w:val="bottom"/>
          </w:tcPr>
          <w:p>
            <w:pPr>
              <w:jc w:val="right"/>
              <w:ind w:right="110"/>
              <w:spacing w:after="0"/>
              <w:rPr>
                <w:sz w:val="20"/>
                <w:szCs w:val="20"/>
                <w:color w:val="auto"/>
              </w:rPr>
            </w:pPr>
            <w:r>
              <w:rPr>
                <w:rFonts w:ascii="Arial" w:cs="Arial" w:eastAsia="Arial" w:hAnsi="Arial"/>
                <w:sz w:val="18"/>
                <w:szCs w:val="18"/>
                <w:color w:val="auto"/>
              </w:rPr>
              <w:t>3</w:t>
            </w:r>
          </w:p>
        </w:tc>
        <w:tc>
          <w:tcPr>
            <w:tcW w:w="360" w:type="dxa"/>
            <w:vAlign w:val="bottom"/>
          </w:tcPr>
          <w:p>
            <w:pPr>
              <w:spacing w:after="0"/>
              <w:rPr>
                <w:sz w:val="21"/>
                <w:szCs w:val="21"/>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3540" w:type="dxa"/>
            <w:vAlign w:val="bottom"/>
          </w:tcPr>
          <w:p>
            <w:pPr>
              <w:ind w:left="20"/>
              <w:spacing w:after="0"/>
              <w:rPr>
                <w:sz w:val="20"/>
                <w:szCs w:val="20"/>
                <w:color w:val="auto"/>
              </w:rPr>
            </w:pPr>
            <w:r>
              <w:rPr>
                <w:rFonts w:ascii="Arial" w:cs="Arial" w:eastAsia="Arial" w:hAnsi="Arial"/>
                <w:sz w:val="18"/>
                <w:szCs w:val="18"/>
                <w:color w:val="auto"/>
              </w:rPr>
              <w:t>Regulatory adjustment</w:t>
            </w:r>
          </w:p>
        </w:tc>
        <w:tc>
          <w:tcPr>
            <w:tcW w:w="2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(34 )</w:t>
            </w:r>
          </w:p>
        </w:tc>
        <w:tc>
          <w:tcPr>
            <w:tcW w:w="320" w:type="dxa"/>
            <w:vAlign w:val="bottom"/>
          </w:tcPr>
          <w:p>
            <w:pPr>
              <w:spacing w:after="0"/>
              <w:rPr>
                <w:sz w:val="21"/>
                <w:szCs w:val="21"/>
                <w:color w:val="auto"/>
              </w:rPr>
            </w:pP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(38 )</w:t>
            </w:r>
          </w:p>
        </w:tc>
        <w:tc>
          <w:tcPr>
            <w:tcW w:w="240" w:type="dxa"/>
            <w:vAlign w:val="bottom"/>
          </w:tcPr>
          <w:p>
            <w:pPr>
              <w:spacing w:after="0"/>
              <w:rPr>
                <w:sz w:val="21"/>
                <w:szCs w:val="21"/>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(36 )</w:t>
            </w:r>
          </w:p>
        </w:tc>
        <w:tc>
          <w:tcPr>
            <w:tcW w:w="280" w:type="dxa"/>
            <w:vAlign w:val="bottom"/>
          </w:tcPr>
          <w:p>
            <w:pPr>
              <w:spacing w:after="0"/>
              <w:rPr>
                <w:sz w:val="21"/>
                <w:szCs w:val="21"/>
                <w:color w:val="auto"/>
              </w:rPr>
            </w:pPr>
          </w:p>
        </w:tc>
        <w:tc>
          <w:tcPr>
            <w:tcW w:w="680" w:type="dxa"/>
            <w:vAlign w:val="bottom"/>
          </w:tcPr>
          <w:p>
            <w:pPr>
              <w:jc w:val="right"/>
              <w:ind w:right="110"/>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21"/>
                <w:szCs w:val="21"/>
                <w:color w:val="auto"/>
              </w:rPr>
            </w:pPr>
          </w:p>
        </w:tc>
        <w:tc>
          <w:tcPr>
            <w:tcW w:w="800" w:type="dxa"/>
            <w:vAlign w:val="bottom"/>
          </w:tcPr>
          <w:p>
            <w:pPr>
              <w:jc w:val="right"/>
              <w:ind w:right="110"/>
              <w:spacing w:after="0"/>
              <w:rPr>
                <w:sz w:val="20"/>
                <w:szCs w:val="20"/>
                <w:color w:val="auto"/>
              </w:rPr>
            </w:pPr>
            <w:r>
              <w:rPr>
                <w:rFonts w:ascii="Arial" w:cs="Arial" w:eastAsia="Arial" w:hAnsi="Arial"/>
                <w:sz w:val="18"/>
                <w:szCs w:val="18"/>
                <w:color w:val="auto"/>
              </w:rPr>
              <w:t>4</w:t>
            </w:r>
          </w:p>
        </w:tc>
        <w:tc>
          <w:tcPr>
            <w:tcW w:w="360" w:type="dxa"/>
            <w:vAlign w:val="bottom"/>
          </w:tcPr>
          <w:p>
            <w:pPr>
              <w:spacing w:after="0"/>
              <w:rPr>
                <w:sz w:val="21"/>
                <w:szCs w:val="21"/>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3540" w:type="dxa"/>
            <w:vAlign w:val="bottom"/>
          </w:tcPr>
          <w:p>
            <w:pPr>
              <w:ind w:left="20"/>
              <w:spacing w:after="0"/>
              <w:rPr>
                <w:sz w:val="20"/>
                <w:szCs w:val="20"/>
                <w:color w:val="auto"/>
              </w:rPr>
            </w:pPr>
            <w:r>
              <w:rPr>
                <w:rFonts w:ascii="Arial" w:cs="Arial" w:eastAsia="Arial" w:hAnsi="Arial"/>
                <w:sz w:val="18"/>
                <w:szCs w:val="18"/>
                <w:color w:val="auto"/>
              </w:rPr>
              <w:t>Transfer of retirees</w:t>
            </w:r>
          </w:p>
        </w:tc>
        <w:tc>
          <w:tcPr>
            <w:tcW w:w="240" w:type="dxa"/>
            <w:vAlign w:val="bottom"/>
          </w:tcPr>
          <w:p>
            <w:pPr>
              <w:spacing w:after="0"/>
              <w:rPr>
                <w:sz w:val="21"/>
                <w:szCs w:val="21"/>
                <w:color w:val="auto"/>
              </w:rPr>
            </w:pPr>
          </w:p>
        </w:tc>
        <w:tc>
          <w:tcPr>
            <w:tcW w:w="6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7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30</w:t>
            </w:r>
          </w:p>
        </w:tc>
        <w:tc>
          <w:tcPr>
            <w:tcW w:w="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740" w:type="dxa"/>
            <w:vAlign w:val="bottom"/>
          </w:tcPr>
          <w:p>
            <w:pPr>
              <w:jc w:val="right"/>
              <w:ind w:right="110"/>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43"/>
        </w:trPr>
        <w:tc>
          <w:tcPr>
            <w:tcW w:w="3540" w:type="dxa"/>
            <w:vAlign w:val="bottom"/>
          </w:tcPr>
          <w:p>
            <w:pPr>
              <w:ind w:left="20"/>
              <w:spacing w:after="0"/>
              <w:rPr>
                <w:sz w:val="20"/>
                <w:szCs w:val="20"/>
                <w:color w:val="auto"/>
              </w:rPr>
            </w:pPr>
            <w:r>
              <w:rPr>
                <w:rFonts w:ascii="Arial" w:cs="Arial" w:eastAsia="Arial" w:hAnsi="Arial"/>
                <w:sz w:val="18"/>
                <w:szCs w:val="18"/>
                <w:color w:val="auto"/>
              </w:rPr>
              <w:t>Special termination benefit charge</w:t>
            </w:r>
          </w:p>
        </w:tc>
        <w:tc>
          <w:tcPr>
            <w:tcW w:w="240" w:type="dxa"/>
            <w:vAlign w:val="bottom"/>
          </w:tcPr>
          <w:p>
            <w:pPr>
              <w:spacing w:after="0"/>
              <w:rPr>
                <w:sz w:val="21"/>
                <w:szCs w:val="21"/>
                <w:color w:val="auto"/>
              </w:rPr>
            </w:pPr>
          </w:p>
        </w:tc>
        <w:tc>
          <w:tcPr>
            <w:tcW w:w="680" w:type="dxa"/>
            <w:vAlign w:val="bottom"/>
          </w:tcPr>
          <w:p>
            <w:pPr>
              <w:jc w:val="right"/>
              <w:ind w:right="110"/>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21"/>
                <w:szCs w:val="21"/>
                <w:color w:val="auto"/>
              </w:rPr>
            </w:pPr>
          </w:p>
        </w:tc>
        <w:tc>
          <w:tcPr>
            <w:tcW w:w="7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540" w:type="dxa"/>
            <w:vAlign w:val="bottom"/>
          </w:tcPr>
          <w:p>
            <w:pPr>
              <w:ind w:left="20"/>
              <w:spacing w:after="0"/>
              <w:rPr>
                <w:sz w:val="20"/>
                <w:szCs w:val="20"/>
                <w:color w:val="auto"/>
              </w:rPr>
            </w:pPr>
            <w:r>
              <w:rPr>
                <w:rFonts w:ascii="Arial" w:cs="Arial" w:eastAsia="Arial" w:hAnsi="Arial"/>
                <w:sz w:val="18"/>
                <w:szCs w:val="18"/>
                <w:color w:val="auto"/>
              </w:rPr>
              <w:t>Curtailment charge</w:t>
            </w:r>
          </w:p>
        </w:tc>
        <w:tc>
          <w:tcPr>
            <w:tcW w:w="2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6</w:t>
            </w:r>
          </w:p>
        </w:tc>
        <w:tc>
          <w:tcPr>
            <w:tcW w:w="3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540" w:type="dxa"/>
            <w:vAlign w:val="bottom"/>
          </w:tcPr>
          <w:p>
            <w:pPr>
              <w:ind w:left="20"/>
              <w:spacing w:after="0"/>
              <w:rPr>
                <w:sz w:val="20"/>
                <w:szCs w:val="20"/>
                <w:color w:val="auto"/>
              </w:rPr>
            </w:pPr>
            <w:r>
              <w:rPr>
                <w:rFonts w:ascii="Arial" w:cs="Arial" w:eastAsia="Arial" w:hAnsi="Arial"/>
                <w:sz w:val="18"/>
                <w:szCs w:val="18"/>
                <w:color w:val="auto"/>
              </w:rPr>
              <w:t>Total net periodic benefit cost</w:t>
            </w:r>
          </w:p>
        </w:tc>
        <w:tc>
          <w:tcPr>
            <w:tcW w:w="2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68</w:t>
            </w:r>
          </w:p>
        </w:tc>
        <w:tc>
          <w:tcPr>
            <w:tcW w:w="3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72</w:t>
            </w:r>
          </w:p>
        </w:tc>
        <w:tc>
          <w:tcPr>
            <w:tcW w:w="2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4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46</w:t>
            </w: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33</w:t>
            </w:r>
          </w:p>
        </w:tc>
        <w:tc>
          <w:tcPr>
            <w:tcW w:w="3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452"/>
        </w:trPr>
        <w:tc>
          <w:tcPr>
            <w:tcW w:w="3540" w:type="dxa"/>
            <w:vAlign w:val="bottom"/>
          </w:tcPr>
          <w:p>
            <w:pPr>
              <w:ind w:left="20"/>
              <w:spacing w:after="0"/>
              <w:rPr>
                <w:sz w:val="20"/>
                <w:szCs w:val="20"/>
                <w:color w:val="auto"/>
              </w:rPr>
            </w:pPr>
            <w:r>
              <w:rPr>
                <w:rFonts w:ascii="Arial" w:cs="Arial" w:eastAsia="Arial" w:hAnsi="Arial"/>
                <w:sz w:val="18"/>
                <w:szCs w:val="18"/>
                <w:color w:val="auto"/>
              </w:rPr>
              <w:t>Other Changes in Plan Assets and Benefit</w:t>
            </w: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540" w:type="dxa"/>
            <w:vAlign w:val="bottom"/>
          </w:tcPr>
          <w:p>
            <w:pPr>
              <w:ind w:left="20"/>
              <w:spacing w:after="0"/>
              <w:rPr>
                <w:sz w:val="20"/>
                <w:szCs w:val="20"/>
                <w:color w:val="auto"/>
              </w:rPr>
            </w:pPr>
            <w:r>
              <w:rPr>
                <w:rFonts w:ascii="Arial" w:cs="Arial" w:eastAsia="Arial" w:hAnsi="Arial"/>
                <w:sz w:val="18"/>
                <w:szCs w:val="18"/>
                <w:color w:val="auto"/>
              </w:rPr>
              <w:t>Obligations Recognized in other</w:t>
            </w: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5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Comprehensive Income</w:t>
            </w: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20"/>
              <w:spacing w:after="0"/>
              <w:rPr>
                <w:sz w:val="20"/>
                <w:szCs w:val="20"/>
                <w:color w:val="auto"/>
              </w:rPr>
            </w:pPr>
            <w:r>
              <w:rPr>
                <w:rFonts w:ascii="Arial" w:cs="Arial" w:eastAsia="Arial" w:hAnsi="Arial"/>
                <w:sz w:val="18"/>
                <w:szCs w:val="18"/>
                <w:color w:val="auto"/>
              </w:rPr>
              <w:t>Net gain</w:t>
            </w:r>
          </w:p>
        </w:tc>
        <w:tc>
          <w:tcPr>
            <w:tcW w:w="240" w:type="dxa"/>
            <w:vAlign w:val="bottom"/>
          </w:tcPr>
          <w:p>
            <w:pPr>
              <w:spacing w:after="0"/>
              <w:rPr>
                <w:sz w:val="20"/>
                <w:szCs w:val="20"/>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(12 )</w:t>
            </w:r>
          </w:p>
        </w:tc>
        <w:tc>
          <w:tcPr>
            <w:tcW w:w="320" w:type="dxa"/>
            <w:vAlign w:val="bottom"/>
          </w:tcPr>
          <w:p>
            <w:pPr>
              <w:spacing w:after="0"/>
              <w:rPr>
                <w:sz w:val="20"/>
                <w:szCs w:val="20"/>
                <w:color w:val="auto"/>
              </w:rPr>
            </w:pPr>
          </w:p>
        </w:tc>
        <w:tc>
          <w:tcPr>
            <w:tcW w:w="7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(2 )</w:t>
            </w:r>
          </w:p>
        </w:tc>
        <w:tc>
          <w:tcPr>
            <w:tcW w:w="220" w:type="dxa"/>
            <w:vAlign w:val="bottom"/>
          </w:tcPr>
          <w:p>
            <w:pPr>
              <w:spacing w:after="0"/>
              <w:rPr>
                <w:sz w:val="20"/>
                <w:szCs w:val="20"/>
                <w:color w:val="auto"/>
              </w:rPr>
            </w:pPr>
          </w:p>
        </w:tc>
        <w:tc>
          <w:tcPr>
            <w:tcW w:w="8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2"/>
        </w:trPr>
        <w:tc>
          <w:tcPr>
            <w:tcW w:w="3540" w:type="dxa"/>
            <w:vAlign w:val="bottom"/>
          </w:tcPr>
          <w:p>
            <w:pPr>
              <w:ind w:left="20"/>
              <w:spacing w:after="0"/>
              <w:rPr>
                <w:sz w:val="20"/>
                <w:szCs w:val="20"/>
                <w:color w:val="auto"/>
              </w:rPr>
            </w:pPr>
            <w:r>
              <w:rPr>
                <w:rFonts w:ascii="Arial" w:cs="Arial" w:eastAsia="Arial" w:hAnsi="Arial"/>
                <w:sz w:val="18"/>
                <w:szCs w:val="18"/>
                <w:color w:val="auto"/>
              </w:rPr>
              <w:t>Prior service credit</w:t>
            </w:r>
          </w:p>
        </w:tc>
        <w:tc>
          <w:tcPr>
            <w:tcW w:w="2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(4 )</w:t>
            </w:r>
          </w:p>
        </w:tc>
        <w:tc>
          <w:tcPr>
            <w:tcW w:w="320" w:type="dxa"/>
            <w:vAlign w:val="bottom"/>
          </w:tcPr>
          <w:p>
            <w:pPr>
              <w:spacing w:after="0"/>
              <w:rPr>
                <w:sz w:val="21"/>
                <w:szCs w:val="21"/>
                <w:color w:val="auto"/>
              </w:rPr>
            </w:pPr>
          </w:p>
        </w:tc>
        <w:tc>
          <w:tcPr>
            <w:tcW w:w="7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40" w:type="dxa"/>
            <w:vAlign w:val="bottom"/>
          </w:tcPr>
          <w:p>
            <w:pPr>
              <w:ind w:left="20"/>
              <w:spacing w:after="0"/>
              <w:rPr>
                <w:sz w:val="20"/>
                <w:szCs w:val="20"/>
                <w:color w:val="auto"/>
              </w:rPr>
            </w:pPr>
            <w:r>
              <w:rPr>
                <w:rFonts w:ascii="Arial" w:cs="Arial" w:eastAsia="Arial" w:hAnsi="Arial"/>
                <w:sz w:val="18"/>
                <w:szCs w:val="18"/>
                <w:color w:val="auto"/>
              </w:rPr>
              <w:t>Amortization of prior service credit</w:t>
            </w:r>
          </w:p>
        </w:tc>
        <w:tc>
          <w:tcPr>
            <w:tcW w:w="240" w:type="dxa"/>
            <w:vAlign w:val="bottom"/>
          </w:tcPr>
          <w:p>
            <w:pPr>
              <w:spacing w:after="0"/>
              <w:rPr>
                <w:sz w:val="21"/>
                <w:szCs w:val="21"/>
                <w:color w:val="auto"/>
              </w:rPr>
            </w:pPr>
          </w:p>
        </w:tc>
        <w:tc>
          <w:tcPr>
            <w:tcW w:w="6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7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jc w:val="right"/>
              <w:ind w:right="11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1"/>
                <w:szCs w:val="21"/>
                <w:color w:val="auto"/>
              </w:rPr>
            </w:pPr>
          </w:p>
        </w:tc>
        <w:tc>
          <w:tcPr>
            <w:tcW w:w="8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540" w:type="dxa"/>
            <w:vAlign w:val="bottom"/>
          </w:tcPr>
          <w:p>
            <w:pPr>
              <w:ind w:left="20"/>
              <w:spacing w:after="0"/>
              <w:rPr>
                <w:sz w:val="20"/>
                <w:szCs w:val="20"/>
                <w:color w:val="auto"/>
              </w:rPr>
            </w:pPr>
            <w:r>
              <w:rPr>
                <w:rFonts w:ascii="Arial" w:cs="Arial" w:eastAsia="Arial" w:hAnsi="Arial"/>
                <w:sz w:val="18"/>
                <w:szCs w:val="18"/>
                <w:color w:val="auto"/>
              </w:rPr>
              <w:t>Amortization of actuarial loss</w:t>
            </w:r>
          </w:p>
        </w:tc>
        <w:tc>
          <w:tcPr>
            <w:tcW w:w="2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(8 )</w:t>
            </w:r>
          </w:p>
        </w:tc>
        <w:tc>
          <w:tcPr>
            <w:tcW w:w="3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3540" w:type="dxa"/>
            <w:vAlign w:val="bottom"/>
          </w:tcPr>
          <w:p>
            <w:pPr>
              <w:ind w:left="200"/>
              <w:spacing w:after="0"/>
              <w:rPr>
                <w:sz w:val="20"/>
                <w:szCs w:val="20"/>
                <w:color w:val="auto"/>
              </w:rPr>
            </w:pPr>
            <w:r>
              <w:rPr>
                <w:rFonts w:ascii="Arial" w:cs="Arial" w:eastAsia="Arial" w:hAnsi="Arial"/>
                <w:sz w:val="18"/>
                <w:szCs w:val="18"/>
                <w:color w:val="auto"/>
              </w:rPr>
              <w:t>Total recognized in other comprehensive</w:t>
            </w:r>
          </w:p>
        </w:tc>
        <w:tc>
          <w:tcPr>
            <w:tcW w:w="240" w:type="dxa"/>
            <w:vAlign w:val="bottom"/>
          </w:tcPr>
          <w:p>
            <w:pPr>
              <w:spacing w:after="0"/>
              <w:rPr>
                <w:sz w:val="18"/>
                <w:szCs w:val="18"/>
                <w:color w:val="auto"/>
              </w:rPr>
            </w:pPr>
          </w:p>
        </w:tc>
        <w:tc>
          <w:tcPr>
            <w:tcW w:w="680" w:type="dxa"/>
            <w:vAlign w:val="bottom"/>
            <w:vMerge w:val="restart"/>
          </w:tcPr>
          <w:p>
            <w:pPr>
              <w:jc w:val="right"/>
              <w:ind w:right="10"/>
              <w:spacing w:after="0"/>
              <w:rPr>
                <w:sz w:val="20"/>
                <w:szCs w:val="20"/>
                <w:color w:val="auto"/>
              </w:rPr>
            </w:pPr>
            <w:r>
              <w:rPr>
                <w:rFonts w:ascii="Arial" w:cs="Arial" w:eastAsia="Arial" w:hAnsi="Arial"/>
                <w:sz w:val="18"/>
                <w:szCs w:val="18"/>
                <w:color w:val="auto"/>
              </w:rPr>
              <w:t>(24 )</w:t>
            </w:r>
          </w:p>
        </w:tc>
        <w:tc>
          <w:tcPr>
            <w:tcW w:w="320" w:type="dxa"/>
            <w:vAlign w:val="bottom"/>
          </w:tcPr>
          <w:p>
            <w:pPr>
              <w:spacing w:after="0"/>
              <w:rPr>
                <w:sz w:val="18"/>
                <w:szCs w:val="18"/>
                <w:color w:val="auto"/>
              </w:rPr>
            </w:pPr>
          </w:p>
        </w:tc>
        <w:tc>
          <w:tcPr>
            <w:tcW w:w="740" w:type="dxa"/>
            <w:vAlign w:val="bottom"/>
            <w:vMerge w:val="restart"/>
          </w:tcPr>
          <w:p>
            <w:pPr>
              <w:jc w:val="right"/>
              <w:ind w:right="17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vMerge w:val="restart"/>
          </w:tcPr>
          <w:p>
            <w:pPr>
              <w:jc w:val="right"/>
              <w:ind w:right="30"/>
              <w:spacing w:after="0"/>
              <w:rPr>
                <w:sz w:val="20"/>
                <w:szCs w:val="20"/>
                <w:color w:val="auto"/>
              </w:rPr>
            </w:pPr>
            <w:r>
              <w:rPr>
                <w:rFonts w:ascii="Arial" w:cs="Arial" w:eastAsia="Arial" w:hAnsi="Arial"/>
                <w:sz w:val="18"/>
                <w:szCs w:val="18"/>
                <w:color w:val="auto"/>
              </w:rPr>
              <w:t>(1 )</w:t>
            </w:r>
          </w:p>
        </w:tc>
        <w:tc>
          <w:tcPr>
            <w:tcW w:w="220" w:type="dxa"/>
            <w:vAlign w:val="bottom"/>
          </w:tcPr>
          <w:p>
            <w:pPr>
              <w:spacing w:after="0"/>
              <w:rPr>
                <w:sz w:val="18"/>
                <w:szCs w:val="18"/>
                <w:color w:val="auto"/>
              </w:rPr>
            </w:pPr>
          </w:p>
        </w:tc>
        <w:tc>
          <w:tcPr>
            <w:tcW w:w="800" w:type="dxa"/>
            <w:vAlign w:val="bottom"/>
            <w:vMerge w:val="restart"/>
          </w:tcPr>
          <w:p>
            <w:pPr>
              <w:jc w:val="right"/>
              <w:ind w:right="11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40" w:type="dxa"/>
            <w:vAlign w:val="bottom"/>
            <w:vMerge w:val="restart"/>
          </w:tcPr>
          <w:p>
            <w:pPr>
              <w:jc w:val="right"/>
              <w:ind w:right="1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40" w:type="dxa"/>
            <w:vAlign w:val="bottom"/>
          </w:tcPr>
          <w:p>
            <w:pPr>
              <w:ind w:left="300"/>
              <w:spacing w:after="0"/>
              <w:rPr>
                <w:sz w:val="20"/>
                <w:szCs w:val="20"/>
                <w:color w:val="auto"/>
              </w:rPr>
            </w:pPr>
            <w:r>
              <w:rPr>
                <w:rFonts w:ascii="Arial" w:cs="Arial" w:eastAsia="Arial" w:hAnsi="Arial"/>
                <w:sz w:val="18"/>
                <w:szCs w:val="18"/>
                <w:color w:val="auto"/>
              </w:rPr>
              <w:t>Income</w:t>
            </w:r>
          </w:p>
        </w:tc>
        <w:tc>
          <w:tcPr>
            <w:tcW w:w="2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vMerge w:val="continue"/>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vMerge w:val="continue"/>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vMerge w:val="continue"/>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vMerge w:val="continue"/>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vMerge w:val="continue"/>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540" w:type="dxa"/>
            <w:vAlign w:val="bottom"/>
          </w:tcPr>
          <w:p>
            <w:pPr>
              <w:ind w:left="200"/>
              <w:spacing w:after="0"/>
              <w:rPr>
                <w:sz w:val="20"/>
                <w:szCs w:val="20"/>
                <w:color w:val="auto"/>
              </w:rPr>
            </w:pPr>
            <w:r>
              <w:rPr>
                <w:rFonts w:ascii="Arial" w:cs="Arial" w:eastAsia="Arial" w:hAnsi="Arial"/>
                <w:sz w:val="18"/>
                <w:szCs w:val="18"/>
                <w:color w:val="auto"/>
                <w:w w:val="95"/>
              </w:rPr>
              <w:t>Total recognized in net periodic benefit cost</w:t>
            </w: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354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and other comprehensive income</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44</w:t>
            </w: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72</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4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45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33</w:t>
            </w:r>
          </w:p>
        </w:tc>
        <w:tc>
          <w:tcPr>
            <w:tcW w:w="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bl>
    <w:p>
      <w:pPr>
        <w:spacing w:after="0" w:line="226" w:lineRule="exact"/>
        <w:rPr>
          <w:sz w:val="20"/>
          <w:szCs w:val="20"/>
          <w:color w:val="auto"/>
        </w:rPr>
      </w:pPr>
    </w:p>
    <w:p>
      <w:pPr>
        <w:ind w:right="200"/>
        <w:spacing w:after="0" w:line="246" w:lineRule="auto"/>
        <w:rPr>
          <w:sz w:val="20"/>
          <w:szCs w:val="20"/>
          <w:color w:val="auto"/>
        </w:rPr>
      </w:pPr>
      <w:r>
        <w:rPr>
          <w:rFonts w:ascii="Arial" w:cs="Arial" w:eastAsia="Arial" w:hAnsi="Arial"/>
          <w:sz w:val="20"/>
          <w:szCs w:val="20"/>
          <w:color w:val="auto"/>
        </w:rPr>
        <w:t>The estimated net loss and prior service credit for the pension plans that will be amortized from Accumulated Other Comprehensive Income (Loss) into net periodic benefit cost in 2008 are $6 million and $1 million, respectively. The estimated prior service credit for the other postretirement benefit plans that will be amortized from Accumulated Other Comprehensive Income (Loss) into net periodic benefit cost in 2008 is $1 million.</w:t>
      </w:r>
    </w:p>
    <w:p>
      <w:pPr>
        <w:spacing w:after="0" w:line="219" w:lineRule="exact"/>
        <w:rPr>
          <w:sz w:val="20"/>
          <w:szCs w:val="20"/>
          <w:color w:val="auto"/>
        </w:rPr>
      </w:pPr>
    </w:p>
    <w:p>
      <w:pPr>
        <w:ind w:right="80"/>
        <w:spacing w:after="0" w:line="278" w:lineRule="auto"/>
        <w:rPr>
          <w:sz w:val="20"/>
          <w:szCs w:val="20"/>
          <w:color w:val="auto"/>
        </w:rPr>
      </w:pPr>
      <w:r>
        <w:rPr>
          <w:rFonts w:ascii="Arial" w:cs="Arial" w:eastAsia="Arial" w:hAnsi="Arial"/>
          <w:sz w:val="18"/>
          <w:szCs w:val="18"/>
          <w:color w:val="auto"/>
        </w:rPr>
        <w:t>The Medicare Prescription Drug, Improvement and Modernization Act of 2003 establishes a prescription drug benefit under Medicare (Medicare Part D) and a tax-exempt federal subsidy to sponsors of retiree health care benefit plans that provide a benefit that actuarially is at least equivalent to Medicare Part D. The company determined that benefits provided to certain participants actuarially will be at least equivalent to Medicare Part D, and, accordingly, the company is entitled to a tax-exempt subsidy that reduced the company's accumulated postretirement benefit obligation under the plan at January 1, 2007 by $105 million and reduced the net periodic cost for 2007 by $13 million.</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20"/>
          <w:szCs w:val="20"/>
          <w:color w:val="auto"/>
        </w:rPr>
        <w:t>87</w:t>
      </w:r>
    </w:p>
    <w:p>
      <w:pPr>
        <w:sectPr>
          <w:pgSz w:w="11900" w:h="16838" w:orient="portrait"/>
          <w:cols w:equalWidth="0" w:num="1">
            <w:col w:w="11320"/>
          </w:cols>
          <w:pgMar w:left="240" w:top="122" w:right="339" w:bottom="1440" w:gutter="0" w:footer="0" w:header="0"/>
        </w:sectPr>
      </w:pPr>
    </w:p>
    <w:bookmarkStart w:id="155" w:name="page156"/>
    <w:bookmarkEnd w:id="155"/>
    <w:p>
      <w:pPr>
        <w:spacing w:after="0"/>
        <w:rPr>
          <w:sz w:val="20"/>
          <w:szCs w:val="20"/>
          <w:color w:val="auto"/>
        </w:rPr>
      </w:pPr>
      <w:r>
        <w:rPr>
          <w:rFonts w:ascii="Arial" w:cs="Arial" w:eastAsia="Arial" w:hAnsi="Arial"/>
          <w:sz w:val="20"/>
          <w:szCs w:val="20"/>
          <w:color w:val="auto"/>
        </w:rPr>
        <w:t>The significant assumptions related to the company's pension and other postretirement benefit plans are as follows:</w:t>
      </w:r>
    </w:p>
    <w:p>
      <w:pPr>
        <w:spacing w:after="0" w:line="287" w:lineRule="exact"/>
        <w:rPr>
          <w:sz w:val="20"/>
          <w:szCs w:val="20"/>
          <w:color w:val="auto"/>
        </w:rPr>
      </w:pPr>
    </w:p>
    <w:tbl>
      <w:tblPr>
        <w:tblLayout w:type="fixed"/>
        <w:tblInd w:w="1040" w:type="dxa"/>
        <w:tblCellMar>
          <w:top w:w="0" w:type="dxa"/>
          <w:left w:w="0" w:type="dxa"/>
          <w:bottom w:w="0" w:type="dxa"/>
          <w:right w:w="0" w:type="dxa"/>
        </w:tblCellMar>
      </w:tblPr>
      <w:tr>
        <w:trPr>
          <w:trHeight w:val="230"/>
        </w:trPr>
        <w:tc>
          <w:tcPr>
            <w:tcW w:w="37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60" w:type="dxa"/>
            <w:vAlign w:val="bottom"/>
          </w:tcPr>
          <w:p>
            <w:pPr>
              <w:jc w:val="right"/>
              <w:ind w:right="130"/>
              <w:spacing w:after="0"/>
              <w:rPr>
                <w:sz w:val="20"/>
                <w:szCs w:val="20"/>
                <w:color w:val="auto"/>
              </w:rPr>
            </w:pPr>
            <w:r>
              <w:rPr>
                <w:rFonts w:ascii="Arial" w:cs="Arial" w:eastAsia="Arial" w:hAnsi="Arial"/>
                <w:sz w:val="18"/>
                <w:szCs w:val="18"/>
                <w:color w:val="auto"/>
              </w:rPr>
              <w:t>Other</w:t>
            </w:r>
          </w:p>
        </w:tc>
        <w:tc>
          <w:tcPr>
            <w:tcW w:w="1060" w:type="dxa"/>
            <w:vAlign w:val="bottom"/>
          </w:tcPr>
          <w:p>
            <w:pPr>
              <w:spacing w:after="0"/>
              <w:rPr>
                <w:sz w:val="20"/>
                <w:szCs w:val="20"/>
                <w:color w:val="auto"/>
              </w:rPr>
            </w:pPr>
          </w:p>
        </w:tc>
      </w:tr>
      <w:tr>
        <w:trPr>
          <w:trHeight w:val="250"/>
        </w:trPr>
        <w:tc>
          <w:tcPr>
            <w:tcW w:w="3760" w:type="dxa"/>
            <w:vAlign w:val="bottom"/>
          </w:tcPr>
          <w:p>
            <w:pPr>
              <w:spacing w:after="0"/>
              <w:rPr>
                <w:sz w:val="21"/>
                <w:szCs w:val="21"/>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Pension Benefits</w:t>
            </w:r>
          </w:p>
        </w:tc>
        <w:tc>
          <w:tcPr>
            <w:tcW w:w="600" w:type="dxa"/>
            <w:vAlign w:val="bottom"/>
            <w:tcBorders>
              <w:bottom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720" w:type="dxa"/>
            <w:vAlign w:val="bottom"/>
            <w:tcBorders>
              <w:bottom w:val="single" w:sz="8" w:color="auto"/>
            </w:tcBorders>
            <w:gridSpan w:val="2"/>
          </w:tcPr>
          <w:p>
            <w:pPr>
              <w:jc w:val="right"/>
              <w:ind w:right="550"/>
              <w:spacing w:after="0"/>
              <w:rPr>
                <w:sz w:val="20"/>
                <w:szCs w:val="20"/>
                <w:color w:val="auto"/>
              </w:rPr>
            </w:pPr>
            <w:r>
              <w:rPr>
                <w:rFonts w:ascii="Arial" w:cs="Arial" w:eastAsia="Arial" w:hAnsi="Arial"/>
                <w:sz w:val="18"/>
                <w:szCs w:val="18"/>
                <w:color w:val="auto"/>
              </w:rPr>
              <w:t>Postretirement Benefits</w:t>
            </w:r>
          </w:p>
        </w:tc>
      </w:tr>
      <w:tr>
        <w:trPr>
          <w:trHeight w:val="237"/>
        </w:trPr>
        <w:tc>
          <w:tcPr>
            <w:tcW w:w="376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ind w:right="950"/>
              <w:spacing w:after="0"/>
              <w:rPr>
                <w:sz w:val="20"/>
                <w:szCs w:val="20"/>
                <w:color w:val="auto"/>
              </w:rPr>
            </w:pPr>
            <w:r>
              <w:rPr>
                <w:rFonts w:ascii="Arial" w:cs="Arial" w:eastAsia="Arial" w:hAnsi="Arial"/>
                <w:sz w:val="18"/>
                <w:szCs w:val="18"/>
                <w:color w:val="auto"/>
              </w:rPr>
              <w:t>2007</w:t>
            </w:r>
          </w:p>
        </w:tc>
        <w:tc>
          <w:tcPr>
            <w:tcW w:w="6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84"/>
              </w:rPr>
              <w:t>2006</w:t>
            </w:r>
          </w:p>
        </w:tc>
        <w:tc>
          <w:tcPr>
            <w:tcW w:w="4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rPr>
              <w:t>2007</w:t>
            </w: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2006</w:t>
            </w:r>
          </w:p>
        </w:tc>
      </w:tr>
      <w:tr>
        <w:trPr>
          <w:trHeight w:val="215"/>
        </w:trPr>
        <w:tc>
          <w:tcPr>
            <w:tcW w:w="3760" w:type="dxa"/>
            <w:vAlign w:val="bottom"/>
          </w:tcPr>
          <w:p>
            <w:pPr>
              <w:spacing w:after="0"/>
              <w:rPr>
                <w:sz w:val="20"/>
                <w:szCs w:val="20"/>
                <w:color w:val="auto"/>
              </w:rPr>
            </w:pPr>
            <w:r>
              <w:rPr>
                <w:rFonts w:ascii="Arial" w:cs="Arial" w:eastAsia="Arial" w:hAnsi="Arial"/>
                <w:sz w:val="18"/>
                <w:szCs w:val="18"/>
                <w:color w:val="auto"/>
                <w:w w:val="98"/>
              </w:rPr>
              <w:t>WEIGHTED-AVERAGE ASSUMPTIONS USED</w:t>
            </w:r>
          </w:p>
        </w:tc>
        <w:tc>
          <w:tcPr>
            <w:tcW w:w="18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3760" w:type="dxa"/>
            <w:vAlign w:val="bottom"/>
          </w:tcPr>
          <w:p>
            <w:pPr>
              <w:ind w:left="100"/>
              <w:spacing w:after="0"/>
              <w:rPr>
                <w:sz w:val="20"/>
                <w:szCs w:val="20"/>
                <w:color w:val="auto"/>
              </w:rPr>
            </w:pPr>
            <w:r>
              <w:rPr>
                <w:rFonts w:ascii="Arial" w:cs="Arial" w:eastAsia="Arial" w:hAnsi="Arial"/>
                <w:sz w:val="18"/>
                <w:szCs w:val="18"/>
                <w:color w:val="auto"/>
              </w:rPr>
              <w:t>TO DETERMINE BENEFIT OBLIGATION AS</w:t>
            </w:r>
          </w:p>
        </w:tc>
        <w:tc>
          <w:tcPr>
            <w:tcW w:w="18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3760" w:type="dxa"/>
            <w:vAlign w:val="bottom"/>
          </w:tcPr>
          <w:p>
            <w:pPr>
              <w:ind w:left="100"/>
              <w:spacing w:after="0"/>
              <w:rPr>
                <w:sz w:val="20"/>
                <w:szCs w:val="20"/>
                <w:color w:val="auto"/>
              </w:rPr>
            </w:pPr>
            <w:r>
              <w:rPr>
                <w:rFonts w:ascii="Arial" w:cs="Arial" w:eastAsia="Arial" w:hAnsi="Arial"/>
                <w:sz w:val="18"/>
                <w:szCs w:val="18"/>
                <w:color w:val="auto"/>
              </w:rPr>
              <w:t>OF DECEMBER 31</w:t>
            </w:r>
          </w:p>
        </w:tc>
        <w:tc>
          <w:tcPr>
            <w:tcW w:w="18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43"/>
        </w:trPr>
        <w:tc>
          <w:tcPr>
            <w:tcW w:w="3760" w:type="dxa"/>
            <w:vAlign w:val="bottom"/>
          </w:tcPr>
          <w:p>
            <w:pPr>
              <w:spacing w:after="0"/>
              <w:rPr>
                <w:sz w:val="20"/>
                <w:szCs w:val="20"/>
                <w:color w:val="auto"/>
              </w:rPr>
            </w:pPr>
            <w:r>
              <w:rPr>
                <w:rFonts w:ascii="Arial" w:cs="Arial" w:eastAsia="Arial" w:hAnsi="Arial"/>
                <w:sz w:val="18"/>
                <w:szCs w:val="18"/>
                <w:color w:val="auto"/>
              </w:rPr>
              <w:t>Discount rate</w:t>
            </w:r>
          </w:p>
        </w:tc>
        <w:tc>
          <w:tcPr>
            <w:tcW w:w="1840" w:type="dxa"/>
            <w:vAlign w:val="bottom"/>
          </w:tcPr>
          <w:p>
            <w:pPr>
              <w:jc w:val="right"/>
              <w:ind w:right="730"/>
              <w:spacing w:after="0"/>
              <w:rPr>
                <w:sz w:val="20"/>
                <w:szCs w:val="20"/>
                <w:color w:val="auto"/>
              </w:rPr>
            </w:pPr>
            <w:r>
              <w:rPr>
                <w:rFonts w:ascii="Arial" w:cs="Arial" w:eastAsia="Arial" w:hAnsi="Arial"/>
                <w:sz w:val="18"/>
                <w:szCs w:val="18"/>
                <w:color w:val="auto"/>
              </w:rPr>
              <w:t>6.10%</w:t>
            </w:r>
          </w:p>
        </w:tc>
        <w:tc>
          <w:tcPr>
            <w:tcW w:w="600" w:type="dxa"/>
            <w:vAlign w:val="bottom"/>
          </w:tcPr>
          <w:p>
            <w:pPr>
              <w:jc w:val="right"/>
              <w:spacing w:after="0"/>
              <w:rPr>
                <w:sz w:val="20"/>
                <w:szCs w:val="20"/>
                <w:color w:val="auto"/>
              </w:rPr>
            </w:pPr>
            <w:r>
              <w:rPr>
                <w:rFonts w:ascii="Arial" w:cs="Arial" w:eastAsia="Arial" w:hAnsi="Arial"/>
                <w:sz w:val="18"/>
                <w:szCs w:val="18"/>
                <w:color w:val="auto"/>
              </w:rPr>
              <w:t>5.75%</w:t>
            </w:r>
          </w:p>
        </w:tc>
        <w:tc>
          <w:tcPr>
            <w:tcW w:w="2100" w:type="dxa"/>
            <w:vAlign w:val="bottom"/>
            <w:gridSpan w:val="2"/>
          </w:tcPr>
          <w:p>
            <w:pPr>
              <w:jc w:val="right"/>
              <w:ind w:right="510"/>
              <w:spacing w:after="0"/>
              <w:rPr>
                <w:sz w:val="20"/>
                <w:szCs w:val="20"/>
                <w:color w:val="auto"/>
              </w:rPr>
            </w:pPr>
            <w:r>
              <w:rPr>
                <w:rFonts w:ascii="Arial" w:cs="Arial" w:eastAsia="Arial" w:hAnsi="Arial"/>
                <w:sz w:val="18"/>
                <w:szCs w:val="18"/>
                <w:color w:val="auto"/>
              </w:rPr>
              <w:t>6.20%</w:t>
            </w: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5.85%</w:t>
            </w:r>
          </w:p>
        </w:tc>
      </w:tr>
      <w:tr>
        <w:trPr>
          <w:trHeight w:val="243"/>
        </w:trPr>
        <w:tc>
          <w:tcPr>
            <w:tcW w:w="3760" w:type="dxa"/>
            <w:vAlign w:val="bottom"/>
          </w:tcPr>
          <w:p>
            <w:pPr>
              <w:spacing w:after="0"/>
              <w:rPr>
                <w:sz w:val="20"/>
                <w:szCs w:val="20"/>
                <w:color w:val="auto"/>
              </w:rPr>
            </w:pPr>
            <w:r>
              <w:rPr>
                <w:rFonts w:ascii="Arial" w:cs="Arial" w:eastAsia="Arial" w:hAnsi="Arial"/>
                <w:sz w:val="18"/>
                <w:szCs w:val="18"/>
                <w:color w:val="auto"/>
              </w:rPr>
              <w:t>Rate of compensation increase</w:t>
            </w:r>
          </w:p>
        </w:tc>
        <w:tc>
          <w:tcPr>
            <w:tcW w:w="1840" w:type="dxa"/>
            <w:vAlign w:val="bottom"/>
          </w:tcPr>
          <w:p>
            <w:pPr>
              <w:jc w:val="right"/>
              <w:ind w:right="730"/>
              <w:spacing w:after="0"/>
              <w:rPr>
                <w:sz w:val="20"/>
                <w:szCs w:val="20"/>
                <w:color w:val="auto"/>
              </w:rPr>
            </w:pPr>
            <w:r>
              <w:rPr>
                <w:rFonts w:ascii="Arial" w:cs="Arial" w:eastAsia="Arial" w:hAnsi="Arial"/>
                <w:sz w:val="18"/>
                <w:szCs w:val="18"/>
                <w:color w:val="auto"/>
              </w:rPr>
              <w:t>4.50%</w:t>
            </w:r>
          </w:p>
        </w:tc>
        <w:tc>
          <w:tcPr>
            <w:tcW w:w="600" w:type="dxa"/>
            <w:vAlign w:val="bottom"/>
          </w:tcPr>
          <w:p>
            <w:pPr>
              <w:jc w:val="right"/>
              <w:spacing w:after="0"/>
              <w:rPr>
                <w:sz w:val="20"/>
                <w:szCs w:val="20"/>
                <w:color w:val="auto"/>
              </w:rPr>
            </w:pPr>
            <w:r>
              <w:rPr>
                <w:rFonts w:ascii="Arial" w:cs="Arial" w:eastAsia="Arial" w:hAnsi="Arial"/>
                <w:sz w:val="18"/>
                <w:szCs w:val="18"/>
                <w:color w:val="auto"/>
              </w:rPr>
              <w:t>4.50%</w:t>
            </w:r>
          </w:p>
        </w:tc>
        <w:tc>
          <w:tcPr>
            <w:tcW w:w="2100" w:type="dxa"/>
            <w:vAlign w:val="bottom"/>
            <w:gridSpan w:val="2"/>
          </w:tcPr>
          <w:p>
            <w:pPr>
              <w:jc w:val="right"/>
              <w:ind w:right="510"/>
              <w:spacing w:after="0"/>
              <w:rPr>
                <w:sz w:val="20"/>
                <w:szCs w:val="20"/>
                <w:color w:val="auto"/>
              </w:rPr>
            </w:pPr>
            <w:r>
              <w:rPr>
                <w:rFonts w:ascii="Arial" w:cs="Arial" w:eastAsia="Arial" w:hAnsi="Arial"/>
                <w:sz w:val="18"/>
                <w:szCs w:val="18"/>
                <w:color w:val="auto"/>
              </w:rPr>
              <w:t>4.00%</w:t>
            </w: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4.50%</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WEIGHTED-AVERAGE ASSUMPTIONS USED TO</w:t>
            </w:r>
          </w:p>
        </w:tc>
        <w:tc>
          <w:tcPr>
            <w:tcW w:w="1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4240" w:type="dxa"/>
            <w:vAlign w:val="bottom"/>
          </w:tcPr>
          <w:p>
            <w:pPr>
              <w:ind w:left="100"/>
              <w:spacing w:after="0"/>
              <w:rPr>
                <w:sz w:val="20"/>
                <w:szCs w:val="20"/>
                <w:color w:val="auto"/>
              </w:rPr>
            </w:pPr>
            <w:r>
              <w:rPr>
                <w:rFonts w:ascii="Arial" w:cs="Arial" w:eastAsia="Arial" w:hAnsi="Arial"/>
                <w:sz w:val="18"/>
                <w:szCs w:val="18"/>
                <w:color w:val="auto"/>
              </w:rPr>
              <w:t>DETERMINE NET PERIODIC BENEFIT COSTS</w:t>
            </w:r>
          </w:p>
        </w:tc>
        <w:tc>
          <w:tcPr>
            <w:tcW w:w="1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0"/>
        </w:trPr>
        <w:tc>
          <w:tcPr>
            <w:tcW w:w="4240" w:type="dxa"/>
            <w:vAlign w:val="bottom"/>
          </w:tcPr>
          <w:p>
            <w:pPr>
              <w:ind w:left="100"/>
              <w:spacing w:after="0"/>
              <w:rPr>
                <w:sz w:val="20"/>
                <w:szCs w:val="20"/>
                <w:color w:val="auto"/>
              </w:rPr>
            </w:pPr>
            <w:r>
              <w:rPr>
                <w:rFonts w:ascii="Arial" w:cs="Arial" w:eastAsia="Arial" w:hAnsi="Arial"/>
                <w:sz w:val="18"/>
                <w:szCs w:val="18"/>
                <w:color w:val="auto"/>
              </w:rPr>
              <w:t>FOR YEARS ENDED DECEMBER 31</w:t>
            </w:r>
          </w:p>
        </w:tc>
        <w:tc>
          <w:tcPr>
            <w:tcW w:w="1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43"/>
        </w:trPr>
        <w:tc>
          <w:tcPr>
            <w:tcW w:w="4240" w:type="dxa"/>
            <w:vAlign w:val="bottom"/>
          </w:tcPr>
          <w:p>
            <w:pPr>
              <w:spacing w:after="0"/>
              <w:rPr>
                <w:sz w:val="20"/>
                <w:szCs w:val="20"/>
                <w:color w:val="auto"/>
              </w:rPr>
            </w:pPr>
            <w:r>
              <w:rPr>
                <w:rFonts w:ascii="Arial" w:cs="Arial" w:eastAsia="Arial" w:hAnsi="Arial"/>
                <w:sz w:val="18"/>
                <w:szCs w:val="18"/>
                <w:color w:val="auto"/>
              </w:rPr>
              <w:t>Discount rate</w:t>
            </w:r>
          </w:p>
        </w:tc>
        <w:tc>
          <w:tcPr>
            <w:tcW w:w="1240" w:type="dxa"/>
            <w:vAlign w:val="bottom"/>
          </w:tcPr>
          <w:p>
            <w:pPr>
              <w:jc w:val="right"/>
              <w:ind w:right="370"/>
              <w:spacing w:after="0"/>
              <w:rPr>
                <w:sz w:val="20"/>
                <w:szCs w:val="20"/>
                <w:color w:val="auto"/>
              </w:rPr>
            </w:pPr>
            <w:r>
              <w:rPr>
                <w:rFonts w:ascii="Arial" w:cs="Arial" w:eastAsia="Arial" w:hAnsi="Arial"/>
                <w:sz w:val="18"/>
                <w:szCs w:val="18"/>
                <w:color w:val="auto"/>
              </w:rPr>
              <w:t>5.75%</w:t>
            </w:r>
          </w:p>
        </w:tc>
        <w:tc>
          <w:tcPr>
            <w:tcW w:w="1460" w:type="dxa"/>
            <w:vAlign w:val="bottom"/>
          </w:tcPr>
          <w:p>
            <w:pPr>
              <w:jc w:val="right"/>
              <w:ind w:right="430"/>
              <w:spacing w:after="0"/>
              <w:rPr>
                <w:sz w:val="20"/>
                <w:szCs w:val="20"/>
                <w:color w:val="auto"/>
              </w:rPr>
            </w:pPr>
            <w:r>
              <w:rPr>
                <w:rFonts w:ascii="Arial" w:cs="Arial" w:eastAsia="Arial" w:hAnsi="Arial"/>
                <w:sz w:val="18"/>
                <w:szCs w:val="18"/>
                <w:color w:val="auto"/>
              </w:rPr>
              <w:t>5.50%</w:t>
            </w:r>
          </w:p>
        </w:tc>
        <w:tc>
          <w:tcPr>
            <w:tcW w:w="1460" w:type="dxa"/>
            <w:vAlign w:val="bottom"/>
          </w:tcPr>
          <w:p>
            <w:pPr>
              <w:jc w:val="right"/>
              <w:ind w:right="390"/>
              <w:spacing w:after="0"/>
              <w:rPr>
                <w:sz w:val="20"/>
                <w:szCs w:val="20"/>
                <w:color w:val="auto"/>
              </w:rPr>
            </w:pPr>
            <w:r>
              <w:rPr>
                <w:rFonts w:ascii="Arial" w:cs="Arial" w:eastAsia="Arial" w:hAnsi="Arial"/>
                <w:sz w:val="18"/>
                <w:szCs w:val="18"/>
                <w:color w:val="auto"/>
              </w:rPr>
              <w:t>5.85%</w:t>
            </w:r>
          </w:p>
        </w:tc>
        <w:tc>
          <w:tcPr>
            <w:tcW w:w="940" w:type="dxa"/>
            <w:vAlign w:val="bottom"/>
          </w:tcPr>
          <w:p>
            <w:pPr>
              <w:jc w:val="right"/>
              <w:spacing w:after="0"/>
              <w:rPr>
                <w:sz w:val="20"/>
                <w:szCs w:val="20"/>
                <w:color w:val="auto"/>
              </w:rPr>
            </w:pPr>
            <w:r>
              <w:rPr>
                <w:rFonts w:ascii="Arial" w:cs="Arial" w:eastAsia="Arial" w:hAnsi="Arial"/>
                <w:sz w:val="18"/>
                <w:szCs w:val="18"/>
                <w:color w:val="auto"/>
              </w:rPr>
              <w:t>5.60%</w:t>
            </w:r>
          </w:p>
        </w:tc>
      </w:tr>
      <w:tr>
        <w:trPr>
          <w:trHeight w:val="243"/>
        </w:trPr>
        <w:tc>
          <w:tcPr>
            <w:tcW w:w="4240" w:type="dxa"/>
            <w:vAlign w:val="bottom"/>
          </w:tcPr>
          <w:p>
            <w:pPr>
              <w:spacing w:after="0"/>
              <w:rPr>
                <w:sz w:val="20"/>
                <w:szCs w:val="20"/>
                <w:color w:val="auto"/>
              </w:rPr>
            </w:pPr>
            <w:r>
              <w:rPr>
                <w:rFonts w:ascii="Arial" w:cs="Arial" w:eastAsia="Arial" w:hAnsi="Arial"/>
                <w:sz w:val="18"/>
                <w:szCs w:val="18"/>
                <w:color w:val="auto"/>
              </w:rPr>
              <w:t>Expected return on plan assets</w:t>
            </w:r>
          </w:p>
        </w:tc>
        <w:tc>
          <w:tcPr>
            <w:tcW w:w="1240" w:type="dxa"/>
            <w:vAlign w:val="bottom"/>
          </w:tcPr>
          <w:p>
            <w:pPr>
              <w:jc w:val="right"/>
              <w:ind w:right="370"/>
              <w:spacing w:after="0"/>
              <w:rPr>
                <w:sz w:val="20"/>
                <w:szCs w:val="20"/>
                <w:color w:val="auto"/>
              </w:rPr>
            </w:pPr>
            <w:r>
              <w:rPr>
                <w:rFonts w:ascii="Arial" w:cs="Arial" w:eastAsia="Arial" w:hAnsi="Arial"/>
                <w:sz w:val="18"/>
                <w:szCs w:val="18"/>
                <w:color w:val="auto"/>
              </w:rPr>
              <w:t>7.00%</w:t>
            </w:r>
          </w:p>
        </w:tc>
        <w:tc>
          <w:tcPr>
            <w:tcW w:w="1460" w:type="dxa"/>
            <w:vAlign w:val="bottom"/>
          </w:tcPr>
          <w:p>
            <w:pPr>
              <w:jc w:val="right"/>
              <w:ind w:right="430"/>
              <w:spacing w:after="0"/>
              <w:rPr>
                <w:sz w:val="20"/>
                <w:szCs w:val="20"/>
                <w:color w:val="auto"/>
              </w:rPr>
            </w:pPr>
            <w:r>
              <w:rPr>
                <w:rFonts w:ascii="Arial" w:cs="Arial" w:eastAsia="Arial" w:hAnsi="Arial"/>
                <w:sz w:val="18"/>
                <w:szCs w:val="18"/>
                <w:color w:val="auto"/>
              </w:rPr>
              <w:t>7.00%</w:t>
            </w:r>
          </w:p>
        </w:tc>
        <w:tc>
          <w:tcPr>
            <w:tcW w:w="1460" w:type="dxa"/>
            <w:vAlign w:val="bottom"/>
          </w:tcPr>
          <w:p>
            <w:pPr>
              <w:jc w:val="right"/>
              <w:ind w:right="390"/>
              <w:spacing w:after="0"/>
              <w:rPr>
                <w:sz w:val="20"/>
                <w:szCs w:val="20"/>
                <w:color w:val="auto"/>
              </w:rPr>
            </w:pPr>
            <w:r>
              <w:rPr>
                <w:rFonts w:ascii="Arial" w:cs="Arial" w:eastAsia="Arial" w:hAnsi="Arial"/>
                <w:sz w:val="18"/>
                <w:szCs w:val="18"/>
                <w:color w:val="auto"/>
              </w:rPr>
              <w:t>6.86%</w:t>
            </w:r>
          </w:p>
        </w:tc>
        <w:tc>
          <w:tcPr>
            <w:tcW w:w="940" w:type="dxa"/>
            <w:vAlign w:val="bottom"/>
          </w:tcPr>
          <w:p>
            <w:pPr>
              <w:jc w:val="right"/>
              <w:spacing w:after="0"/>
              <w:rPr>
                <w:sz w:val="20"/>
                <w:szCs w:val="20"/>
                <w:color w:val="auto"/>
              </w:rPr>
            </w:pPr>
            <w:r>
              <w:rPr>
                <w:rFonts w:ascii="Arial" w:cs="Arial" w:eastAsia="Arial" w:hAnsi="Arial"/>
                <w:sz w:val="18"/>
                <w:szCs w:val="18"/>
                <w:color w:val="auto"/>
              </w:rPr>
              <w:t>6.85%</w:t>
            </w:r>
          </w:p>
        </w:tc>
      </w:tr>
      <w:tr>
        <w:trPr>
          <w:trHeight w:val="243"/>
        </w:trPr>
        <w:tc>
          <w:tcPr>
            <w:tcW w:w="4240" w:type="dxa"/>
            <w:vAlign w:val="bottom"/>
          </w:tcPr>
          <w:p>
            <w:pPr>
              <w:spacing w:after="0"/>
              <w:rPr>
                <w:sz w:val="20"/>
                <w:szCs w:val="20"/>
                <w:color w:val="auto"/>
              </w:rPr>
            </w:pPr>
            <w:r>
              <w:rPr>
                <w:rFonts w:ascii="Arial" w:cs="Arial" w:eastAsia="Arial" w:hAnsi="Arial"/>
                <w:sz w:val="18"/>
                <w:szCs w:val="18"/>
                <w:color w:val="auto"/>
              </w:rPr>
              <w:t>Rate of compensation increase</w:t>
            </w:r>
          </w:p>
        </w:tc>
        <w:tc>
          <w:tcPr>
            <w:tcW w:w="1240" w:type="dxa"/>
            <w:vAlign w:val="bottom"/>
          </w:tcPr>
          <w:p>
            <w:pPr>
              <w:jc w:val="right"/>
              <w:ind w:right="63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67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579755</wp:posOffset>
            </wp:positionH>
            <wp:positionV relativeFrom="paragraph">
              <wp:posOffset>8890</wp:posOffset>
            </wp:positionV>
            <wp:extent cx="610616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106160" cy="26035"/>
                    </a:xfrm>
                    <a:prstGeom prst="rect">
                      <a:avLst/>
                    </a:prstGeom>
                    <a:noFill/>
                  </pic:spPr>
                </pic:pic>
              </a:graphicData>
            </a:graphic>
          </wp:anchor>
        </w:drawing>
      </w:r>
    </w:p>
    <w:p>
      <w:pPr>
        <w:spacing w:after="0" w:line="33" w:lineRule="exact"/>
        <w:rPr>
          <w:sz w:val="20"/>
          <w:szCs w:val="20"/>
          <w:color w:val="auto"/>
        </w:rPr>
      </w:pPr>
    </w:p>
    <w:p>
      <w:pPr>
        <w:ind w:left="1380" w:right="840" w:hanging="213"/>
        <w:spacing w:after="0" w:line="266" w:lineRule="auto"/>
        <w:tabs>
          <w:tab w:leader="none" w:pos="13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4.50% for non-qualified pension plans and 4.00% for the qualified pension plan for SoCalGas' unions. All other qualified plan participants use an age-based table.</w:t>
      </w:r>
    </w:p>
    <w:p>
      <w:pPr>
        <w:ind w:left="1380" w:right="1240" w:hanging="303"/>
        <w:spacing w:after="0" w:line="277" w:lineRule="auto"/>
        <w:tabs>
          <w:tab w:leader="none" w:pos="13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4.00% in 2007 and 4.50% in 2006 for the life insurance benefits for SoCalGas' unions. There are no compensation-based benefits for all other postretirement benefits.</w:t>
      </w:r>
    </w:p>
    <w:p>
      <w:pPr>
        <w:spacing w:after="0" w:line="200" w:lineRule="exact"/>
        <w:rPr>
          <w:sz w:val="20"/>
          <w:szCs w:val="20"/>
          <w:color w:val="auto"/>
        </w:rPr>
      </w:pPr>
    </w:p>
    <w:p>
      <w:pPr>
        <w:spacing w:after="0" w:line="252"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The company develops the discount rate assumptions based on the results of a third party modeling tool that matches each plan's expected future benefit payments to a bond yield curve to determine their present value. It then calculates a single equivalent discount rate that produces the same present value. The modeling tool uses an actual portfolio of 500 to 600 non-callable bonds with a Moody’s Aa rating with an outstanding value of at least $50 million to develop the bond yield curve. This reflects over $300 billion in outstanding bonds with approximately 50 issues having maturities in excess of 20 years.</w:t>
      </w:r>
    </w:p>
    <w:p>
      <w:pPr>
        <w:spacing w:after="0" w:line="222"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The expected long-term rate of return on plan assets is derived from historical returns for broad asset classes consistent with expectations from a variety of sources.</w:t>
      </w:r>
    </w:p>
    <w:p>
      <w:pPr>
        <w:spacing w:after="0" w:line="247" w:lineRule="exact"/>
        <w:rPr>
          <w:sz w:val="20"/>
          <w:szCs w:val="20"/>
          <w:color w:val="auto"/>
        </w:rPr>
      </w:pPr>
    </w:p>
    <w:tbl>
      <w:tblPr>
        <w:tblLayout w:type="fixed"/>
        <w:tblInd w:w="1960" w:type="dxa"/>
        <w:tblCellMar>
          <w:top w:w="0" w:type="dxa"/>
          <w:left w:w="0" w:type="dxa"/>
          <w:bottom w:w="0" w:type="dxa"/>
          <w:right w:w="0" w:type="dxa"/>
        </w:tblCellMar>
      </w:tblPr>
      <w:tr>
        <w:trPr>
          <w:trHeight w:val="237"/>
        </w:trPr>
        <w:tc>
          <w:tcPr>
            <w:tcW w:w="428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ind w:left="960"/>
              <w:spacing w:after="0"/>
              <w:rPr>
                <w:sz w:val="20"/>
                <w:szCs w:val="20"/>
                <w:color w:val="auto"/>
              </w:rPr>
            </w:pPr>
            <w:r>
              <w:rPr>
                <w:rFonts w:ascii="Arial" w:cs="Arial" w:eastAsia="Arial" w:hAnsi="Arial"/>
                <w:sz w:val="18"/>
                <w:szCs w:val="18"/>
                <w:color w:val="auto"/>
              </w:rPr>
              <w:t>2007</w:t>
            </w:r>
          </w:p>
        </w:tc>
        <w:tc>
          <w:tcPr>
            <w:tcW w:w="13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2006</w:t>
            </w:r>
          </w:p>
        </w:tc>
      </w:tr>
      <w:tr>
        <w:trPr>
          <w:trHeight w:val="215"/>
        </w:trPr>
        <w:tc>
          <w:tcPr>
            <w:tcW w:w="4280" w:type="dxa"/>
            <w:vAlign w:val="bottom"/>
          </w:tcPr>
          <w:p>
            <w:pPr>
              <w:ind w:left="20"/>
              <w:spacing w:after="0"/>
              <w:rPr>
                <w:sz w:val="20"/>
                <w:szCs w:val="20"/>
                <w:color w:val="auto"/>
              </w:rPr>
            </w:pPr>
            <w:r>
              <w:rPr>
                <w:rFonts w:ascii="Arial" w:cs="Arial" w:eastAsia="Arial" w:hAnsi="Arial"/>
                <w:sz w:val="18"/>
                <w:szCs w:val="18"/>
                <w:color w:val="auto"/>
                <w:w w:val="97"/>
              </w:rPr>
              <w:t>ASSUMED HEALTH CARE COST TREND RATES AT</w:t>
            </w:r>
          </w:p>
        </w:tc>
        <w:tc>
          <w:tcPr>
            <w:tcW w:w="184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30"/>
        </w:trPr>
        <w:tc>
          <w:tcPr>
            <w:tcW w:w="4280" w:type="dxa"/>
            <w:vAlign w:val="bottom"/>
          </w:tcPr>
          <w:p>
            <w:pPr>
              <w:ind w:left="120"/>
              <w:spacing w:after="0"/>
              <w:rPr>
                <w:sz w:val="20"/>
                <w:szCs w:val="20"/>
                <w:color w:val="auto"/>
              </w:rPr>
            </w:pPr>
            <w:r>
              <w:rPr>
                <w:rFonts w:ascii="Arial" w:cs="Arial" w:eastAsia="Arial" w:hAnsi="Arial"/>
                <w:sz w:val="18"/>
                <w:szCs w:val="18"/>
                <w:color w:val="auto"/>
              </w:rPr>
              <w:t>DECEMBER 31</w:t>
            </w:r>
          </w:p>
        </w:tc>
        <w:tc>
          <w:tcPr>
            <w:tcW w:w="184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color w:val="auto"/>
              </w:rPr>
              <w:t>Health-care cost trend rate *</w:t>
            </w:r>
          </w:p>
        </w:tc>
        <w:tc>
          <w:tcPr>
            <w:tcW w:w="1840" w:type="dxa"/>
            <w:vAlign w:val="bottom"/>
          </w:tcPr>
          <w:p>
            <w:pPr>
              <w:ind w:left="960"/>
              <w:spacing w:after="0"/>
              <w:rPr>
                <w:sz w:val="20"/>
                <w:szCs w:val="20"/>
                <w:color w:val="auto"/>
              </w:rPr>
            </w:pPr>
            <w:r>
              <w:rPr>
                <w:rFonts w:ascii="Arial" w:cs="Arial" w:eastAsia="Arial" w:hAnsi="Arial"/>
                <w:sz w:val="18"/>
                <w:szCs w:val="18"/>
                <w:color w:val="auto"/>
              </w:rPr>
              <w:t>9.48 %</w:t>
            </w:r>
          </w:p>
        </w:tc>
        <w:tc>
          <w:tcPr>
            <w:tcW w:w="1380" w:type="dxa"/>
            <w:vAlign w:val="bottom"/>
          </w:tcPr>
          <w:p>
            <w:pPr>
              <w:jc w:val="right"/>
              <w:ind w:right="270"/>
              <w:spacing w:after="0"/>
              <w:rPr>
                <w:sz w:val="20"/>
                <w:szCs w:val="20"/>
                <w:color w:val="auto"/>
              </w:rPr>
            </w:pPr>
            <w:r>
              <w:rPr>
                <w:rFonts w:ascii="Arial" w:cs="Arial" w:eastAsia="Arial" w:hAnsi="Arial"/>
                <w:sz w:val="18"/>
                <w:szCs w:val="18"/>
                <w:color w:val="auto"/>
              </w:rPr>
              <w:t>9.52 %</w:t>
            </w:r>
          </w:p>
        </w:tc>
      </w:tr>
      <w:tr>
        <w:trPr>
          <w:trHeight w:val="229"/>
        </w:trPr>
        <w:tc>
          <w:tcPr>
            <w:tcW w:w="4280" w:type="dxa"/>
            <w:vAlign w:val="bottom"/>
          </w:tcPr>
          <w:p>
            <w:pPr>
              <w:ind w:left="20"/>
              <w:spacing w:after="0"/>
              <w:rPr>
                <w:sz w:val="20"/>
                <w:szCs w:val="20"/>
                <w:color w:val="auto"/>
              </w:rPr>
            </w:pPr>
            <w:r>
              <w:rPr>
                <w:rFonts w:ascii="Arial" w:cs="Arial" w:eastAsia="Arial" w:hAnsi="Arial"/>
                <w:sz w:val="18"/>
                <w:szCs w:val="18"/>
                <w:color w:val="auto"/>
                <w:w w:val="89"/>
              </w:rPr>
              <w:t>Rate to which the cost trend rate is assumed to decline (the</w:t>
            </w:r>
          </w:p>
        </w:tc>
        <w:tc>
          <w:tcPr>
            <w:tcW w:w="184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0"/>
        </w:trPr>
        <w:tc>
          <w:tcPr>
            <w:tcW w:w="4280" w:type="dxa"/>
            <w:vAlign w:val="bottom"/>
          </w:tcPr>
          <w:p>
            <w:pPr>
              <w:ind w:left="120"/>
              <w:spacing w:after="0"/>
              <w:rPr>
                <w:sz w:val="20"/>
                <w:szCs w:val="20"/>
                <w:color w:val="auto"/>
              </w:rPr>
            </w:pPr>
            <w:r>
              <w:rPr>
                <w:rFonts w:ascii="Arial" w:cs="Arial" w:eastAsia="Arial" w:hAnsi="Arial"/>
                <w:sz w:val="18"/>
                <w:szCs w:val="18"/>
                <w:color w:val="auto"/>
              </w:rPr>
              <w:t>ultimate trend)</w:t>
            </w:r>
          </w:p>
        </w:tc>
        <w:tc>
          <w:tcPr>
            <w:tcW w:w="1840" w:type="dxa"/>
            <w:vAlign w:val="bottom"/>
          </w:tcPr>
          <w:p>
            <w:pPr>
              <w:ind w:left="960"/>
              <w:spacing w:after="0"/>
              <w:rPr>
                <w:sz w:val="20"/>
                <w:szCs w:val="20"/>
                <w:color w:val="auto"/>
              </w:rPr>
            </w:pPr>
            <w:r>
              <w:rPr>
                <w:rFonts w:ascii="Arial" w:cs="Arial" w:eastAsia="Arial" w:hAnsi="Arial"/>
                <w:sz w:val="18"/>
                <w:szCs w:val="18"/>
                <w:color w:val="auto"/>
              </w:rPr>
              <w:t>5.50 %</w:t>
            </w:r>
          </w:p>
        </w:tc>
        <w:tc>
          <w:tcPr>
            <w:tcW w:w="1380" w:type="dxa"/>
            <w:vAlign w:val="bottom"/>
          </w:tcPr>
          <w:p>
            <w:pPr>
              <w:jc w:val="right"/>
              <w:ind w:right="270"/>
              <w:spacing w:after="0"/>
              <w:rPr>
                <w:sz w:val="20"/>
                <w:szCs w:val="20"/>
                <w:color w:val="auto"/>
              </w:rPr>
            </w:pPr>
            <w:r>
              <w:rPr>
                <w:rFonts w:ascii="Arial" w:cs="Arial" w:eastAsia="Arial" w:hAnsi="Arial"/>
                <w:sz w:val="18"/>
                <w:szCs w:val="18"/>
                <w:color w:val="auto"/>
              </w:rPr>
              <w:t>5.50 %</w:t>
            </w: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color w:val="auto"/>
              </w:rPr>
              <w:t>Year that the rate reaches the ultimate trend</w:t>
            </w:r>
          </w:p>
        </w:tc>
        <w:tc>
          <w:tcPr>
            <w:tcW w:w="1840" w:type="dxa"/>
            <w:vAlign w:val="bottom"/>
          </w:tcPr>
          <w:p>
            <w:pPr>
              <w:ind w:left="20"/>
              <w:spacing w:after="0"/>
              <w:rPr>
                <w:sz w:val="20"/>
                <w:szCs w:val="20"/>
                <w:color w:val="auto"/>
              </w:rPr>
            </w:pPr>
            <w:r>
              <w:rPr>
                <w:rFonts w:ascii="Arial" w:cs="Arial" w:eastAsia="Arial" w:hAnsi="Arial"/>
                <w:sz w:val="18"/>
                <w:szCs w:val="18"/>
                <w:color w:val="auto"/>
              </w:rPr>
              <w:t>2014 and 2016 **</w:t>
            </w:r>
          </w:p>
        </w:tc>
        <w:tc>
          <w:tcPr>
            <w:tcW w:w="1380" w:type="dxa"/>
            <w:vAlign w:val="bottom"/>
          </w:tcPr>
          <w:p>
            <w:pPr>
              <w:jc w:val="right"/>
              <w:ind w:right="450"/>
              <w:spacing w:after="0"/>
              <w:rPr>
                <w:sz w:val="20"/>
                <w:szCs w:val="20"/>
                <w:color w:val="auto"/>
              </w:rPr>
            </w:pPr>
            <w:r>
              <w:rPr>
                <w:rFonts w:ascii="Arial" w:cs="Arial" w:eastAsia="Arial" w:hAnsi="Arial"/>
                <w:sz w:val="18"/>
                <w:szCs w:val="18"/>
                <w:color w:val="auto"/>
              </w:rPr>
              <w:t>2009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8890</wp:posOffset>
            </wp:positionV>
            <wp:extent cx="4759325"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759325" cy="26035"/>
                    </a:xfrm>
                    <a:prstGeom prst="rect">
                      <a:avLst/>
                    </a:prstGeom>
                    <a:noFill/>
                  </pic:spPr>
                </pic:pic>
              </a:graphicData>
            </a:graphic>
          </wp:anchor>
        </w:drawing>
      </w:r>
    </w:p>
    <w:p>
      <w:pPr>
        <w:spacing w:after="0" w:line="33" w:lineRule="exact"/>
        <w:rPr>
          <w:sz w:val="20"/>
          <w:szCs w:val="20"/>
          <w:color w:val="auto"/>
        </w:rPr>
      </w:pPr>
    </w:p>
    <w:p>
      <w:pPr>
        <w:ind w:left="2380" w:right="2140" w:hanging="206"/>
        <w:spacing w:after="0" w:line="266" w:lineRule="auto"/>
        <w:tabs>
          <w:tab w:leader="none" w:pos="23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This is the weighted average of the increases for the company's health plans. The rate for these plans ranged from 8.50% to 10.00% in 2006 and 2007.</w:t>
      </w:r>
    </w:p>
    <w:p>
      <w:pPr>
        <w:ind w:left="2380" w:hanging="297"/>
        <w:spacing w:after="0"/>
        <w:tabs>
          <w:tab w:leader="none" w:pos="23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ultimate trend rate is reached in 2014 for HMOs and 2016 for Anthem Blue Cross Plans.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20"/>
          <w:szCs w:val="20"/>
          <w:color w:val="auto"/>
        </w:rPr>
        <w:t>88</w:t>
      </w:r>
    </w:p>
    <w:p>
      <w:pPr>
        <w:sectPr>
          <w:pgSz w:w="11900" w:h="16838" w:orient="portrait"/>
          <w:cols w:equalWidth="0" w:num="1">
            <w:col w:w="11320"/>
          </w:cols>
          <w:pgMar w:left="240" w:top="122" w:right="339" w:bottom="1440" w:gutter="0" w:footer="0" w:header="0"/>
        </w:sectPr>
      </w:pPr>
    </w:p>
    <w:bookmarkStart w:id="156" w:name="page157"/>
    <w:bookmarkEnd w:id="156"/>
    <w:p>
      <w:pPr>
        <w:ind w:right="200"/>
        <w:spacing w:after="0" w:line="262" w:lineRule="auto"/>
        <w:rPr>
          <w:sz w:val="20"/>
          <w:szCs w:val="20"/>
          <w:color w:val="auto"/>
        </w:rPr>
      </w:pPr>
      <w:r>
        <w:rPr>
          <w:rFonts w:ascii="Arial" w:cs="Arial" w:eastAsia="Arial" w:hAnsi="Arial"/>
          <w:sz w:val="20"/>
          <w:szCs w:val="20"/>
          <w:color w:val="auto"/>
        </w:rPr>
        <w:t>Assumed health-care cost trend rates have a significant effect on the amounts reported for the health-care plan costs. A one-percent change in assumed health-care cost trend rates would have the following effects:</w:t>
      </w:r>
    </w:p>
    <w:p>
      <w:pPr>
        <w:spacing w:after="0" w:line="244" w:lineRule="exact"/>
        <w:rPr>
          <w:sz w:val="20"/>
          <w:szCs w:val="20"/>
          <w:color w:val="auto"/>
        </w:rPr>
      </w:pPr>
    </w:p>
    <w:tbl>
      <w:tblPr>
        <w:tblLayout w:type="fixed"/>
        <w:tblInd w:w="1860" w:type="dxa"/>
        <w:tblCellMar>
          <w:top w:w="0" w:type="dxa"/>
          <w:left w:w="0" w:type="dxa"/>
          <w:bottom w:w="0" w:type="dxa"/>
          <w:right w:w="0" w:type="dxa"/>
        </w:tblCellMar>
      </w:tblPr>
      <w:tr>
        <w:trPr>
          <w:trHeight w:val="237"/>
        </w:trPr>
        <w:tc>
          <w:tcPr>
            <w:tcW w:w="4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(Dollars in millions)</w:t>
            </w:r>
          </w:p>
        </w:tc>
        <w:tc>
          <w:tcPr>
            <w:tcW w:w="1500" w:type="dxa"/>
            <w:vAlign w:val="bottom"/>
            <w:tcBorders>
              <w:bottom w:val="single" w:sz="8" w:color="auto"/>
            </w:tcBorders>
            <w:gridSpan w:val="2"/>
          </w:tcPr>
          <w:p>
            <w:pPr>
              <w:ind w:left="340"/>
              <w:spacing w:after="0"/>
              <w:rPr>
                <w:sz w:val="20"/>
                <w:szCs w:val="20"/>
                <w:color w:val="auto"/>
              </w:rPr>
            </w:pPr>
            <w:r>
              <w:rPr>
                <w:rFonts w:ascii="Arial" w:cs="Arial" w:eastAsia="Arial" w:hAnsi="Arial"/>
                <w:sz w:val="18"/>
                <w:szCs w:val="18"/>
                <w:color w:val="auto"/>
              </w:rPr>
              <w:t>1% Increase</w:t>
            </w:r>
          </w:p>
        </w:tc>
        <w:tc>
          <w:tcPr>
            <w:tcW w:w="1440" w:type="dxa"/>
            <w:vAlign w:val="bottom"/>
            <w:tcBorders>
              <w:bottom w:val="single" w:sz="8" w:color="auto"/>
            </w:tcBorders>
            <w:gridSpan w:val="2"/>
          </w:tcPr>
          <w:p>
            <w:pPr>
              <w:ind w:left="220"/>
              <w:spacing w:after="0"/>
              <w:rPr>
                <w:sz w:val="20"/>
                <w:szCs w:val="20"/>
                <w:color w:val="auto"/>
              </w:rPr>
            </w:pPr>
            <w:r>
              <w:rPr>
                <w:rFonts w:ascii="Arial" w:cs="Arial" w:eastAsia="Arial" w:hAnsi="Arial"/>
                <w:sz w:val="18"/>
                <w:szCs w:val="18"/>
                <w:color w:val="auto"/>
              </w:rPr>
              <w:t>1% Decrease</w:t>
            </w:r>
          </w:p>
        </w:tc>
      </w:tr>
      <w:tr>
        <w:trPr>
          <w:trHeight w:val="215"/>
        </w:trPr>
        <w:tc>
          <w:tcPr>
            <w:tcW w:w="4760" w:type="dxa"/>
            <w:vAlign w:val="bottom"/>
          </w:tcPr>
          <w:p>
            <w:pPr>
              <w:ind w:left="20"/>
              <w:spacing w:after="0"/>
              <w:rPr>
                <w:sz w:val="20"/>
                <w:szCs w:val="20"/>
                <w:color w:val="auto"/>
              </w:rPr>
            </w:pPr>
            <w:r>
              <w:rPr>
                <w:rFonts w:ascii="Arial" w:cs="Arial" w:eastAsia="Arial" w:hAnsi="Arial"/>
                <w:sz w:val="18"/>
                <w:szCs w:val="18"/>
                <w:color w:val="auto"/>
                <w:w w:val="97"/>
              </w:rPr>
              <w:t>Effect on total of service and interest cost components of net</w:t>
            </w: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0"/>
        </w:trPr>
        <w:tc>
          <w:tcPr>
            <w:tcW w:w="4760" w:type="dxa"/>
            <w:vAlign w:val="bottom"/>
          </w:tcPr>
          <w:p>
            <w:pPr>
              <w:ind w:left="120"/>
              <w:spacing w:after="0"/>
              <w:rPr>
                <w:sz w:val="20"/>
                <w:szCs w:val="20"/>
                <w:color w:val="auto"/>
              </w:rPr>
            </w:pPr>
            <w:r>
              <w:rPr>
                <w:rFonts w:ascii="Arial" w:cs="Arial" w:eastAsia="Arial" w:hAnsi="Arial"/>
                <w:sz w:val="18"/>
                <w:szCs w:val="18"/>
                <w:color w:val="auto"/>
              </w:rPr>
              <w:t>periodic postretirement health-care benefit cost</w:t>
            </w:r>
          </w:p>
        </w:tc>
        <w:tc>
          <w:tcPr>
            <w:tcW w:w="760" w:type="dxa"/>
            <w:vAlign w:val="bottom"/>
          </w:tcPr>
          <w:p>
            <w:pPr>
              <w:ind w:left="32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30"/>
              <w:spacing w:after="0"/>
              <w:rPr>
                <w:sz w:val="20"/>
                <w:szCs w:val="20"/>
                <w:color w:val="auto"/>
              </w:rPr>
            </w:pPr>
            <w:r>
              <w:rPr>
                <w:rFonts w:ascii="Arial" w:cs="Arial" w:eastAsia="Arial" w:hAnsi="Arial"/>
                <w:sz w:val="18"/>
                <w:szCs w:val="18"/>
                <w:color w:val="auto"/>
              </w:rPr>
              <w:t>11</w:t>
            </w:r>
          </w:p>
        </w:tc>
        <w:tc>
          <w:tcPr>
            <w:tcW w:w="640" w:type="dxa"/>
            <w:vAlign w:val="bottom"/>
          </w:tcPr>
          <w:p>
            <w:pPr>
              <w:ind w:left="2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(9 )</w:t>
            </w:r>
          </w:p>
        </w:tc>
      </w:tr>
      <w:tr>
        <w:trPr>
          <w:trHeight w:val="229"/>
        </w:trPr>
        <w:tc>
          <w:tcPr>
            <w:tcW w:w="4760" w:type="dxa"/>
            <w:vAlign w:val="bottom"/>
          </w:tcPr>
          <w:p>
            <w:pPr>
              <w:ind w:left="20"/>
              <w:spacing w:after="0"/>
              <w:rPr>
                <w:sz w:val="20"/>
                <w:szCs w:val="20"/>
                <w:color w:val="auto"/>
              </w:rPr>
            </w:pPr>
            <w:r>
              <w:rPr>
                <w:rFonts w:ascii="Arial" w:cs="Arial" w:eastAsia="Arial" w:hAnsi="Arial"/>
                <w:sz w:val="18"/>
                <w:szCs w:val="18"/>
                <w:color w:val="auto"/>
                <w:w w:val="95"/>
              </w:rPr>
              <w:t>Effect on the health-care component of the accumulated other</w:t>
            </w: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64"/>
        </w:trPr>
        <w:tc>
          <w:tcPr>
            <w:tcW w:w="47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postretirement benefit obligation</w:t>
            </w:r>
          </w:p>
        </w:tc>
        <w:tc>
          <w:tcPr>
            <w:tcW w:w="76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93</w:t>
            </w:r>
          </w:p>
        </w:tc>
        <w:tc>
          <w:tcPr>
            <w:tcW w:w="6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(77 )</w:t>
            </w:r>
          </w:p>
        </w:tc>
      </w:tr>
    </w:tbl>
    <w:p>
      <w:pPr>
        <w:spacing w:after="0" w:line="2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Pension Trust Investment Strategy</w:t>
      </w:r>
    </w:p>
    <w:p>
      <w:pPr>
        <w:spacing w:after="0" w:line="249" w:lineRule="exact"/>
        <w:rPr>
          <w:sz w:val="20"/>
          <w:szCs w:val="20"/>
          <w:color w:val="auto"/>
        </w:rPr>
      </w:pPr>
    </w:p>
    <w:p>
      <w:pPr>
        <w:ind w:right="60"/>
        <w:spacing w:after="0" w:line="316" w:lineRule="auto"/>
        <w:rPr>
          <w:sz w:val="20"/>
          <w:szCs w:val="20"/>
          <w:color w:val="auto"/>
        </w:rPr>
      </w:pPr>
      <w:r>
        <w:rPr>
          <w:rFonts w:ascii="Arial" w:cs="Arial" w:eastAsia="Arial" w:hAnsi="Arial"/>
          <w:sz w:val="18"/>
          <w:szCs w:val="18"/>
          <w:color w:val="auto"/>
        </w:rPr>
        <w:t>The asset allocation for the company's pension trust (which includes other postretirement benefit plans, except for those of the Sempra Utilities separately described below) at December 31, 2007 and 2006 and the target allocation for 2008 by asset categories are as follows:</w:t>
      </w:r>
    </w:p>
    <w:p>
      <w:pPr>
        <w:spacing w:after="0" w:line="200" w:lineRule="exact"/>
        <w:rPr>
          <w:sz w:val="20"/>
          <w:szCs w:val="20"/>
          <w:color w:val="auto"/>
        </w:rPr>
      </w:pPr>
    </w:p>
    <w:tbl>
      <w:tblPr>
        <w:tblLayout w:type="fixed"/>
        <w:tblInd w:w="184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Target</w:t>
            </w:r>
          </w:p>
        </w:tc>
        <w:tc>
          <w:tcPr>
            <w:tcW w:w="680" w:type="dxa"/>
            <w:vAlign w:val="bottom"/>
          </w:tcPr>
          <w:p>
            <w:pPr>
              <w:spacing w:after="0"/>
              <w:rPr>
                <w:sz w:val="20"/>
                <w:szCs w:val="20"/>
                <w:color w:val="auto"/>
              </w:rPr>
            </w:pPr>
          </w:p>
        </w:tc>
        <w:tc>
          <w:tcPr>
            <w:tcW w:w="2520" w:type="dxa"/>
            <w:vAlign w:val="bottom"/>
            <w:gridSpan w:val="2"/>
          </w:tcPr>
          <w:p>
            <w:pPr>
              <w:jc w:val="right"/>
              <w:ind w:right="510"/>
              <w:spacing w:after="0"/>
              <w:rPr>
                <w:sz w:val="20"/>
                <w:szCs w:val="20"/>
                <w:color w:val="auto"/>
              </w:rPr>
            </w:pPr>
            <w:r>
              <w:rPr>
                <w:rFonts w:ascii="Arial" w:cs="Arial" w:eastAsia="Arial" w:hAnsi="Arial"/>
                <w:sz w:val="18"/>
                <w:szCs w:val="18"/>
                <w:color w:val="auto"/>
              </w:rPr>
              <w:t>Percentage of Plan</w:t>
            </w:r>
          </w:p>
        </w:tc>
      </w:tr>
      <w:tr>
        <w:trPr>
          <w:trHeight w:val="250"/>
        </w:trPr>
        <w:tc>
          <w:tcPr>
            <w:tcW w:w="3540" w:type="dxa"/>
            <w:vAlign w:val="bottom"/>
          </w:tcPr>
          <w:p>
            <w:pPr>
              <w:spacing w:after="0"/>
              <w:rPr>
                <w:sz w:val="21"/>
                <w:szCs w:val="21"/>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Allocation</w:t>
            </w:r>
          </w:p>
        </w:tc>
        <w:tc>
          <w:tcPr>
            <w:tcW w:w="680" w:type="dxa"/>
            <w:vAlign w:val="bottom"/>
          </w:tcPr>
          <w:p>
            <w:pPr>
              <w:spacing w:after="0"/>
              <w:rPr>
                <w:sz w:val="21"/>
                <w:szCs w:val="21"/>
                <w:color w:val="auto"/>
              </w:rPr>
            </w:pPr>
          </w:p>
        </w:tc>
        <w:tc>
          <w:tcPr>
            <w:tcW w:w="2520" w:type="dxa"/>
            <w:vAlign w:val="bottom"/>
            <w:tcBorders>
              <w:bottom w:val="single" w:sz="8" w:color="auto"/>
            </w:tcBorders>
            <w:gridSpan w:val="2"/>
          </w:tcPr>
          <w:p>
            <w:pPr>
              <w:jc w:val="right"/>
              <w:ind w:right="330"/>
              <w:spacing w:after="0"/>
              <w:rPr>
                <w:sz w:val="20"/>
                <w:szCs w:val="20"/>
                <w:color w:val="auto"/>
              </w:rPr>
            </w:pPr>
            <w:r>
              <w:rPr>
                <w:rFonts w:ascii="Arial" w:cs="Arial" w:eastAsia="Arial" w:hAnsi="Arial"/>
                <w:sz w:val="18"/>
                <w:szCs w:val="18"/>
                <w:color w:val="auto"/>
              </w:rPr>
              <w:t>Assets at December 31,</w:t>
            </w:r>
          </w:p>
        </w:tc>
      </w:tr>
      <w:tr>
        <w:trPr>
          <w:trHeight w:val="237"/>
        </w:trPr>
        <w:tc>
          <w:tcPr>
            <w:tcW w:w="35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Asset Category</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2008</w:t>
            </w:r>
          </w:p>
        </w:tc>
        <w:tc>
          <w:tcPr>
            <w:tcW w:w="6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2007</w:t>
            </w:r>
          </w:p>
        </w:tc>
        <w:tc>
          <w:tcPr>
            <w:tcW w:w="12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2006</w:t>
            </w:r>
          </w:p>
        </w:tc>
      </w:tr>
      <w:tr>
        <w:trPr>
          <w:trHeight w:val="230"/>
        </w:trPr>
        <w:tc>
          <w:tcPr>
            <w:tcW w:w="3540" w:type="dxa"/>
            <w:vAlign w:val="bottom"/>
          </w:tcPr>
          <w:p>
            <w:pPr>
              <w:ind w:left="20"/>
              <w:spacing w:after="0"/>
              <w:rPr>
                <w:sz w:val="20"/>
                <w:szCs w:val="20"/>
                <w:color w:val="auto"/>
              </w:rPr>
            </w:pPr>
            <w:r>
              <w:rPr>
                <w:rFonts w:ascii="Arial" w:cs="Arial" w:eastAsia="Arial" w:hAnsi="Arial"/>
                <w:sz w:val="18"/>
                <w:szCs w:val="18"/>
                <w:color w:val="auto"/>
              </w:rPr>
              <w:t>U.S. Equity</w:t>
            </w: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45 %</w:t>
            </w:r>
          </w:p>
        </w:tc>
        <w:tc>
          <w:tcPr>
            <w:tcW w:w="1980" w:type="dxa"/>
            <w:vAlign w:val="bottom"/>
            <w:gridSpan w:val="2"/>
          </w:tcPr>
          <w:p>
            <w:pPr>
              <w:jc w:val="right"/>
              <w:ind w:right="450"/>
              <w:spacing w:after="0"/>
              <w:rPr>
                <w:sz w:val="20"/>
                <w:szCs w:val="20"/>
                <w:color w:val="auto"/>
              </w:rPr>
            </w:pPr>
            <w:r>
              <w:rPr>
                <w:rFonts w:ascii="Arial" w:cs="Arial" w:eastAsia="Arial" w:hAnsi="Arial"/>
                <w:sz w:val="18"/>
                <w:szCs w:val="18"/>
                <w:color w:val="auto"/>
              </w:rPr>
              <w:t>45 %</w:t>
            </w: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46 %</w:t>
            </w:r>
          </w:p>
        </w:tc>
      </w:tr>
      <w:tr>
        <w:trPr>
          <w:trHeight w:val="242"/>
        </w:trPr>
        <w:tc>
          <w:tcPr>
            <w:tcW w:w="3540" w:type="dxa"/>
            <w:vAlign w:val="bottom"/>
          </w:tcPr>
          <w:p>
            <w:pPr>
              <w:ind w:left="20"/>
              <w:spacing w:after="0"/>
              <w:rPr>
                <w:sz w:val="20"/>
                <w:szCs w:val="20"/>
                <w:color w:val="auto"/>
              </w:rPr>
            </w:pPr>
            <w:r>
              <w:rPr>
                <w:rFonts w:ascii="Arial" w:cs="Arial" w:eastAsia="Arial" w:hAnsi="Arial"/>
                <w:sz w:val="18"/>
                <w:szCs w:val="18"/>
                <w:color w:val="auto"/>
              </w:rPr>
              <w:t>Foreign Equity</w:t>
            </w:r>
          </w:p>
        </w:tc>
        <w:tc>
          <w:tcPr>
            <w:tcW w:w="1020" w:type="dxa"/>
            <w:vAlign w:val="bottom"/>
          </w:tcPr>
          <w:p>
            <w:pPr>
              <w:jc w:val="right"/>
              <w:ind w:right="290"/>
              <w:spacing w:after="0"/>
              <w:rPr>
                <w:sz w:val="20"/>
                <w:szCs w:val="20"/>
                <w:color w:val="auto"/>
              </w:rPr>
            </w:pPr>
            <w:r>
              <w:rPr>
                <w:rFonts w:ascii="Arial" w:cs="Arial" w:eastAsia="Arial" w:hAnsi="Arial"/>
                <w:sz w:val="18"/>
                <w:szCs w:val="18"/>
                <w:color w:val="auto"/>
              </w:rPr>
              <w:t>25</w:t>
            </w:r>
          </w:p>
        </w:tc>
        <w:tc>
          <w:tcPr>
            <w:tcW w:w="1980" w:type="dxa"/>
            <w:vAlign w:val="bottom"/>
            <w:gridSpan w:val="2"/>
          </w:tcPr>
          <w:p>
            <w:pPr>
              <w:jc w:val="right"/>
              <w:ind w:right="610"/>
              <w:spacing w:after="0"/>
              <w:rPr>
                <w:sz w:val="20"/>
                <w:szCs w:val="20"/>
                <w:color w:val="auto"/>
              </w:rPr>
            </w:pPr>
            <w:r>
              <w:rPr>
                <w:rFonts w:ascii="Arial" w:cs="Arial" w:eastAsia="Arial" w:hAnsi="Arial"/>
                <w:sz w:val="18"/>
                <w:szCs w:val="18"/>
                <w:color w:val="auto"/>
              </w:rPr>
              <w:t>25</w:t>
            </w:r>
          </w:p>
        </w:tc>
        <w:tc>
          <w:tcPr>
            <w:tcW w:w="1220" w:type="dxa"/>
            <w:vAlign w:val="bottom"/>
          </w:tcPr>
          <w:p>
            <w:pPr>
              <w:jc w:val="right"/>
              <w:ind w:right="250"/>
              <w:spacing w:after="0"/>
              <w:rPr>
                <w:sz w:val="20"/>
                <w:szCs w:val="20"/>
                <w:color w:val="auto"/>
              </w:rPr>
            </w:pPr>
            <w:r>
              <w:rPr>
                <w:rFonts w:ascii="Arial" w:cs="Arial" w:eastAsia="Arial" w:hAnsi="Arial"/>
                <w:sz w:val="18"/>
                <w:szCs w:val="18"/>
                <w:color w:val="auto"/>
              </w:rPr>
              <w:t>24</w:t>
            </w:r>
          </w:p>
        </w:tc>
      </w:tr>
      <w:tr>
        <w:trPr>
          <w:trHeight w:val="250"/>
        </w:trPr>
        <w:tc>
          <w:tcPr>
            <w:tcW w:w="3540" w:type="dxa"/>
            <w:vAlign w:val="bottom"/>
          </w:tcPr>
          <w:p>
            <w:pPr>
              <w:ind w:left="20"/>
              <w:spacing w:after="0"/>
              <w:rPr>
                <w:sz w:val="20"/>
                <w:szCs w:val="20"/>
                <w:color w:val="auto"/>
              </w:rPr>
            </w:pPr>
            <w:r>
              <w:rPr>
                <w:rFonts w:ascii="Arial" w:cs="Arial" w:eastAsia="Arial" w:hAnsi="Arial"/>
                <w:sz w:val="18"/>
                <w:szCs w:val="18"/>
                <w:color w:val="auto"/>
              </w:rPr>
              <w:t>Fixed Income</w:t>
            </w: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30</w:t>
            </w:r>
          </w:p>
        </w:tc>
        <w:tc>
          <w:tcPr>
            <w:tcW w:w="1980" w:type="dxa"/>
            <w:vAlign w:val="bottom"/>
            <w:tcBorders>
              <w:bottom w:val="single" w:sz="8" w:color="auto"/>
            </w:tcBorders>
            <w:gridSpan w:val="2"/>
          </w:tcPr>
          <w:p>
            <w:pPr>
              <w:jc w:val="right"/>
              <w:ind w:right="610"/>
              <w:spacing w:after="0"/>
              <w:rPr>
                <w:sz w:val="20"/>
                <w:szCs w:val="20"/>
                <w:color w:val="auto"/>
              </w:rPr>
            </w:pPr>
            <w:r>
              <w:rPr>
                <w:rFonts w:ascii="Arial" w:cs="Arial" w:eastAsia="Arial" w:hAnsi="Arial"/>
                <w:sz w:val="18"/>
                <w:szCs w:val="18"/>
                <w:color w:val="auto"/>
              </w:rPr>
              <w:t>30</w:t>
            </w:r>
          </w:p>
        </w:tc>
        <w:tc>
          <w:tcPr>
            <w:tcW w:w="12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30</w:t>
            </w:r>
          </w:p>
        </w:tc>
      </w:tr>
      <w:tr>
        <w:trPr>
          <w:trHeight w:val="264"/>
        </w:trPr>
        <w:tc>
          <w:tcPr>
            <w:tcW w:w="354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Total</w:t>
            </w:r>
          </w:p>
        </w:tc>
        <w:tc>
          <w:tcPr>
            <w:tcW w:w="10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100 %</w:t>
            </w:r>
          </w:p>
        </w:tc>
        <w:tc>
          <w:tcPr>
            <w:tcW w:w="1980" w:type="dxa"/>
            <w:vAlign w:val="bottom"/>
            <w:tcBorders>
              <w:bottom w:val="single" w:sz="8" w:color="auto"/>
            </w:tcBorders>
            <w:gridSpan w:val="2"/>
          </w:tcPr>
          <w:p>
            <w:pPr>
              <w:jc w:val="right"/>
              <w:ind w:right="450"/>
              <w:spacing w:after="0"/>
              <w:rPr>
                <w:sz w:val="20"/>
                <w:szCs w:val="20"/>
                <w:color w:val="auto"/>
              </w:rPr>
            </w:pPr>
            <w:r>
              <w:rPr>
                <w:rFonts w:ascii="Arial" w:cs="Arial" w:eastAsia="Arial" w:hAnsi="Arial"/>
                <w:sz w:val="18"/>
                <w:szCs w:val="18"/>
                <w:color w:val="auto"/>
              </w:rPr>
              <w:t>100 %</w:t>
            </w:r>
          </w:p>
        </w:tc>
        <w:tc>
          <w:tcPr>
            <w:tcW w:w="12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100 %</w:t>
            </w:r>
          </w:p>
        </w:tc>
      </w:tr>
    </w:tbl>
    <w:p>
      <w:pPr>
        <w:spacing w:after="0" w:line="226" w:lineRule="exact"/>
        <w:rPr>
          <w:sz w:val="20"/>
          <w:szCs w:val="20"/>
          <w:color w:val="auto"/>
        </w:rPr>
      </w:pPr>
    </w:p>
    <w:p>
      <w:pPr>
        <w:ind w:right="60"/>
        <w:spacing w:after="0" w:line="260" w:lineRule="auto"/>
        <w:rPr>
          <w:sz w:val="20"/>
          <w:szCs w:val="20"/>
          <w:color w:val="auto"/>
        </w:rPr>
      </w:pPr>
      <w:r>
        <w:rPr>
          <w:rFonts w:ascii="Arial" w:cs="Arial" w:eastAsia="Arial" w:hAnsi="Arial"/>
          <w:sz w:val="19"/>
          <w:szCs w:val="19"/>
          <w:color w:val="auto"/>
        </w:rPr>
        <w:t>The company's investment strategy is to stay fully invested at all times and maintain its strategic asset allocation. The equity portfolio is balanced to maintain risk characteristics similar to the Morgan Stanley Capital International (MSCI) 2500 index with respect to industry, sector and market capitalization exposures. The foreign equity portfolios are managed to track the MSCI Europe, Pacific Rim and Emerging Markets indices. Bond portfolios are managed with respect to the Lehman Aggregate Bond Index and Lehman Long Government Credit Bond Index. Other than index weight, the plan does not invest in securities of the company.</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Investment Strategy for SoCalGas' Other Postretirement Benefit Plans</w:t>
      </w:r>
    </w:p>
    <w:p>
      <w:pPr>
        <w:spacing w:after="0" w:line="249"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The asset allocation for SoCalGas' other postretirement benefit plans at December 31, 2007 and 2006 and the target allocation for 2008 by asset categories are as follows:</w:t>
      </w:r>
    </w:p>
    <w:p>
      <w:pPr>
        <w:spacing w:after="0" w:line="247" w:lineRule="exact"/>
        <w:rPr>
          <w:sz w:val="20"/>
          <w:szCs w:val="20"/>
          <w:color w:val="auto"/>
        </w:rPr>
      </w:pPr>
    </w:p>
    <w:tbl>
      <w:tblPr>
        <w:tblLayout w:type="fixed"/>
        <w:tblInd w:w="184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Target</w:t>
            </w:r>
          </w:p>
        </w:tc>
        <w:tc>
          <w:tcPr>
            <w:tcW w:w="680" w:type="dxa"/>
            <w:vAlign w:val="bottom"/>
          </w:tcPr>
          <w:p>
            <w:pPr>
              <w:spacing w:after="0"/>
              <w:rPr>
                <w:sz w:val="20"/>
                <w:szCs w:val="20"/>
                <w:color w:val="auto"/>
              </w:rPr>
            </w:pPr>
          </w:p>
        </w:tc>
        <w:tc>
          <w:tcPr>
            <w:tcW w:w="2520" w:type="dxa"/>
            <w:vAlign w:val="bottom"/>
            <w:gridSpan w:val="2"/>
          </w:tcPr>
          <w:p>
            <w:pPr>
              <w:jc w:val="right"/>
              <w:ind w:right="510"/>
              <w:spacing w:after="0"/>
              <w:rPr>
                <w:sz w:val="20"/>
                <w:szCs w:val="20"/>
                <w:color w:val="auto"/>
              </w:rPr>
            </w:pPr>
            <w:r>
              <w:rPr>
                <w:rFonts w:ascii="Arial" w:cs="Arial" w:eastAsia="Arial" w:hAnsi="Arial"/>
                <w:sz w:val="18"/>
                <w:szCs w:val="18"/>
                <w:color w:val="auto"/>
              </w:rPr>
              <w:t>Percentage of Plan</w:t>
            </w:r>
          </w:p>
        </w:tc>
      </w:tr>
      <w:tr>
        <w:trPr>
          <w:trHeight w:val="250"/>
        </w:trPr>
        <w:tc>
          <w:tcPr>
            <w:tcW w:w="3540" w:type="dxa"/>
            <w:vAlign w:val="bottom"/>
          </w:tcPr>
          <w:p>
            <w:pPr>
              <w:spacing w:after="0"/>
              <w:rPr>
                <w:sz w:val="21"/>
                <w:szCs w:val="21"/>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Allocation</w:t>
            </w:r>
          </w:p>
        </w:tc>
        <w:tc>
          <w:tcPr>
            <w:tcW w:w="680" w:type="dxa"/>
            <w:vAlign w:val="bottom"/>
          </w:tcPr>
          <w:p>
            <w:pPr>
              <w:spacing w:after="0"/>
              <w:rPr>
                <w:sz w:val="21"/>
                <w:szCs w:val="21"/>
                <w:color w:val="auto"/>
              </w:rPr>
            </w:pPr>
          </w:p>
        </w:tc>
        <w:tc>
          <w:tcPr>
            <w:tcW w:w="2520" w:type="dxa"/>
            <w:vAlign w:val="bottom"/>
            <w:tcBorders>
              <w:bottom w:val="single" w:sz="8" w:color="auto"/>
            </w:tcBorders>
            <w:gridSpan w:val="2"/>
          </w:tcPr>
          <w:p>
            <w:pPr>
              <w:jc w:val="right"/>
              <w:ind w:right="330"/>
              <w:spacing w:after="0"/>
              <w:rPr>
                <w:sz w:val="20"/>
                <w:szCs w:val="20"/>
                <w:color w:val="auto"/>
              </w:rPr>
            </w:pPr>
            <w:r>
              <w:rPr>
                <w:rFonts w:ascii="Arial" w:cs="Arial" w:eastAsia="Arial" w:hAnsi="Arial"/>
                <w:sz w:val="18"/>
                <w:szCs w:val="18"/>
                <w:color w:val="auto"/>
              </w:rPr>
              <w:t>Assets at December 31,</w:t>
            </w:r>
          </w:p>
        </w:tc>
      </w:tr>
      <w:tr>
        <w:trPr>
          <w:trHeight w:val="237"/>
        </w:trPr>
        <w:tc>
          <w:tcPr>
            <w:tcW w:w="35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Asset Category</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2008</w:t>
            </w:r>
          </w:p>
        </w:tc>
        <w:tc>
          <w:tcPr>
            <w:tcW w:w="6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2007</w:t>
            </w:r>
          </w:p>
        </w:tc>
        <w:tc>
          <w:tcPr>
            <w:tcW w:w="12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2006</w:t>
            </w:r>
          </w:p>
        </w:tc>
      </w:tr>
      <w:tr>
        <w:trPr>
          <w:trHeight w:val="230"/>
        </w:trPr>
        <w:tc>
          <w:tcPr>
            <w:tcW w:w="3540" w:type="dxa"/>
            <w:vAlign w:val="bottom"/>
          </w:tcPr>
          <w:p>
            <w:pPr>
              <w:ind w:left="20"/>
              <w:spacing w:after="0"/>
              <w:rPr>
                <w:sz w:val="20"/>
                <w:szCs w:val="20"/>
                <w:color w:val="auto"/>
              </w:rPr>
            </w:pPr>
            <w:r>
              <w:rPr>
                <w:rFonts w:ascii="Arial" w:cs="Arial" w:eastAsia="Arial" w:hAnsi="Arial"/>
                <w:sz w:val="18"/>
                <w:szCs w:val="18"/>
                <w:color w:val="auto"/>
              </w:rPr>
              <w:t>U.S. Equity</w:t>
            </w: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70 %</w:t>
            </w:r>
          </w:p>
        </w:tc>
        <w:tc>
          <w:tcPr>
            <w:tcW w:w="1980" w:type="dxa"/>
            <w:vAlign w:val="bottom"/>
            <w:gridSpan w:val="2"/>
          </w:tcPr>
          <w:p>
            <w:pPr>
              <w:jc w:val="right"/>
              <w:ind w:right="450"/>
              <w:spacing w:after="0"/>
              <w:rPr>
                <w:sz w:val="20"/>
                <w:szCs w:val="20"/>
                <w:color w:val="auto"/>
              </w:rPr>
            </w:pPr>
            <w:r>
              <w:rPr>
                <w:rFonts w:ascii="Arial" w:cs="Arial" w:eastAsia="Arial" w:hAnsi="Arial"/>
                <w:sz w:val="18"/>
                <w:szCs w:val="18"/>
                <w:color w:val="auto"/>
              </w:rPr>
              <w:t>75 %</w:t>
            </w: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74 %</w:t>
            </w:r>
          </w:p>
        </w:tc>
      </w:tr>
      <w:tr>
        <w:trPr>
          <w:trHeight w:val="249"/>
        </w:trPr>
        <w:tc>
          <w:tcPr>
            <w:tcW w:w="3540" w:type="dxa"/>
            <w:vAlign w:val="bottom"/>
          </w:tcPr>
          <w:p>
            <w:pPr>
              <w:ind w:left="20"/>
              <w:spacing w:after="0"/>
              <w:rPr>
                <w:sz w:val="20"/>
                <w:szCs w:val="20"/>
                <w:color w:val="auto"/>
              </w:rPr>
            </w:pPr>
            <w:r>
              <w:rPr>
                <w:rFonts w:ascii="Arial" w:cs="Arial" w:eastAsia="Arial" w:hAnsi="Arial"/>
                <w:sz w:val="18"/>
                <w:szCs w:val="18"/>
                <w:color w:val="auto"/>
              </w:rPr>
              <w:t>Fixed Income</w:t>
            </w: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30</w:t>
            </w:r>
          </w:p>
        </w:tc>
        <w:tc>
          <w:tcPr>
            <w:tcW w:w="1980" w:type="dxa"/>
            <w:vAlign w:val="bottom"/>
            <w:tcBorders>
              <w:bottom w:val="single" w:sz="8" w:color="auto"/>
            </w:tcBorders>
            <w:gridSpan w:val="2"/>
          </w:tcPr>
          <w:p>
            <w:pPr>
              <w:jc w:val="right"/>
              <w:ind w:right="610"/>
              <w:spacing w:after="0"/>
              <w:rPr>
                <w:sz w:val="20"/>
                <w:szCs w:val="20"/>
                <w:color w:val="auto"/>
              </w:rPr>
            </w:pPr>
            <w:r>
              <w:rPr>
                <w:rFonts w:ascii="Arial" w:cs="Arial" w:eastAsia="Arial" w:hAnsi="Arial"/>
                <w:sz w:val="18"/>
                <w:szCs w:val="18"/>
                <w:color w:val="auto"/>
              </w:rPr>
              <w:t>25</w:t>
            </w:r>
          </w:p>
        </w:tc>
        <w:tc>
          <w:tcPr>
            <w:tcW w:w="12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26</w:t>
            </w:r>
          </w:p>
        </w:tc>
      </w:tr>
      <w:tr>
        <w:trPr>
          <w:trHeight w:val="264"/>
        </w:trPr>
        <w:tc>
          <w:tcPr>
            <w:tcW w:w="354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Total</w:t>
            </w:r>
          </w:p>
        </w:tc>
        <w:tc>
          <w:tcPr>
            <w:tcW w:w="10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100 %</w:t>
            </w:r>
          </w:p>
        </w:tc>
        <w:tc>
          <w:tcPr>
            <w:tcW w:w="1980" w:type="dxa"/>
            <w:vAlign w:val="bottom"/>
            <w:tcBorders>
              <w:bottom w:val="single" w:sz="8" w:color="auto"/>
            </w:tcBorders>
            <w:gridSpan w:val="2"/>
          </w:tcPr>
          <w:p>
            <w:pPr>
              <w:jc w:val="right"/>
              <w:ind w:right="450"/>
              <w:spacing w:after="0"/>
              <w:rPr>
                <w:sz w:val="20"/>
                <w:szCs w:val="20"/>
                <w:color w:val="auto"/>
              </w:rPr>
            </w:pPr>
            <w:r>
              <w:rPr>
                <w:rFonts w:ascii="Arial" w:cs="Arial" w:eastAsia="Arial" w:hAnsi="Arial"/>
                <w:sz w:val="18"/>
                <w:szCs w:val="18"/>
                <w:color w:val="auto"/>
              </w:rPr>
              <w:t>100 %</w:t>
            </w:r>
          </w:p>
        </w:tc>
        <w:tc>
          <w:tcPr>
            <w:tcW w:w="12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100 %</w:t>
            </w:r>
          </w:p>
        </w:tc>
      </w:tr>
    </w:tbl>
    <w:p>
      <w:pPr>
        <w:spacing w:after="0" w:line="226" w:lineRule="exact"/>
        <w:rPr>
          <w:sz w:val="20"/>
          <w:szCs w:val="20"/>
          <w:color w:val="auto"/>
        </w:rPr>
      </w:pPr>
    </w:p>
    <w:p>
      <w:pPr>
        <w:ind w:right="80"/>
        <w:spacing w:after="0" w:line="260" w:lineRule="auto"/>
        <w:rPr>
          <w:sz w:val="20"/>
          <w:szCs w:val="20"/>
          <w:color w:val="auto"/>
        </w:rPr>
      </w:pPr>
      <w:r>
        <w:rPr>
          <w:rFonts w:ascii="Arial" w:cs="Arial" w:eastAsia="Arial" w:hAnsi="Arial"/>
          <w:sz w:val="20"/>
          <w:szCs w:val="20"/>
          <w:color w:val="auto"/>
        </w:rPr>
        <w:t>SoCalGas' other postretirement benefit plans are funded by cash contributions from SoCalGas and the retirees. The asset allocation is designed to match the long-term growth of the plans' liability. These plans are managed using index funds.</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color w:val="auto"/>
        </w:rPr>
        <w:t>89</w:t>
      </w:r>
    </w:p>
    <w:p>
      <w:pPr>
        <w:sectPr>
          <w:pgSz w:w="11900" w:h="16838" w:orient="portrait"/>
          <w:cols w:equalWidth="0" w:num="1">
            <w:col w:w="11400"/>
          </w:cols>
          <w:pgMar w:left="240" w:top="122" w:right="259" w:bottom="1440" w:gutter="0" w:footer="0" w:header="0"/>
        </w:sectPr>
      </w:pPr>
    </w:p>
    <w:bookmarkStart w:id="157" w:name="page158"/>
    <w:bookmarkEnd w:id="157"/>
    <w:p>
      <w:pPr>
        <w:spacing w:after="0"/>
        <w:rPr>
          <w:sz w:val="20"/>
          <w:szCs w:val="20"/>
          <w:color w:val="auto"/>
        </w:rPr>
      </w:pPr>
      <w:r>
        <w:rPr>
          <w:rFonts w:ascii="Arial" w:cs="Arial" w:eastAsia="Arial" w:hAnsi="Arial"/>
          <w:sz w:val="20"/>
          <w:szCs w:val="20"/>
          <w:b w:val="1"/>
          <w:bCs w:val="1"/>
          <w:color w:val="auto"/>
        </w:rPr>
        <w:t>Investment Strategy for SDG&amp;E's Postretirement Health Plans</w:t>
      </w:r>
    </w:p>
    <w:p>
      <w:pPr>
        <w:spacing w:after="0" w:line="249" w:lineRule="exact"/>
        <w:rPr>
          <w:sz w:val="20"/>
          <w:szCs w:val="20"/>
          <w:color w:val="auto"/>
        </w:rPr>
      </w:pPr>
    </w:p>
    <w:p>
      <w:pPr>
        <w:ind w:right="580"/>
        <w:spacing w:after="0" w:line="260" w:lineRule="auto"/>
        <w:rPr>
          <w:sz w:val="20"/>
          <w:szCs w:val="20"/>
          <w:color w:val="auto"/>
        </w:rPr>
      </w:pPr>
      <w:r>
        <w:rPr>
          <w:rFonts w:ascii="Arial" w:cs="Arial" w:eastAsia="Arial" w:hAnsi="Arial"/>
          <w:sz w:val="20"/>
          <w:szCs w:val="20"/>
          <w:color w:val="auto"/>
        </w:rPr>
        <w:t>The asset allocation for SDG&amp;E's postretirement health plans at December 31, 2007 and 2006 and the target allocation for 2008 by asset categories are as follows:</w:t>
      </w:r>
    </w:p>
    <w:p>
      <w:pPr>
        <w:spacing w:after="0" w:line="247" w:lineRule="exact"/>
        <w:rPr>
          <w:sz w:val="20"/>
          <w:szCs w:val="20"/>
          <w:color w:val="auto"/>
        </w:rPr>
      </w:pPr>
    </w:p>
    <w:tbl>
      <w:tblPr>
        <w:tblLayout w:type="fixed"/>
        <w:tblInd w:w="184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Target</w:t>
            </w:r>
          </w:p>
        </w:tc>
        <w:tc>
          <w:tcPr>
            <w:tcW w:w="680" w:type="dxa"/>
            <w:vAlign w:val="bottom"/>
          </w:tcPr>
          <w:p>
            <w:pPr>
              <w:spacing w:after="0"/>
              <w:rPr>
                <w:sz w:val="20"/>
                <w:szCs w:val="20"/>
                <w:color w:val="auto"/>
              </w:rPr>
            </w:pPr>
          </w:p>
        </w:tc>
        <w:tc>
          <w:tcPr>
            <w:tcW w:w="2520" w:type="dxa"/>
            <w:vAlign w:val="bottom"/>
            <w:gridSpan w:val="2"/>
          </w:tcPr>
          <w:p>
            <w:pPr>
              <w:jc w:val="right"/>
              <w:ind w:right="510"/>
              <w:spacing w:after="0"/>
              <w:rPr>
                <w:sz w:val="20"/>
                <w:szCs w:val="20"/>
                <w:color w:val="auto"/>
              </w:rPr>
            </w:pPr>
            <w:r>
              <w:rPr>
                <w:rFonts w:ascii="Arial" w:cs="Arial" w:eastAsia="Arial" w:hAnsi="Arial"/>
                <w:sz w:val="18"/>
                <w:szCs w:val="18"/>
                <w:color w:val="auto"/>
              </w:rPr>
              <w:t>Percentage of Plan</w:t>
            </w:r>
          </w:p>
        </w:tc>
      </w:tr>
      <w:tr>
        <w:trPr>
          <w:trHeight w:val="250"/>
        </w:trPr>
        <w:tc>
          <w:tcPr>
            <w:tcW w:w="3540" w:type="dxa"/>
            <w:vAlign w:val="bottom"/>
          </w:tcPr>
          <w:p>
            <w:pPr>
              <w:spacing w:after="0"/>
              <w:rPr>
                <w:sz w:val="21"/>
                <w:szCs w:val="21"/>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Allocation</w:t>
            </w:r>
          </w:p>
        </w:tc>
        <w:tc>
          <w:tcPr>
            <w:tcW w:w="680" w:type="dxa"/>
            <w:vAlign w:val="bottom"/>
          </w:tcPr>
          <w:p>
            <w:pPr>
              <w:spacing w:after="0"/>
              <w:rPr>
                <w:sz w:val="21"/>
                <w:szCs w:val="21"/>
                <w:color w:val="auto"/>
              </w:rPr>
            </w:pPr>
          </w:p>
        </w:tc>
        <w:tc>
          <w:tcPr>
            <w:tcW w:w="2520" w:type="dxa"/>
            <w:vAlign w:val="bottom"/>
            <w:tcBorders>
              <w:bottom w:val="single" w:sz="8" w:color="auto"/>
            </w:tcBorders>
            <w:gridSpan w:val="2"/>
          </w:tcPr>
          <w:p>
            <w:pPr>
              <w:jc w:val="right"/>
              <w:ind w:right="330"/>
              <w:spacing w:after="0"/>
              <w:rPr>
                <w:sz w:val="20"/>
                <w:szCs w:val="20"/>
                <w:color w:val="auto"/>
              </w:rPr>
            </w:pPr>
            <w:r>
              <w:rPr>
                <w:rFonts w:ascii="Arial" w:cs="Arial" w:eastAsia="Arial" w:hAnsi="Arial"/>
                <w:sz w:val="18"/>
                <w:szCs w:val="18"/>
                <w:color w:val="auto"/>
              </w:rPr>
              <w:t>Assets at December 31,</w:t>
            </w:r>
          </w:p>
        </w:tc>
      </w:tr>
      <w:tr>
        <w:trPr>
          <w:trHeight w:val="237"/>
        </w:trPr>
        <w:tc>
          <w:tcPr>
            <w:tcW w:w="35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Asset Category</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2008</w:t>
            </w:r>
          </w:p>
        </w:tc>
        <w:tc>
          <w:tcPr>
            <w:tcW w:w="6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2007</w:t>
            </w:r>
          </w:p>
        </w:tc>
        <w:tc>
          <w:tcPr>
            <w:tcW w:w="12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2006</w:t>
            </w:r>
          </w:p>
        </w:tc>
      </w:tr>
      <w:tr>
        <w:trPr>
          <w:trHeight w:val="230"/>
        </w:trPr>
        <w:tc>
          <w:tcPr>
            <w:tcW w:w="3540" w:type="dxa"/>
            <w:vAlign w:val="bottom"/>
          </w:tcPr>
          <w:p>
            <w:pPr>
              <w:ind w:left="20"/>
              <w:spacing w:after="0"/>
              <w:rPr>
                <w:sz w:val="20"/>
                <w:szCs w:val="20"/>
                <w:color w:val="auto"/>
              </w:rPr>
            </w:pPr>
            <w:r>
              <w:rPr>
                <w:rFonts w:ascii="Arial" w:cs="Arial" w:eastAsia="Arial" w:hAnsi="Arial"/>
                <w:sz w:val="18"/>
                <w:szCs w:val="18"/>
                <w:color w:val="auto"/>
              </w:rPr>
              <w:t>U.S. Equity</w:t>
            </w: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25 %</w:t>
            </w:r>
          </w:p>
        </w:tc>
        <w:tc>
          <w:tcPr>
            <w:tcW w:w="1980" w:type="dxa"/>
            <w:vAlign w:val="bottom"/>
            <w:gridSpan w:val="2"/>
          </w:tcPr>
          <w:p>
            <w:pPr>
              <w:jc w:val="right"/>
              <w:ind w:right="450"/>
              <w:spacing w:after="0"/>
              <w:rPr>
                <w:sz w:val="20"/>
                <w:szCs w:val="20"/>
                <w:color w:val="auto"/>
              </w:rPr>
            </w:pPr>
            <w:r>
              <w:rPr>
                <w:rFonts w:ascii="Arial" w:cs="Arial" w:eastAsia="Arial" w:hAnsi="Arial"/>
                <w:sz w:val="18"/>
                <w:szCs w:val="18"/>
                <w:color w:val="auto"/>
              </w:rPr>
              <w:t>25 %</w:t>
            </w: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25 %</w:t>
            </w:r>
          </w:p>
        </w:tc>
      </w:tr>
      <w:tr>
        <w:trPr>
          <w:trHeight w:val="242"/>
        </w:trPr>
        <w:tc>
          <w:tcPr>
            <w:tcW w:w="3540" w:type="dxa"/>
            <w:vAlign w:val="bottom"/>
          </w:tcPr>
          <w:p>
            <w:pPr>
              <w:ind w:left="20"/>
              <w:spacing w:after="0"/>
              <w:rPr>
                <w:sz w:val="20"/>
                <w:szCs w:val="20"/>
                <w:color w:val="auto"/>
              </w:rPr>
            </w:pPr>
            <w:r>
              <w:rPr>
                <w:rFonts w:ascii="Arial" w:cs="Arial" w:eastAsia="Arial" w:hAnsi="Arial"/>
                <w:sz w:val="18"/>
                <w:szCs w:val="18"/>
                <w:color w:val="auto"/>
              </w:rPr>
              <w:t>Foreign Equity</w:t>
            </w:r>
          </w:p>
        </w:tc>
        <w:tc>
          <w:tcPr>
            <w:tcW w:w="1020" w:type="dxa"/>
            <w:vAlign w:val="bottom"/>
          </w:tcPr>
          <w:p>
            <w:pPr>
              <w:jc w:val="right"/>
              <w:ind w:right="290"/>
              <w:spacing w:after="0"/>
              <w:rPr>
                <w:sz w:val="20"/>
                <w:szCs w:val="20"/>
                <w:color w:val="auto"/>
              </w:rPr>
            </w:pPr>
            <w:r>
              <w:rPr>
                <w:rFonts w:ascii="Arial" w:cs="Arial" w:eastAsia="Arial" w:hAnsi="Arial"/>
                <w:sz w:val="18"/>
                <w:szCs w:val="18"/>
                <w:color w:val="auto"/>
              </w:rPr>
              <w:t>5</w:t>
            </w:r>
          </w:p>
        </w:tc>
        <w:tc>
          <w:tcPr>
            <w:tcW w:w="1980" w:type="dxa"/>
            <w:vAlign w:val="bottom"/>
            <w:gridSpan w:val="2"/>
          </w:tcPr>
          <w:p>
            <w:pPr>
              <w:jc w:val="right"/>
              <w:ind w:right="610"/>
              <w:spacing w:after="0"/>
              <w:rPr>
                <w:sz w:val="20"/>
                <w:szCs w:val="20"/>
                <w:color w:val="auto"/>
              </w:rPr>
            </w:pPr>
            <w:r>
              <w:rPr>
                <w:rFonts w:ascii="Arial" w:cs="Arial" w:eastAsia="Arial" w:hAnsi="Arial"/>
                <w:sz w:val="18"/>
                <w:szCs w:val="18"/>
                <w:color w:val="auto"/>
              </w:rPr>
              <w:t>5</w:t>
            </w:r>
          </w:p>
        </w:tc>
        <w:tc>
          <w:tcPr>
            <w:tcW w:w="1220" w:type="dxa"/>
            <w:vAlign w:val="bottom"/>
          </w:tcPr>
          <w:p>
            <w:pPr>
              <w:jc w:val="right"/>
              <w:ind w:right="250"/>
              <w:spacing w:after="0"/>
              <w:rPr>
                <w:sz w:val="20"/>
                <w:szCs w:val="20"/>
                <w:color w:val="auto"/>
              </w:rPr>
            </w:pPr>
            <w:r>
              <w:rPr>
                <w:rFonts w:ascii="Arial" w:cs="Arial" w:eastAsia="Arial" w:hAnsi="Arial"/>
                <w:sz w:val="18"/>
                <w:szCs w:val="18"/>
                <w:color w:val="auto"/>
              </w:rPr>
              <w:t>7</w:t>
            </w:r>
          </w:p>
        </w:tc>
      </w:tr>
      <w:tr>
        <w:trPr>
          <w:trHeight w:val="250"/>
        </w:trPr>
        <w:tc>
          <w:tcPr>
            <w:tcW w:w="3540" w:type="dxa"/>
            <w:vAlign w:val="bottom"/>
          </w:tcPr>
          <w:p>
            <w:pPr>
              <w:ind w:left="20"/>
              <w:spacing w:after="0"/>
              <w:rPr>
                <w:sz w:val="20"/>
                <w:szCs w:val="20"/>
                <w:color w:val="auto"/>
              </w:rPr>
            </w:pPr>
            <w:r>
              <w:rPr>
                <w:rFonts w:ascii="Arial" w:cs="Arial" w:eastAsia="Arial" w:hAnsi="Arial"/>
                <w:sz w:val="18"/>
                <w:szCs w:val="18"/>
                <w:color w:val="auto"/>
              </w:rPr>
              <w:t>Fixed Income</w:t>
            </w: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70</w:t>
            </w:r>
          </w:p>
        </w:tc>
        <w:tc>
          <w:tcPr>
            <w:tcW w:w="1980" w:type="dxa"/>
            <w:vAlign w:val="bottom"/>
            <w:tcBorders>
              <w:bottom w:val="single" w:sz="8" w:color="auto"/>
            </w:tcBorders>
            <w:gridSpan w:val="2"/>
          </w:tcPr>
          <w:p>
            <w:pPr>
              <w:jc w:val="right"/>
              <w:ind w:right="610"/>
              <w:spacing w:after="0"/>
              <w:rPr>
                <w:sz w:val="20"/>
                <w:szCs w:val="20"/>
                <w:color w:val="auto"/>
              </w:rPr>
            </w:pPr>
            <w:r>
              <w:rPr>
                <w:rFonts w:ascii="Arial" w:cs="Arial" w:eastAsia="Arial" w:hAnsi="Arial"/>
                <w:sz w:val="18"/>
                <w:szCs w:val="18"/>
                <w:color w:val="auto"/>
              </w:rPr>
              <w:t>70</w:t>
            </w:r>
          </w:p>
        </w:tc>
        <w:tc>
          <w:tcPr>
            <w:tcW w:w="12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68</w:t>
            </w:r>
          </w:p>
        </w:tc>
      </w:tr>
      <w:tr>
        <w:trPr>
          <w:trHeight w:val="264"/>
        </w:trPr>
        <w:tc>
          <w:tcPr>
            <w:tcW w:w="354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Total</w:t>
            </w:r>
          </w:p>
        </w:tc>
        <w:tc>
          <w:tcPr>
            <w:tcW w:w="10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100 %</w:t>
            </w:r>
          </w:p>
        </w:tc>
        <w:tc>
          <w:tcPr>
            <w:tcW w:w="1980" w:type="dxa"/>
            <w:vAlign w:val="bottom"/>
            <w:tcBorders>
              <w:bottom w:val="single" w:sz="8" w:color="auto"/>
            </w:tcBorders>
            <w:gridSpan w:val="2"/>
          </w:tcPr>
          <w:p>
            <w:pPr>
              <w:jc w:val="right"/>
              <w:ind w:right="450"/>
              <w:spacing w:after="0"/>
              <w:rPr>
                <w:sz w:val="20"/>
                <w:szCs w:val="20"/>
                <w:color w:val="auto"/>
              </w:rPr>
            </w:pPr>
            <w:r>
              <w:rPr>
                <w:rFonts w:ascii="Arial" w:cs="Arial" w:eastAsia="Arial" w:hAnsi="Arial"/>
                <w:sz w:val="18"/>
                <w:szCs w:val="18"/>
                <w:color w:val="auto"/>
              </w:rPr>
              <w:t>100 %</w:t>
            </w:r>
          </w:p>
        </w:tc>
        <w:tc>
          <w:tcPr>
            <w:tcW w:w="12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100 %</w:t>
            </w:r>
          </w:p>
        </w:tc>
      </w:tr>
    </w:tbl>
    <w:p>
      <w:pPr>
        <w:spacing w:after="0" w:line="226" w:lineRule="exact"/>
        <w:rPr>
          <w:sz w:val="20"/>
          <w:szCs w:val="20"/>
          <w:color w:val="auto"/>
        </w:rPr>
      </w:pPr>
    </w:p>
    <w:p>
      <w:pPr>
        <w:ind w:right="120"/>
        <w:spacing w:after="0" w:line="250" w:lineRule="auto"/>
        <w:rPr>
          <w:sz w:val="20"/>
          <w:szCs w:val="20"/>
          <w:color w:val="auto"/>
        </w:rPr>
      </w:pPr>
      <w:r>
        <w:rPr>
          <w:rFonts w:ascii="Arial" w:cs="Arial" w:eastAsia="Arial" w:hAnsi="Arial"/>
          <w:sz w:val="20"/>
          <w:szCs w:val="20"/>
          <w:color w:val="auto"/>
        </w:rPr>
        <w:t>SDG&amp;E's postretirement health plans that are not included in the pension trust (shown above) pay premiums to health maintenance organization and point-of-service plans from company and participant contributions. SDG&amp;E's investment strategy is to maintain a diversified portfolio of equities and tax-exempt California municipal bonds.</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Future Payments</w:t>
      </w:r>
    </w:p>
    <w:p>
      <w:pPr>
        <w:spacing w:after="0" w:line="249" w:lineRule="exact"/>
        <w:rPr>
          <w:sz w:val="20"/>
          <w:szCs w:val="20"/>
          <w:color w:val="auto"/>
        </w:rPr>
      </w:pPr>
    </w:p>
    <w:p>
      <w:pPr>
        <w:spacing w:after="0"/>
        <w:rPr>
          <w:sz w:val="20"/>
          <w:szCs w:val="20"/>
          <w:color w:val="auto"/>
        </w:rPr>
      </w:pPr>
      <w:r>
        <w:rPr>
          <w:rFonts w:ascii="Arial" w:cs="Arial" w:eastAsia="Arial" w:hAnsi="Arial"/>
          <w:sz w:val="19"/>
          <w:szCs w:val="19"/>
          <w:color w:val="auto"/>
        </w:rPr>
        <w:t>The company expects to contribute $73 million to its pension plans and $36 million to its other postretirement benefit plans in 2008.</w:t>
      </w:r>
    </w:p>
    <w:p>
      <w:pPr>
        <w:spacing w:after="0" w:line="254" w:lineRule="exact"/>
        <w:rPr>
          <w:sz w:val="20"/>
          <w:szCs w:val="20"/>
          <w:color w:val="auto"/>
        </w:rPr>
      </w:pPr>
    </w:p>
    <w:p>
      <w:pPr>
        <w:ind w:right="60"/>
        <w:spacing w:after="0" w:line="260" w:lineRule="auto"/>
        <w:rPr>
          <w:sz w:val="20"/>
          <w:szCs w:val="20"/>
          <w:color w:val="auto"/>
        </w:rPr>
      </w:pPr>
      <w:r>
        <w:rPr>
          <w:rFonts w:ascii="Arial" w:cs="Arial" w:eastAsia="Arial" w:hAnsi="Arial"/>
          <w:sz w:val="20"/>
          <w:szCs w:val="20"/>
          <w:color w:val="auto"/>
        </w:rPr>
        <w:t>The following table reflects the total benefits expected to be paid for the next 10 years to current employees and retirees from the plans or from the company's assets.</w:t>
      </w:r>
    </w:p>
    <w:p>
      <w:pPr>
        <w:spacing w:after="0" w:line="247" w:lineRule="exact"/>
        <w:rPr>
          <w:sz w:val="20"/>
          <w:szCs w:val="20"/>
          <w:color w:val="auto"/>
        </w:rPr>
      </w:pPr>
    </w:p>
    <w:tbl>
      <w:tblPr>
        <w:tblLayout w:type="fixed"/>
        <w:tblInd w:w="1920" w:type="dxa"/>
        <w:tblCellMar>
          <w:top w:w="0" w:type="dxa"/>
          <w:left w:w="0" w:type="dxa"/>
          <w:bottom w:w="0" w:type="dxa"/>
          <w:right w:w="0" w:type="dxa"/>
        </w:tblCellMar>
      </w:tblPr>
      <w:tr>
        <w:trPr>
          <w:trHeight w:val="230"/>
        </w:trPr>
        <w:tc>
          <w:tcPr>
            <w:tcW w:w="26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60" w:type="dxa"/>
            <w:vAlign w:val="bottom"/>
          </w:tcPr>
          <w:p>
            <w:pPr>
              <w:jc w:val="right"/>
              <w:ind w:right="650"/>
              <w:spacing w:after="0"/>
              <w:rPr>
                <w:sz w:val="20"/>
                <w:szCs w:val="20"/>
                <w:color w:val="auto"/>
              </w:rPr>
            </w:pPr>
            <w:r>
              <w:rPr>
                <w:rFonts w:ascii="Arial" w:cs="Arial" w:eastAsia="Arial" w:hAnsi="Arial"/>
                <w:sz w:val="18"/>
                <w:szCs w:val="18"/>
                <w:color w:val="auto"/>
                <w:w w:val="88"/>
              </w:rPr>
              <w:t>Other</w:t>
            </w:r>
          </w:p>
        </w:tc>
      </w:tr>
      <w:tr>
        <w:trPr>
          <w:trHeight w:val="250"/>
        </w:trPr>
        <w:tc>
          <w:tcPr>
            <w:tcW w:w="2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(Dollars in millions)</w:t>
            </w:r>
          </w:p>
        </w:tc>
        <w:tc>
          <w:tcPr>
            <w:tcW w:w="2780" w:type="dxa"/>
            <w:vAlign w:val="bottom"/>
            <w:tcBorders>
              <w:bottom w:val="single" w:sz="8" w:color="auto"/>
            </w:tcBorders>
            <w:gridSpan w:val="2"/>
          </w:tcPr>
          <w:p>
            <w:pPr>
              <w:jc w:val="right"/>
              <w:ind w:right="310"/>
              <w:spacing w:after="0"/>
              <w:rPr>
                <w:sz w:val="20"/>
                <w:szCs w:val="20"/>
                <w:color w:val="auto"/>
              </w:rPr>
            </w:pPr>
            <w:r>
              <w:rPr>
                <w:rFonts w:ascii="Arial" w:cs="Arial" w:eastAsia="Arial" w:hAnsi="Arial"/>
                <w:sz w:val="18"/>
                <w:szCs w:val="18"/>
                <w:color w:val="auto"/>
              </w:rPr>
              <w:t>Pension Benefits</w:t>
            </w:r>
          </w:p>
        </w:tc>
        <w:tc>
          <w:tcPr>
            <w:tcW w:w="21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Postretirement Benefits</w:t>
            </w:r>
          </w:p>
        </w:tc>
      </w:tr>
      <w:tr>
        <w:trPr>
          <w:trHeight w:val="230"/>
        </w:trPr>
        <w:tc>
          <w:tcPr>
            <w:tcW w:w="2640" w:type="dxa"/>
            <w:vAlign w:val="bottom"/>
          </w:tcPr>
          <w:p>
            <w:pPr>
              <w:spacing w:after="0"/>
              <w:rPr>
                <w:sz w:val="20"/>
                <w:szCs w:val="20"/>
                <w:color w:val="auto"/>
              </w:rPr>
            </w:pPr>
            <w:r>
              <w:rPr>
                <w:rFonts w:ascii="Arial" w:cs="Arial" w:eastAsia="Arial" w:hAnsi="Arial"/>
                <w:sz w:val="18"/>
                <w:szCs w:val="18"/>
                <w:color w:val="auto"/>
              </w:rPr>
              <w:t>2008</w:t>
            </w: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730"/>
              <w:spacing w:after="0"/>
              <w:rPr>
                <w:sz w:val="20"/>
                <w:szCs w:val="20"/>
                <w:color w:val="auto"/>
              </w:rPr>
            </w:pPr>
            <w:r>
              <w:rPr>
                <w:rFonts w:ascii="Arial" w:cs="Arial" w:eastAsia="Arial" w:hAnsi="Arial"/>
                <w:sz w:val="18"/>
                <w:szCs w:val="18"/>
                <w:color w:val="auto"/>
              </w:rPr>
              <w:t>280</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70"/>
              <w:spacing w:after="0"/>
              <w:rPr>
                <w:sz w:val="20"/>
                <w:szCs w:val="20"/>
                <w:color w:val="auto"/>
              </w:rPr>
            </w:pPr>
            <w:r>
              <w:rPr>
                <w:rFonts w:ascii="Arial" w:cs="Arial" w:eastAsia="Arial" w:hAnsi="Arial"/>
                <w:sz w:val="18"/>
                <w:szCs w:val="18"/>
                <w:color w:val="auto"/>
              </w:rPr>
              <w:t>41</w:t>
            </w:r>
          </w:p>
        </w:tc>
      </w:tr>
      <w:tr>
        <w:trPr>
          <w:trHeight w:val="242"/>
        </w:trPr>
        <w:tc>
          <w:tcPr>
            <w:tcW w:w="2640" w:type="dxa"/>
            <w:vAlign w:val="bottom"/>
          </w:tcPr>
          <w:p>
            <w:pPr>
              <w:spacing w:after="0"/>
              <w:rPr>
                <w:sz w:val="20"/>
                <w:szCs w:val="20"/>
                <w:color w:val="auto"/>
              </w:rPr>
            </w:pPr>
            <w:r>
              <w:rPr>
                <w:rFonts w:ascii="Arial" w:cs="Arial" w:eastAsia="Arial" w:hAnsi="Arial"/>
                <w:sz w:val="18"/>
                <w:szCs w:val="18"/>
                <w:color w:val="auto"/>
              </w:rPr>
              <w:t>2009</w:t>
            </w: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730"/>
              <w:spacing w:after="0"/>
              <w:rPr>
                <w:sz w:val="20"/>
                <w:szCs w:val="20"/>
                <w:color w:val="auto"/>
              </w:rPr>
            </w:pPr>
            <w:r>
              <w:rPr>
                <w:rFonts w:ascii="Arial" w:cs="Arial" w:eastAsia="Arial" w:hAnsi="Arial"/>
                <w:sz w:val="18"/>
                <w:szCs w:val="18"/>
                <w:color w:val="auto"/>
              </w:rPr>
              <w:t>255</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70"/>
              <w:spacing w:after="0"/>
              <w:rPr>
                <w:sz w:val="20"/>
                <w:szCs w:val="20"/>
                <w:color w:val="auto"/>
              </w:rPr>
            </w:pPr>
            <w:r>
              <w:rPr>
                <w:rFonts w:ascii="Arial" w:cs="Arial" w:eastAsia="Arial" w:hAnsi="Arial"/>
                <w:sz w:val="18"/>
                <w:szCs w:val="18"/>
                <w:color w:val="auto"/>
              </w:rPr>
              <w:t>45</w:t>
            </w:r>
          </w:p>
        </w:tc>
      </w:tr>
      <w:tr>
        <w:trPr>
          <w:trHeight w:val="243"/>
        </w:trPr>
        <w:tc>
          <w:tcPr>
            <w:tcW w:w="2640" w:type="dxa"/>
            <w:vAlign w:val="bottom"/>
          </w:tcPr>
          <w:p>
            <w:pPr>
              <w:spacing w:after="0"/>
              <w:rPr>
                <w:sz w:val="20"/>
                <w:szCs w:val="20"/>
                <w:color w:val="auto"/>
              </w:rPr>
            </w:pPr>
            <w:r>
              <w:rPr>
                <w:rFonts w:ascii="Arial" w:cs="Arial" w:eastAsia="Arial" w:hAnsi="Arial"/>
                <w:sz w:val="18"/>
                <w:szCs w:val="18"/>
                <w:color w:val="auto"/>
              </w:rPr>
              <w:t>2010</w:t>
            </w: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730"/>
              <w:spacing w:after="0"/>
              <w:rPr>
                <w:sz w:val="20"/>
                <w:szCs w:val="20"/>
                <w:color w:val="auto"/>
              </w:rPr>
            </w:pPr>
            <w:r>
              <w:rPr>
                <w:rFonts w:ascii="Arial" w:cs="Arial" w:eastAsia="Arial" w:hAnsi="Arial"/>
                <w:sz w:val="18"/>
                <w:szCs w:val="18"/>
                <w:color w:val="auto"/>
              </w:rPr>
              <w:t>257</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70"/>
              <w:spacing w:after="0"/>
              <w:rPr>
                <w:sz w:val="20"/>
                <w:szCs w:val="20"/>
                <w:color w:val="auto"/>
              </w:rPr>
            </w:pPr>
            <w:r>
              <w:rPr>
                <w:rFonts w:ascii="Arial" w:cs="Arial" w:eastAsia="Arial" w:hAnsi="Arial"/>
                <w:sz w:val="18"/>
                <w:szCs w:val="18"/>
                <w:color w:val="auto"/>
              </w:rPr>
              <w:t>48</w:t>
            </w:r>
          </w:p>
        </w:tc>
      </w:tr>
      <w:tr>
        <w:trPr>
          <w:trHeight w:val="243"/>
        </w:trPr>
        <w:tc>
          <w:tcPr>
            <w:tcW w:w="2640" w:type="dxa"/>
            <w:vAlign w:val="bottom"/>
          </w:tcPr>
          <w:p>
            <w:pPr>
              <w:spacing w:after="0"/>
              <w:rPr>
                <w:sz w:val="20"/>
                <w:szCs w:val="20"/>
                <w:color w:val="auto"/>
              </w:rPr>
            </w:pPr>
            <w:r>
              <w:rPr>
                <w:rFonts w:ascii="Arial" w:cs="Arial" w:eastAsia="Arial" w:hAnsi="Arial"/>
                <w:sz w:val="18"/>
                <w:szCs w:val="18"/>
                <w:color w:val="auto"/>
              </w:rPr>
              <w:t>2011</w:t>
            </w: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730"/>
              <w:spacing w:after="0"/>
              <w:rPr>
                <w:sz w:val="20"/>
                <w:szCs w:val="20"/>
                <w:color w:val="auto"/>
              </w:rPr>
            </w:pPr>
            <w:r>
              <w:rPr>
                <w:rFonts w:ascii="Arial" w:cs="Arial" w:eastAsia="Arial" w:hAnsi="Arial"/>
                <w:sz w:val="18"/>
                <w:szCs w:val="18"/>
                <w:color w:val="auto"/>
              </w:rPr>
              <w:t>265</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70"/>
              <w:spacing w:after="0"/>
              <w:rPr>
                <w:sz w:val="20"/>
                <w:szCs w:val="20"/>
                <w:color w:val="auto"/>
              </w:rPr>
            </w:pPr>
            <w:r>
              <w:rPr>
                <w:rFonts w:ascii="Arial" w:cs="Arial" w:eastAsia="Arial" w:hAnsi="Arial"/>
                <w:sz w:val="18"/>
                <w:szCs w:val="18"/>
                <w:color w:val="auto"/>
              </w:rPr>
              <w:t>52</w:t>
            </w:r>
          </w:p>
        </w:tc>
      </w:tr>
      <w:tr>
        <w:trPr>
          <w:trHeight w:val="243"/>
        </w:trPr>
        <w:tc>
          <w:tcPr>
            <w:tcW w:w="2640" w:type="dxa"/>
            <w:vAlign w:val="bottom"/>
          </w:tcPr>
          <w:p>
            <w:pPr>
              <w:spacing w:after="0"/>
              <w:rPr>
                <w:sz w:val="20"/>
                <w:szCs w:val="20"/>
                <w:color w:val="auto"/>
              </w:rPr>
            </w:pPr>
            <w:r>
              <w:rPr>
                <w:rFonts w:ascii="Arial" w:cs="Arial" w:eastAsia="Arial" w:hAnsi="Arial"/>
                <w:sz w:val="18"/>
                <w:szCs w:val="18"/>
                <w:color w:val="auto"/>
              </w:rPr>
              <w:t>2012</w:t>
            </w: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730"/>
              <w:spacing w:after="0"/>
              <w:rPr>
                <w:sz w:val="20"/>
                <w:szCs w:val="20"/>
                <w:color w:val="auto"/>
              </w:rPr>
            </w:pPr>
            <w:r>
              <w:rPr>
                <w:rFonts w:ascii="Arial" w:cs="Arial" w:eastAsia="Arial" w:hAnsi="Arial"/>
                <w:sz w:val="18"/>
                <w:szCs w:val="18"/>
                <w:color w:val="auto"/>
              </w:rPr>
              <w:t>267</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70"/>
              <w:spacing w:after="0"/>
              <w:rPr>
                <w:sz w:val="20"/>
                <w:szCs w:val="20"/>
                <w:color w:val="auto"/>
              </w:rPr>
            </w:pPr>
            <w:r>
              <w:rPr>
                <w:rFonts w:ascii="Arial" w:cs="Arial" w:eastAsia="Arial" w:hAnsi="Arial"/>
                <w:sz w:val="18"/>
                <w:szCs w:val="18"/>
                <w:color w:val="auto"/>
              </w:rPr>
              <w:t>55</w:t>
            </w:r>
          </w:p>
        </w:tc>
      </w:tr>
      <w:tr>
        <w:trPr>
          <w:trHeight w:val="277"/>
        </w:trPr>
        <w:tc>
          <w:tcPr>
            <w:tcW w:w="2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2013-2017</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w w:val="97"/>
              </w:rPr>
              <w:t>1,374</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328</w:t>
            </w:r>
          </w:p>
        </w:tc>
      </w:tr>
    </w:tbl>
    <w:p>
      <w:pPr>
        <w:spacing w:after="0" w:line="226" w:lineRule="exact"/>
        <w:rPr>
          <w:sz w:val="20"/>
          <w:szCs w:val="20"/>
          <w:color w:val="auto"/>
        </w:rPr>
      </w:pPr>
    </w:p>
    <w:p>
      <w:pPr>
        <w:spacing w:after="0"/>
        <w:rPr>
          <w:sz w:val="20"/>
          <w:szCs w:val="20"/>
          <w:color w:val="auto"/>
        </w:rPr>
      </w:pPr>
      <w:r>
        <w:rPr>
          <w:rFonts w:ascii="Arial" w:cs="Arial" w:eastAsia="Arial" w:hAnsi="Arial"/>
          <w:sz w:val="20"/>
          <w:szCs w:val="20"/>
          <w:color w:val="auto"/>
        </w:rPr>
        <w:t>The expected future Medicare Part D subsidy payments are as follows:</w:t>
      </w:r>
    </w:p>
    <w:p>
      <w:pPr>
        <w:spacing w:after="0" w:line="286"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(Dollars in millions)</w:t>
      </w:r>
    </w:p>
    <w:p>
      <w:pPr>
        <w:spacing w:after="0" w:line="23" w:lineRule="exact"/>
        <w:rPr>
          <w:sz w:val="20"/>
          <w:szCs w:val="20"/>
          <w:color w:val="auto"/>
        </w:rPr>
      </w:pPr>
    </w:p>
    <w:tbl>
      <w:tblPr>
        <w:tblLayout w:type="fixed"/>
        <w:tblInd w:w="2160" w:type="dxa"/>
        <w:tblCellMar>
          <w:top w:w="0" w:type="dxa"/>
          <w:left w:w="0" w:type="dxa"/>
          <w:bottom w:w="0" w:type="dxa"/>
          <w:right w:w="0" w:type="dxa"/>
        </w:tblCellMar>
      </w:tblPr>
      <w:tr>
        <w:trPr>
          <w:trHeight w:val="237"/>
        </w:trPr>
        <w:tc>
          <w:tcPr>
            <w:tcW w:w="35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2008</w:t>
            </w:r>
          </w:p>
        </w:tc>
        <w:tc>
          <w:tcPr>
            <w:tcW w:w="30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w:t>
            </w:r>
          </w:p>
        </w:tc>
      </w:tr>
      <w:tr>
        <w:trPr>
          <w:trHeight w:val="242"/>
        </w:trPr>
        <w:tc>
          <w:tcPr>
            <w:tcW w:w="3580" w:type="dxa"/>
            <w:vAlign w:val="bottom"/>
          </w:tcPr>
          <w:p>
            <w:pPr>
              <w:ind w:left="20"/>
              <w:spacing w:after="0"/>
              <w:rPr>
                <w:sz w:val="20"/>
                <w:szCs w:val="20"/>
                <w:color w:val="auto"/>
              </w:rPr>
            </w:pPr>
            <w:r>
              <w:rPr>
                <w:rFonts w:ascii="Arial" w:cs="Arial" w:eastAsia="Arial" w:hAnsi="Arial"/>
                <w:sz w:val="18"/>
                <w:szCs w:val="18"/>
                <w:color w:val="auto"/>
              </w:rPr>
              <w:t>2009</w:t>
            </w:r>
          </w:p>
        </w:tc>
        <w:tc>
          <w:tcPr>
            <w:tcW w:w="30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3</w:t>
            </w:r>
          </w:p>
        </w:tc>
      </w:tr>
      <w:tr>
        <w:trPr>
          <w:trHeight w:val="243"/>
        </w:trPr>
        <w:tc>
          <w:tcPr>
            <w:tcW w:w="3580" w:type="dxa"/>
            <w:vAlign w:val="bottom"/>
          </w:tcPr>
          <w:p>
            <w:pPr>
              <w:ind w:left="20"/>
              <w:spacing w:after="0"/>
              <w:rPr>
                <w:sz w:val="20"/>
                <w:szCs w:val="20"/>
                <w:color w:val="auto"/>
              </w:rPr>
            </w:pPr>
            <w:r>
              <w:rPr>
                <w:rFonts w:ascii="Arial" w:cs="Arial" w:eastAsia="Arial" w:hAnsi="Arial"/>
                <w:sz w:val="18"/>
                <w:szCs w:val="18"/>
                <w:color w:val="auto"/>
              </w:rPr>
              <w:t>2010</w:t>
            </w:r>
          </w:p>
        </w:tc>
        <w:tc>
          <w:tcPr>
            <w:tcW w:w="30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3</w:t>
            </w:r>
          </w:p>
        </w:tc>
      </w:tr>
      <w:tr>
        <w:trPr>
          <w:trHeight w:val="243"/>
        </w:trPr>
        <w:tc>
          <w:tcPr>
            <w:tcW w:w="3580" w:type="dxa"/>
            <w:vAlign w:val="bottom"/>
          </w:tcPr>
          <w:p>
            <w:pPr>
              <w:ind w:left="20"/>
              <w:spacing w:after="0"/>
              <w:rPr>
                <w:sz w:val="20"/>
                <w:szCs w:val="20"/>
                <w:color w:val="auto"/>
              </w:rPr>
            </w:pPr>
            <w:r>
              <w:rPr>
                <w:rFonts w:ascii="Arial" w:cs="Arial" w:eastAsia="Arial" w:hAnsi="Arial"/>
                <w:sz w:val="18"/>
                <w:szCs w:val="18"/>
                <w:color w:val="auto"/>
              </w:rPr>
              <w:t>2011</w:t>
            </w:r>
          </w:p>
        </w:tc>
        <w:tc>
          <w:tcPr>
            <w:tcW w:w="30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4</w:t>
            </w:r>
          </w:p>
        </w:tc>
      </w:tr>
      <w:tr>
        <w:trPr>
          <w:trHeight w:val="243"/>
        </w:trPr>
        <w:tc>
          <w:tcPr>
            <w:tcW w:w="3580" w:type="dxa"/>
            <w:vAlign w:val="bottom"/>
          </w:tcPr>
          <w:p>
            <w:pPr>
              <w:ind w:left="20"/>
              <w:spacing w:after="0"/>
              <w:rPr>
                <w:sz w:val="20"/>
                <w:szCs w:val="20"/>
                <w:color w:val="auto"/>
              </w:rPr>
            </w:pPr>
            <w:r>
              <w:rPr>
                <w:rFonts w:ascii="Arial" w:cs="Arial" w:eastAsia="Arial" w:hAnsi="Arial"/>
                <w:sz w:val="18"/>
                <w:szCs w:val="18"/>
                <w:color w:val="auto"/>
              </w:rPr>
              <w:t>2012</w:t>
            </w:r>
          </w:p>
        </w:tc>
        <w:tc>
          <w:tcPr>
            <w:tcW w:w="30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4</w:t>
            </w:r>
          </w:p>
        </w:tc>
      </w:tr>
      <w:tr>
        <w:trPr>
          <w:trHeight w:val="277"/>
        </w:trPr>
        <w:tc>
          <w:tcPr>
            <w:tcW w:w="3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2013-2017</w:t>
            </w:r>
          </w:p>
        </w:tc>
        <w:tc>
          <w:tcPr>
            <w:tcW w:w="3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w:t>
            </w:r>
          </w:p>
        </w:tc>
      </w:tr>
    </w:tbl>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Savings Plans</w:t>
      </w:r>
    </w:p>
    <w:p>
      <w:pPr>
        <w:spacing w:after="0" w:line="249" w:lineRule="exact"/>
        <w:rPr>
          <w:sz w:val="20"/>
          <w:szCs w:val="20"/>
          <w:color w:val="auto"/>
        </w:rPr>
      </w:pPr>
    </w:p>
    <w:p>
      <w:pPr>
        <w:spacing w:after="0" w:line="263" w:lineRule="auto"/>
        <w:rPr>
          <w:sz w:val="20"/>
          <w:szCs w:val="20"/>
          <w:color w:val="auto"/>
        </w:rPr>
      </w:pPr>
      <w:r>
        <w:rPr>
          <w:rFonts w:ascii="Arial" w:cs="Arial" w:eastAsia="Arial" w:hAnsi="Arial"/>
          <w:sz w:val="19"/>
          <w:szCs w:val="19"/>
          <w:color w:val="auto"/>
        </w:rPr>
        <w:t>The company offers trusteed savings plans to all employees. Participation in the plans is immediate for salary deferrals for all employees except for the represented employees at SoCalGas, who are eligible upon completion of one year of service. Subject to plan provisions, employees may contribute from one percent to 25 percent of their regular earnings, beginning with the start of employment. After one year of each employee's completed service, the company begins to make matching contributions. Employer</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color w:val="auto"/>
        </w:rPr>
        <w:t>90</w:t>
      </w:r>
    </w:p>
    <w:p>
      <w:pPr>
        <w:sectPr>
          <w:pgSz w:w="11900" w:h="16838" w:orient="portrait"/>
          <w:cols w:equalWidth="0" w:num="1">
            <w:col w:w="11400"/>
          </w:cols>
          <w:pgMar w:left="240" w:top="360" w:right="259" w:bottom="1440" w:gutter="0" w:footer="0" w:header="0"/>
        </w:sectPr>
      </w:pPr>
    </w:p>
    <w:bookmarkStart w:id="158" w:name="page159"/>
    <w:bookmarkEnd w:id="158"/>
    <w:p>
      <w:pPr>
        <w:ind w:right="80"/>
        <w:spacing w:after="0" w:line="387" w:lineRule="auto"/>
        <w:rPr>
          <w:sz w:val="20"/>
          <w:szCs w:val="20"/>
          <w:color w:val="auto"/>
        </w:rPr>
      </w:pPr>
      <w:r>
        <w:rPr>
          <w:rFonts w:ascii="Arial" w:cs="Arial" w:eastAsia="Arial" w:hAnsi="Arial"/>
          <w:sz w:val="16"/>
          <w:szCs w:val="16"/>
          <w:color w:val="auto"/>
        </w:rPr>
        <w:t>contribution amounts and methodology vary by plan, but generally the contributions are equal to 50 percent of the first 6 percent of eligible base salary contributed by employees and, if certain company goals are met, an additional amount related to incentive compensation payments.</w:t>
      </w:r>
    </w:p>
    <w:p>
      <w:pPr>
        <w:spacing w:after="0" w:line="110" w:lineRule="exact"/>
        <w:rPr>
          <w:sz w:val="20"/>
          <w:szCs w:val="20"/>
          <w:color w:val="auto"/>
        </w:rPr>
      </w:pPr>
    </w:p>
    <w:p>
      <w:pPr>
        <w:spacing w:after="0" w:line="259" w:lineRule="auto"/>
        <w:rPr>
          <w:sz w:val="20"/>
          <w:szCs w:val="20"/>
          <w:color w:val="auto"/>
        </w:rPr>
      </w:pPr>
      <w:r>
        <w:rPr>
          <w:rFonts w:ascii="Arial" w:cs="Arial" w:eastAsia="Arial" w:hAnsi="Arial"/>
          <w:sz w:val="19"/>
          <w:szCs w:val="19"/>
          <w:color w:val="auto"/>
        </w:rPr>
        <w:t>Employer contributions are initially invested in company common stock but may be transferred by the employee into other investments. Employee contributions are invested in company stock, mutual funds, institutional trusts or guaranteed investment contracts (the same investments to which employees may direct the employer contributions) as elected by the employee. Employer contributions for the Sempra Energy and SoCalGas plans are partially funded by the ESOP referred to below. Company contributions to the savings plans were $31 million in 2007, $31 million in 2006 and $29 million in 2005. The market value of company stock held by the savings plans was $997 million and $976 million at December 31, 2007 and 2006, respectively.</w:t>
      </w:r>
    </w:p>
    <w:p>
      <w:pPr>
        <w:spacing w:after="0" w:line="206" w:lineRule="exact"/>
        <w:rPr>
          <w:sz w:val="20"/>
          <w:szCs w:val="20"/>
          <w:color w:val="auto"/>
        </w:rPr>
      </w:pPr>
    </w:p>
    <w:p>
      <w:pPr>
        <w:ind w:right="340"/>
        <w:spacing w:after="0" w:line="260" w:lineRule="auto"/>
        <w:rPr>
          <w:sz w:val="20"/>
          <w:szCs w:val="20"/>
          <w:color w:val="auto"/>
        </w:rPr>
      </w:pPr>
      <w:r>
        <w:rPr>
          <w:rFonts w:ascii="Arial" w:cs="Arial" w:eastAsia="Arial" w:hAnsi="Arial"/>
          <w:sz w:val="20"/>
          <w:szCs w:val="20"/>
          <w:color w:val="auto"/>
        </w:rPr>
        <w:t>Sempra Commodities also operates defined contribution plans outside of the United States. The contributions made by the company to such plans were $4 million in each of 2007, 2006 and 2005.</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Employee Stock Ownership Plan</w:t>
      </w:r>
    </w:p>
    <w:p>
      <w:pPr>
        <w:spacing w:after="0" w:line="249" w:lineRule="exact"/>
        <w:rPr>
          <w:sz w:val="20"/>
          <w:szCs w:val="20"/>
          <w:color w:val="auto"/>
        </w:rPr>
      </w:pPr>
    </w:p>
    <w:p>
      <w:pPr>
        <w:ind w:right="20"/>
        <w:spacing w:after="0" w:line="243" w:lineRule="auto"/>
        <w:rPr>
          <w:sz w:val="20"/>
          <w:szCs w:val="20"/>
          <w:color w:val="auto"/>
        </w:rPr>
      </w:pPr>
      <w:r>
        <w:rPr>
          <w:rFonts w:ascii="Arial" w:cs="Arial" w:eastAsia="Arial" w:hAnsi="Arial"/>
          <w:sz w:val="20"/>
          <w:szCs w:val="20"/>
          <w:color w:val="auto"/>
        </w:rPr>
        <w:t>All contributions to the ESOP Trust (described in Note 6) are made by the company; there are no contributions made by the participants. As the company makes contributions, the ESOP debt service is paid and shares are released in proportion to the total expected debt service. Compensation expense is charged and equity is credited for the market value of the shares released. Dividends on unallocated shares are used to pay debt service and are applied against the liability. The shares held by the Trust are unallocated and consist of 1.5 million shares and 1.7 million shares, respectively, of Sempra Energy common stock, with fair values of $92 million and $94 million, at December 31, 2007 and 2006, respectively.</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10. SHARE-BASED COMPENSATION</w:t>
      </w:r>
    </w:p>
    <w:p>
      <w:pPr>
        <w:spacing w:after="0" w:line="249" w:lineRule="exact"/>
        <w:rPr>
          <w:sz w:val="20"/>
          <w:szCs w:val="20"/>
          <w:color w:val="auto"/>
        </w:rPr>
      </w:pPr>
    </w:p>
    <w:p>
      <w:pPr>
        <w:ind w:right="20"/>
        <w:spacing w:after="0" w:line="291" w:lineRule="auto"/>
        <w:rPr>
          <w:sz w:val="20"/>
          <w:szCs w:val="20"/>
          <w:color w:val="auto"/>
        </w:rPr>
      </w:pPr>
      <w:r>
        <w:rPr>
          <w:rFonts w:ascii="Arial" w:cs="Arial" w:eastAsia="Arial" w:hAnsi="Arial"/>
          <w:sz w:val="18"/>
          <w:szCs w:val="18"/>
          <w:color w:val="auto"/>
        </w:rPr>
        <w:t>The company has share-based compensation plans intended to align employee and shareholder objectives related to the long-term growth of the company. The plans permit a wide variety of share-based awards, including non-qualified stock options, incentive stock options, restricted stock, restricted stock units, stock appreciation rights, performance awards, stock payments and dividend equivalents.</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color w:val="auto"/>
        </w:rPr>
        <w:t>At December 31, 2007, the company had the following types of equity awards outstanding:</w:t>
      </w:r>
    </w:p>
    <w:p>
      <w:pPr>
        <w:spacing w:after="0" w:line="243" w:lineRule="exact"/>
        <w:rPr>
          <w:sz w:val="20"/>
          <w:szCs w:val="20"/>
          <w:color w:val="auto"/>
        </w:rPr>
      </w:pPr>
    </w:p>
    <w:p>
      <w:pPr>
        <w:ind w:left="720" w:right="240" w:hanging="334"/>
        <w:spacing w:after="0" w:line="263" w:lineRule="auto"/>
        <w:tabs>
          <w:tab w:leader="none" w:pos="720" w:val="left"/>
        </w:tabs>
        <w:numPr>
          <w:ilvl w:val="0"/>
          <w:numId w:val="38"/>
        </w:numPr>
        <w:rPr>
          <w:rFonts w:ascii="Arial" w:cs="Arial" w:eastAsia="Arial" w:hAnsi="Arial"/>
          <w:sz w:val="19"/>
          <w:szCs w:val="19"/>
          <w:color w:val="auto"/>
        </w:rPr>
      </w:pPr>
      <w:r>
        <w:rPr>
          <w:rFonts w:ascii="Arial" w:cs="Arial" w:eastAsia="Arial" w:hAnsi="Arial"/>
          <w:sz w:val="19"/>
          <w:szCs w:val="19"/>
          <w:color w:val="auto"/>
        </w:rPr>
        <w:t>Non-Qualified Stock Options: Options have an exercise price equal to the market price of the common stock at the date of grant; are service-based; become exercisable over a four-year period (subject to accelerated vesting and/or exercisability upon a change in control, in accordance with severance pay agreements or upon retirement eligibility); and expire 10 years from the date of grant. Options are subject to forfeiture or earlier expiration upon termination of employment.</w:t>
      </w:r>
    </w:p>
    <w:p>
      <w:pPr>
        <w:spacing w:after="0" w:line="190" w:lineRule="exact"/>
        <w:rPr>
          <w:rFonts w:ascii="Arial" w:cs="Arial" w:eastAsia="Arial" w:hAnsi="Arial"/>
          <w:sz w:val="19"/>
          <w:szCs w:val="19"/>
          <w:color w:val="auto"/>
        </w:rPr>
      </w:pPr>
    </w:p>
    <w:p>
      <w:pPr>
        <w:ind w:left="720" w:right="20" w:hanging="334"/>
        <w:spacing w:after="0" w:line="278" w:lineRule="auto"/>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Restricted Stock: Substantially all restricted stock vests at the end of a four-year period based on Sempra Energy’s total return to shareholders relative to that of market indices (subject to earlier forfeiture upon termination of employment and accelerated vesting upon a change in control, in accordance with severance pay agreements or upon retirement eligibility). Holders of restricted stock have full voting rights. They also have full dividend rights, except for company officers, whose dividends are reinvested to purchase additional shares that become subject to the same vesting conditions as the restricted stock to which the dividends relate.</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0"/>
          <w:szCs w:val="20"/>
          <w:color w:val="auto"/>
        </w:rPr>
        <w:t>91</w:t>
      </w:r>
    </w:p>
    <w:p>
      <w:pPr>
        <w:sectPr>
          <w:pgSz w:w="11900" w:h="16838" w:orient="portrait"/>
          <w:cols w:equalWidth="0" w:num="1">
            <w:col w:w="11420"/>
          </w:cols>
          <w:pgMar w:left="240" w:top="122" w:right="239" w:bottom="1440" w:gutter="0" w:footer="0" w:header="0"/>
        </w:sectPr>
      </w:pPr>
    </w:p>
    <w:bookmarkStart w:id="159" w:name="page160"/>
    <w:bookmarkEnd w:id="159"/>
    <w:p>
      <w:pPr>
        <w:ind w:right="40"/>
        <w:spacing w:after="0" w:line="254" w:lineRule="auto"/>
        <w:rPr>
          <w:sz w:val="20"/>
          <w:szCs w:val="20"/>
          <w:color w:val="auto"/>
        </w:rPr>
      </w:pPr>
      <w:r>
        <w:rPr>
          <w:rFonts w:ascii="Arial" w:cs="Arial" w:eastAsia="Arial" w:hAnsi="Arial"/>
          <w:sz w:val="19"/>
          <w:szCs w:val="19"/>
          <w:color w:val="auto"/>
        </w:rPr>
        <w:t xml:space="preserve">The company accounts for share-based awards in accordance with SFAS 123 (revised 2004), </w:t>
      </w:r>
      <w:r>
        <w:rPr>
          <w:rFonts w:ascii="Arial" w:cs="Arial" w:eastAsia="Arial" w:hAnsi="Arial"/>
          <w:sz w:val="19"/>
          <w:szCs w:val="19"/>
          <w:i w:val="1"/>
          <w:iCs w:val="1"/>
          <w:color w:val="auto"/>
        </w:rPr>
        <w:t>Share-Based Payment</w:t>
      </w:r>
      <w:r>
        <w:rPr>
          <w:rFonts w:ascii="Arial" w:cs="Arial" w:eastAsia="Arial" w:hAnsi="Arial"/>
          <w:sz w:val="19"/>
          <w:szCs w:val="19"/>
          <w:color w:val="auto"/>
        </w:rPr>
        <w:t xml:space="preserve"> (SFAS 123(R)), which requires the measurement and recognition of compensation expense for all share-based payment awards made to the company’s employees and directors based on estimated fair values. The company adopted the provisions of SFAS 123(R) on January 1, 2006, using the modified prospective transition method. In accordance with this transition method, the company’s consolidated financial statements for prior periods have not been restated to reflect the impact of SFAS 123(R). Under the modified prospective transition method, share-based compensation expense for 2006 includes compensation expense for all share-based compensation awards granted prior to, but for which the requisite service had not yet been performed as of January 1, 2006, based on the fair value estimated in accordance with the orig inal provisions of SFAS 123, </w:t>
      </w:r>
      <w:r>
        <w:rPr>
          <w:rFonts w:ascii="Arial" w:cs="Arial" w:eastAsia="Arial" w:hAnsi="Arial"/>
          <w:sz w:val="19"/>
          <w:szCs w:val="19"/>
          <w:i w:val="1"/>
          <w:iCs w:val="1"/>
          <w:color w:val="auto"/>
        </w:rPr>
        <w:t xml:space="preserve">Accounting for Stock-Based Compensation </w:t>
      </w:r>
      <w:r>
        <w:rPr>
          <w:rFonts w:ascii="Arial" w:cs="Arial" w:eastAsia="Arial" w:hAnsi="Arial"/>
          <w:sz w:val="19"/>
          <w:szCs w:val="19"/>
          <w:color w:val="auto"/>
        </w:rPr>
        <w:t>(SFAS 123). Share-based compensation expense for all share-based compensation awards granted</w:t>
      </w:r>
      <w:r>
        <w:rPr>
          <w:rFonts w:ascii="Arial" w:cs="Arial" w:eastAsia="Arial" w:hAnsi="Arial"/>
          <w:sz w:val="19"/>
          <w:szCs w:val="19"/>
          <w:i w:val="1"/>
          <w:iCs w:val="1"/>
          <w:color w:val="auto"/>
        </w:rPr>
        <w:t xml:space="preserve"> </w:t>
      </w:r>
      <w:r>
        <w:rPr>
          <w:rFonts w:ascii="Arial" w:cs="Arial" w:eastAsia="Arial" w:hAnsi="Arial"/>
          <w:sz w:val="19"/>
          <w:szCs w:val="19"/>
          <w:color w:val="auto"/>
        </w:rPr>
        <w:t>after January 1, 2006 is based on the grant-date fair value estimated in accordance with the provisions of SFAS 123(R). The company recognizes compensation costs net of an assumed forfeiture rate and recognizes the compensation costs for non-qualified stock options and restricted shares on a straight-line basis over the requisite service period of the award, which is generally four years. However, in the year that an employee becomes eligible for retirement, the remaining expense related to the employee's awards is recognized immediately. The company estimates the forfeiture rate based on its historical experience. The company accounts for these awards as equity awards in accordance with SFAS 123(R).</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color w:val="auto"/>
        </w:rPr>
        <w:t>Total share-based compensation expense for all of the company’s share-based awards was comprised as follows:</w:t>
      </w:r>
    </w:p>
    <w:p>
      <w:pPr>
        <w:spacing w:after="0" w:line="286" w:lineRule="exact"/>
        <w:rPr>
          <w:sz w:val="20"/>
          <w:szCs w:val="20"/>
          <w:color w:val="auto"/>
        </w:rPr>
      </w:pPr>
    </w:p>
    <w:tbl>
      <w:tblPr>
        <w:tblLayout w:type="fixed"/>
        <w:tblInd w:w="1360" w:type="dxa"/>
        <w:tblCellMar>
          <w:top w:w="0" w:type="dxa"/>
          <w:left w:w="0" w:type="dxa"/>
          <w:bottom w:w="0" w:type="dxa"/>
          <w:right w:w="0" w:type="dxa"/>
        </w:tblCellMar>
      </w:tblPr>
      <w:tr>
        <w:trPr>
          <w:trHeight w:val="237"/>
        </w:trPr>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(Dollars in millions, except per share amounts)</w:t>
            </w: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2007</w:t>
            </w:r>
          </w:p>
        </w:tc>
        <w:tc>
          <w:tcPr>
            <w:tcW w:w="3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2006</w:t>
            </w: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color w:val="auto"/>
              </w:rPr>
              <w:t>Share-based compensation expense, before income taxes</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45</w:t>
            </w:r>
          </w:p>
        </w:tc>
        <w:tc>
          <w:tcPr>
            <w:tcW w:w="7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42</w:t>
            </w:r>
          </w:p>
        </w:tc>
      </w:tr>
      <w:tr>
        <w:trPr>
          <w:trHeight w:val="249"/>
        </w:trPr>
        <w:tc>
          <w:tcPr>
            <w:tcW w:w="5620" w:type="dxa"/>
            <w:vAlign w:val="bottom"/>
          </w:tcPr>
          <w:p>
            <w:pPr>
              <w:ind w:left="20"/>
              <w:spacing w:after="0"/>
              <w:rPr>
                <w:sz w:val="20"/>
                <w:szCs w:val="20"/>
                <w:color w:val="auto"/>
              </w:rPr>
            </w:pPr>
            <w:r>
              <w:rPr>
                <w:rFonts w:ascii="Arial" w:cs="Arial" w:eastAsia="Arial" w:hAnsi="Arial"/>
                <w:sz w:val="18"/>
                <w:szCs w:val="18"/>
                <w:color w:val="auto"/>
              </w:rPr>
              <w:t>Income tax benefits</w:t>
            </w:r>
          </w:p>
        </w:tc>
        <w:tc>
          <w:tcPr>
            <w:tcW w:w="3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(17 )</w:t>
            </w:r>
          </w:p>
        </w:tc>
        <w:tc>
          <w:tcPr>
            <w:tcW w:w="38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(16 )</w:t>
            </w:r>
          </w:p>
        </w:tc>
      </w:tr>
      <w:tr>
        <w:trPr>
          <w:trHeight w:val="264"/>
        </w:trPr>
        <w:tc>
          <w:tcPr>
            <w:tcW w:w="5620" w:type="dxa"/>
            <w:vAlign w:val="bottom"/>
          </w:tcPr>
          <w:p>
            <w:pPr>
              <w:ind w:left="20"/>
              <w:spacing w:after="0"/>
              <w:rPr>
                <w:sz w:val="20"/>
                <w:szCs w:val="20"/>
                <w:color w:val="auto"/>
              </w:rPr>
            </w:pPr>
            <w:r>
              <w:rPr>
                <w:rFonts w:ascii="Arial" w:cs="Arial" w:eastAsia="Arial" w:hAnsi="Arial"/>
                <w:sz w:val="18"/>
                <w:szCs w:val="18"/>
                <w:color w:val="auto"/>
              </w:rPr>
              <w:t>Share-based compensation expense, net of income taxes</w:t>
            </w: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28</w:t>
            </w:r>
          </w:p>
        </w:tc>
        <w:tc>
          <w:tcPr>
            <w:tcW w:w="380" w:type="dxa"/>
            <w:vAlign w:val="bottom"/>
          </w:tcPr>
          <w:p>
            <w:pPr>
              <w:spacing w:after="0"/>
              <w:rPr>
                <w:sz w:val="22"/>
                <w:szCs w:val="22"/>
                <w:color w:val="auto"/>
              </w:rPr>
            </w:pPr>
          </w:p>
        </w:tc>
        <w:tc>
          <w:tcPr>
            <w:tcW w:w="4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26</w:t>
            </w:r>
          </w:p>
        </w:tc>
      </w:tr>
      <w:tr>
        <w:trPr>
          <w:trHeight w:val="473"/>
        </w:trPr>
        <w:tc>
          <w:tcPr>
            <w:tcW w:w="5620" w:type="dxa"/>
            <w:vAlign w:val="bottom"/>
          </w:tcPr>
          <w:p>
            <w:pPr>
              <w:ind w:left="20"/>
              <w:spacing w:after="0"/>
              <w:rPr>
                <w:sz w:val="20"/>
                <w:szCs w:val="20"/>
                <w:color w:val="auto"/>
              </w:rPr>
            </w:pPr>
            <w:r>
              <w:rPr>
                <w:rFonts w:ascii="Arial" w:cs="Arial" w:eastAsia="Arial" w:hAnsi="Arial"/>
                <w:sz w:val="18"/>
                <w:szCs w:val="18"/>
                <w:color w:val="auto"/>
              </w:rPr>
              <w:t>Net share-based compensation expense, per common share</w:t>
            </w: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43"/>
        </w:trPr>
        <w:tc>
          <w:tcPr>
            <w:tcW w:w="5620" w:type="dxa"/>
            <w:vAlign w:val="bottom"/>
          </w:tcPr>
          <w:p>
            <w:pPr>
              <w:ind w:left="440"/>
              <w:spacing w:after="0"/>
              <w:rPr>
                <w:sz w:val="20"/>
                <w:szCs w:val="20"/>
                <w:color w:val="auto"/>
              </w:rPr>
            </w:pPr>
            <w:r>
              <w:rPr>
                <w:rFonts w:ascii="Arial" w:cs="Arial" w:eastAsia="Arial" w:hAnsi="Arial"/>
                <w:sz w:val="18"/>
                <w:szCs w:val="18"/>
                <w:color w:val="auto"/>
              </w:rPr>
              <w:t>Basic</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0.11</w:t>
            </w:r>
          </w:p>
        </w:tc>
        <w:tc>
          <w:tcPr>
            <w:tcW w:w="7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0.10</w:t>
            </w:r>
          </w:p>
        </w:tc>
      </w:tr>
      <w:tr>
        <w:trPr>
          <w:trHeight w:val="277"/>
        </w:trPr>
        <w:tc>
          <w:tcPr>
            <w:tcW w:w="562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Diluted</w:t>
            </w: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0.11</w:t>
            </w:r>
          </w:p>
        </w:tc>
        <w:tc>
          <w:tcPr>
            <w:tcW w:w="78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0.10</w:t>
            </w:r>
          </w:p>
        </w:tc>
      </w:tr>
    </w:tbl>
    <w:p>
      <w:pPr>
        <w:spacing w:after="0" w:line="226" w:lineRule="exact"/>
        <w:rPr>
          <w:sz w:val="20"/>
          <w:szCs w:val="20"/>
          <w:color w:val="auto"/>
        </w:rPr>
      </w:pPr>
    </w:p>
    <w:p>
      <w:pPr>
        <w:spacing w:after="0"/>
        <w:rPr>
          <w:sz w:val="20"/>
          <w:szCs w:val="20"/>
          <w:color w:val="auto"/>
        </w:rPr>
      </w:pPr>
      <w:r>
        <w:rPr>
          <w:rFonts w:ascii="Arial" w:cs="Arial" w:eastAsia="Arial" w:hAnsi="Arial"/>
          <w:sz w:val="20"/>
          <w:szCs w:val="20"/>
          <w:color w:val="auto"/>
        </w:rPr>
        <w:t>Capitalized compensation cost was $3 million in each of 2007 and 2006.</w:t>
      </w:r>
    </w:p>
    <w:p>
      <w:pPr>
        <w:spacing w:after="0" w:line="243" w:lineRule="exact"/>
        <w:rPr>
          <w:sz w:val="20"/>
          <w:szCs w:val="20"/>
          <w:color w:val="auto"/>
        </w:rPr>
      </w:pPr>
    </w:p>
    <w:p>
      <w:pPr>
        <w:ind w:right="20"/>
        <w:spacing w:after="0" w:line="250" w:lineRule="auto"/>
        <w:rPr>
          <w:sz w:val="20"/>
          <w:szCs w:val="20"/>
          <w:color w:val="auto"/>
        </w:rPr>
      </w:pPr>
      <w:r>
        <w:rPr>
          <w:rFonts w:ascii="Arial" w:cs="Arial" w:eastAsia="Arial" w:hAnsi="Arial"/>
          <w:sz w:val="20"/>
          <w:szCs w:val="20"/>
          <w:color w:val="auto"/>
        </w:rPr>
        <w:t>Prior to the adoption of SFAS 123(R), the company presented the tax benefit of stock option exercises as operating cash flows. Upon the adoption of SFAS 123(R), the tax benefits resulting from tax deductions in excess of the tax benefit related to compensation cost recognized for those share-based awards are classified as financing cash flows.</w:t>
      </w:r>
    </w:p>
    <w:p>
      <w:pPr>
        <w:spacing w:after="0" w:line="213" w:lineRule="exact"/>
        <w:rPr>
          <w:sz w:val="20"/>
          <w:szCs w:val="20"/>
          <w:color w:val="auto"/>
        </w:rPr>
      </w:pPr>
    </w:p>
    <w:p>
      <w:pPr>
        <w:ind w:right="180"/>
        <w:spacing w:after="0" w:line="269" w:lineRule="auto"/>
        <w:rPr>
          <w:sz w:val="20"/>
          <w:szCs w:val="20"/>
          <w:color w:val="auto"/>
        </w:rPr>
      </w:pPr>
      <w:r>
        <w:rPr>
          <w:rFonts w:ascii="Arial" w:cs="Arial" w:eastAsia="Arial" w:hAnsi="Arial"/>
          <w:sz w:val="19"/>
          <w:szCs w:val="19"/>
          <w:color w:val="auto"/>
        </w:rPr>
        <w:t>As of December 31, 2007, 20,515,872 shares were authorized and available for future grants of share-based awards. In addition, on January 1 of each year, additional shares equal to 1.5 percent of the outstanding shares of Sempra Energy common stock become available for grant. Company practice is to satisfy share-based awards by issuing new shares rather than by open-market purchases.</w:t>
      </w:r>
    </w:p>
    <w:p>
      <w:pPr>
        <w:spacing w:after="0" w:line="197"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The company uses a Black-Scholes option-pricing model (Black-Scholes model) to estimate the fair value of each non-qualified stock option grant. The use of a valuation model requires the company to make certain assumptions with respect to selected model inputs. Expected volatility is calculated based on the historical volatility of the company’s stock price. In accordance with Staff Accounting Bulletin 107 (SAB 107), for all share-based compensation awards granted after December 31, 2007, the average expected life will be based on the contractual term of the option and expected employee exercise and post-vesting employment termination behavior. Currently, it is based on the simplified approach provided by SAB 107. The risk-free interest rate is based on U.S. Treasury zero-coupon issues with a remaining term equal</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color w:val="auto"/>
        </w:rPr>
        <w:t>92</w:t>
      </w:r>
    </w:p>
    <w:p>
      <w:pPr>
        <w:sectPr>
          <w:pgSz w:w="11900" w:h="16838" w:orient="portrait"/>
          <w:cols w:equalWidth="0" w:num="1">
            <w:col w:w="11400"/>
          </w:cols>
          <w:pgMar w:left="240" w:top="122" w:right="259" w:bottom="1440" w:gutter="0" w:footer="0" w:header="0"/>
        </w:sectPr>
      </w:pPr>
    </w:p>
    <w:bookmarkStart w:id="160" w:name="page161"/>
    <w:bookmarkEnd w:id="160"/>
    <w:p>
      <w:pPr>
        <w:ind w:right="60"/>
        <w:spacing w:after="0" w:line="288" w:lineRule="auto"/>
        <w:rPr>
          <w:sz w:val="20"/>
          <w:szCs w:val="20"/>
          <w:color w:val="auto"/>
        </w:rPr>
      </w:pPr>
      <w:r>
        <w:rPr>
          <w:rFonts w:ascii="Arial" w:cs="Arial" w:eastAsia="Arial" w:hAnsi="Arial"/>
          <w:sz w:val="19"/>
          <w:szCs w:val="19"/>
          <w:color w:val="auto"/>
        </w:rPr>
        <w:t>to the expected life assumed at the date of the grant. The weighted-average fair values for options granted during 2007 and 2006 were $13.82 and $10.75 per share, respectively, using the Black-Scholes model with the following weighted-average assumptions:</w:t>
      </w:r>
    </w:p>
    <w:p>
      <w:pPr>
        <w:spacing w:after="0" w:line="222" w:lineRule="exact"/>
        <w:rPr>
          <w:sz w:val="20"/>
          <w:szCs w:val="20"/>
          <w:color w:val="auto"/>
        </w:rPr>
      </w:pPr>
    </w:p>
    <w:tbl>
      <w:tblPr>
        <w:tblLayout w:type="fixed"/>
        <w:tblInd w:w="1420" w:type="dxa"/>
        <w:tblCellMar>
          <w:top w:w="0" w:type="dxa"/>
          <w:left w:w="0" w:type="dxa"/>
          <w:bottom w:w="0" w:type="dxa"/>
          <w:right w:w="0" w:type="dxa"/>
        </w:tblCellMar>
      </w:tblPr>
      <w:tr>
        <w:trPr>
          <w:trHeight w:val="237"/>
        </w:trPr>
        <w:tc>
          <w:tcPr>
            <w:tcW w:w="3900" w:type="dxa"/>
            <w:vAlign w:val="bottom"/>
            <w:tcBorders>
              <w:bottom w:val="single" w:sz="8" w:color="auto"/>
            </w:tcBorders>
          </w:tcPr>
          <w:p>
            <w:pPr>
              <w:spacing w:after="0"/>
              <w:rPr>
                <w:sz w:val="20"/>
                <w:szCs w:val="20"/>
                <w:color w:val="auto"/>
              </w:rPr>
            </w:pPr>
          </w:p>
        </w:tc>
        <w:tc>
          <w:tcPr>
            <w:tcW w:w="33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rPr>
              <w:t>2007</w:t>
            </w:r>
          </w:p>
        </w:tc>
        <w:tc>
          <w:tcPr>
            <w:tcW w:w="13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2006</w:t>
            </w: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Stock price volatility</w:t>
            </w:r>
          </w:p>
        </w:tc>
        <w:tc>
          <w:tcPr>
            <w:tcW w:w="3380" w:type="dxa"/>
            <w:vAlign w:val="bottom"/>
          </w:tcPr>
          <w:p>
            <w:pPr>
              <w:jc w:val="right"/>
              <w:ind w:right="310"/>
              <w:spacing w:after="0"/>
              <w:rPr>
                <w:sz w:val="20"/>
                <w:szCs w:val="20"/>
                <w:color w:val="auto"/>
              </w:rPr>
            </w:pPr>
            <w:r>
              <w:rPr>
                <w:rFonts w:ascii="Arial" w:cs="Arial" w:eastAsia="Arial" w:hAnsi="Arial"/>
                <w:sz w:val="18"/>
                <w:szCs w:val="18"/>
                <w:color w:val="auto"/>
              </w:rPr>
              <w:t>21%</w:t>
            </w: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23%</w:t>
            </w:r>
          </w:p>
        </w:tc>
      </w:tr>
      <w:tr>
        <w:trPr>
          <w:trHeight w:val="242"/>
        </w:trPr>
        <w:tc>
          <w:tcPr>
            <w:tcW w:w="3900" w:type="dxa"/>
            <w:vAlign w:val="bottom"/>
          </w:tcPr>
          <w:p>
            <w:pPr>
              <w:spacing w:after="0"/>
              <w:rPr>
                <w:sz w:val="20"/>
                <w:szCs w:val="20"/>
                <w:color w:val="auto"/>
              </w:rPr>
            </w:pPr>
            <w:r>
              <w:rPr>
                <w:rFonts w:ascii="Arial" w:cs="Arial" w:eastAsia="Arial" w:hAnsi="Arial"/>
                <w:sz w:val="18"/>
                <w:szCs w:val="18"/>
                <w:color w:val="auto"/>
              </w:rPr>
              <w:t>Risk-free rate of return</w:t>
            </w:r>
          </w:p>
        </w:tc>
        <w:tc>
          <w:tcPr>
            <w:tcW w:w="3380" w:type="dxa"/>
            <w:vAlign w:val="bottom"/>
          </w:tcPr>
          <w:p>
            <w:pPr>
              <w:jc w:val="right"/>
              <w:ind w:right="310"/>
              <w:spacing w:after="0"/>
              <w:rPr>
                <w:sz w:val="20"/>
                <w:szCs w:val="20"/>
                <w:color w:val="auto"/>
              </w:rPr>
            </w:pPr>
            <w:r>
              <w:rPr>
                <w:rFonts w:ascii="Arial" w:cs="Arial" w:eastAsia="Arial" w:hAnsi="Arial"/>
                <w:sz w:val="18"/>
                <w:szCs w:val="18"/>
                <w:color w:val="auto"/>
              </w:rPr>
              <w:t>4.7%</w:t>
            </w: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4.3%</w:t>
            </w:r>
          </w:p>
        </w:tc>
      </w:tr>
      <w:tr>
        <w:trPr>
          <w:trHeight w:val="243"/>
        </w:trPr>
        <w:tc>
          <w:tcPr>
            <w:tcW w:w="3900" w:type="dxa"/>
            <w:vAlign w:val="bottom"/>
          </w:tcPr>
          <w:p>
            <w:pPr>
              <w:spacing w:after="0"/>
              <w:rPr>
                <w:sz w:val="20"/>
                <w:szCs w:val="20"/>
                <w:color w:val="auto"/>
              </w:rPr>
            </w:pPr>
            <w:r>
              <w:rPr>
                <w:rFonts w:ascii="Arial" w:cs="Arial" w:eastAsia="Arial" w:hAnsi="Arial"/>
                <w:sz w:val="18"/>
                <w:szCs w:val="18"/>
                <w:color w:val="auto"/>
              </w:rPr>
              <w:t>Annual dividend yield</w:t>
            </w:r>
          </w:p>
        </w:tc>
        <w:tc>
          <w:tcPr>
            <w:tcW w:w="3380" w:type="dxa"/>
            <w:vAlign w:val="bottom"/>
          </w:tcPr>
          <w:p>
            <w:pPr>
              <w:jc w:val="right"/>
              <w:ind w:right="310"/>
              <w:spacing w:after="0"/>
              <w:rPr>
                <w:sz w:val="20"/>
                <w:szCs w:val="20"/>
                <w:color w:val="auto"/>
              </w:rPr>
            </w:pPr>
            <w:r>
              <w:rPr>
                <w:rFonts w:ascii="Arial" w:cs="Arial" w:eastAsia="Arial" w:hAnsi="Arial"/>
                <w:sz w:val="18"/>
                <w:szCs w:val="18"/>
                <w:color w:val="auto"/>
              </w:rPr>
              <w:t>2.1%</w:t>
            </w: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2.5%</w:t>
            </w:r>
          </w:p>
        </w:tc>
      </w:tr>
      <w:tr>
        <w:trPr>
          <w:trHeight w:val="277"/>
        </w:trPr>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Expected life</w:t>
            </w:r>
          </w:p>
        </w:tc>
        <w:tc>
          <w:tcPr>
            <w:tcW w:w="33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6.2 Years</w:t>
            </w:r>
          </w:p>
        </w:tc>
        <w:tc>
          <w:tcPr>
            <w:tcW w:w="13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6.2 Years</w:t>
            </w:r>
          </w:p>
        </w:tc>
      </w:tr>
    </w:tbl>
    <w:p>
      <w:pPr>
        <w:spacing w:after="0" w:line="226" w:lineRule="exact"/>
        <w:rPr>
          <w:sz w:val="20"/>
          <w:szCs w:val="20"/>
          <w:color w:val="auto"/>
        </w:rPr>
      </w:pPr>
    </w:p>
    <w:p>
      <w:pPr>
        <w:spacing w:after="0"/>
        <w:rPr>
          <w:sz w:val="20"/>
          <w:szCs w:val="20"/>
          <w:color w:val="auto"/>
        </w:rPr>
      </w:pPr>
      <w:r>
        <w:rPr>
          <w:rFonts w:ascii="Arial" w:cs="Arial" w:eastAsia="Arial" w:hAnsi="Arial"/>
          <w:sz w:val="20"/>
          <w:szCs w:val="20"/>
          <w:color w:val="auto"/>
        </w:rPr>
        <w:t>A summary of the non-qualified stock options as of December 31, 2007 and activity for the year then ended follows:</w:t>
      </w:r>
    </w:p>
    <w:p>
      <w:pPr>
        <w:spacing w:after="0" w:line="286" w:lineRule="exact"/>
        <w:rPr>
          <w:sz w:val="20"/>
          <w:szCs w:val="20"/>
          <w:color w:val="auto"/>
        </w:rPr>
      </w:pPr>
    </w:p>
    <w:tbl>
      <w:tblPr>
        <w:tblLayout w:type="fixed"/>
        <w:tblInd w:w="1300" w:type="dxa"/>
        <w:tblCellMar>
          <w:top w:w="0" w:type="dxa"/>
          <w:left w:w="0" w:type="dxa"/>
          <w:bottom w:w="0" w:type="dxa"/>
          <w:right w:w="0" w:type="dxa"/>
        </w:tblCellMar>
      </w:tblPr>
      <w:tr>
        <w:trPr>
          <w:trHeight w:val="216"/>
        </w:trPr>
        <w:tc>
          <w:tcPr>
            <w:tcW w:w="35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60" w:type="dxa"/>
            <w:vAlign w:val="bottom"/>
          </w:tcPr>
          <w:p>
            <w:pPr>
              <w:jc w:val="center"/>
              <w:ind w:right="10"/>
              <w:spacing w:after="0"/>
              <w:rPr>
                <w:sz w:val="20"/>
                <w:szCs w:val="20"/>
                <w:color w:val="auto"/>
              </w:rPr>
            </w:pPr>
            <w:r>
              <w:rPr>
                <w:rFonts w:ascii="Arial" w:cs="Arial" w:eastAsia="Arial" w:hAnsi="Arial"/>
                <w:sz w:val="18"/>
                <w:szCs w:val="18"/>
                <w:color w:val="auto"/>
                <w:w w:val="90"/>
              </w:rPr>
              <w:t>Weighted-</w:t>
            </w: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35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60" w:type="dxa"/>
            <w:vAlign w:val="bottom"/>
          </w:tcPr>
          <w:p>
            <w:pPr>
              <w:jc w:val="center"/>
              <w:ind w:right="30"/>
              <w:spacing w:after="0"/>
              <w:rPr>
                <w:sz w:val="20"/>
                <w:szCs w:val="20"/>
                <w:color w:val="auto"/>
              </w:rPr>
            </w:pPr>
            <w:r>
              <w:rPr>
                <w:rFonts w:ascii="Arial" w:cs="Arial" w:eastAsia="Arial" w:hAnsi="Arial"/>
                <w:sz w:val="18"/>
                <w:szCs w:val="18"/>
                <w:color w:val="auto"/>
                <w:w w:val="89"/>
              </w:rPr>
              <w:t>Average</w:t>
            </w: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35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60" w:type="dxa"/>
            <w:vAlign w:val="bottom"/>
            <w:gridSpan w:val="2"/>
          </w:tcPr>
          <w:p>
            <w:pPr>
              <w:jc w:val="center"/>
              <w:ind w:right="110"/>
              <w:spacing w:after="0"/>
              <w:rPr>
                <w:sz w:val="20"/>
                <w:szCs w:val="20"/>
                <w:color w:val="auto"/>
              </w:rPr>
            </w:pPr>
            <w:r>
              <w:rPr>
                <w:rFonts w:ascii="Arial" w:cs="Arial" w:eastAsia="Arial" w:hAnsi="Arial"/>
                <w:sz w:val="18"/>
                <w:szCs w:val="18"/>
                <w:color w:val="auto"/>
                <w:w w:val="90"/>
              </w:rPr>
              <w:t>Weighted-</w:t>
            </w:r>
          </w:p>
        </w:tc>
        <w:tc>
          <w:tcPr>
            <w:tcW w:w="1360" w:type="dxa"/>
            <w:vAlign w:val="bottom"/>
          </w:tcPr>
          <w:p>
            <w:pPr>
              <w:jc w:val="center"/>
              <w:ind w:right="30"/>
              <w:spacing w:after="0"/>
              <w:rPr>
                <w:sz w:val="20"/>
                <w:szCs w:val="20"/>
                <w:color w:val="auto"/>
              </w:rPr>
            </w:pPr>
            <w:r>
              <w:rPr>
                <w:rFonts w:ascii="Arial" w:cs="Arial" w:eastAsia="Arial" w:hAnsi="Arial"/>
                <w:sz w:val="18"/>
                <w:szCs w:val="18"/>
                <w:color w:val="auto"/>
                <w:w w:val="92"/>
              </w:rPr>
              <w:t>Remaining</w:t>
            </w: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356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84"/>
              </w:rPr>
              <w:t>Shares</w:t>
            </w:r>
          </w:p>
        </w:tc>
        <w:tc>
          <w:tcPr>
            <w:tcW w:w="1260" w:type="dxa"/>
            <w:vAlign w:val="bottom"/>
            <w:gridSpan w:val="2"/>
          </w:tcPr>
          <w:p>
            <w:pPr>
              <w:jc w:val="center"/>
              <w:ind w:right="90"/>
              <w:spacing w:after="0"/>
              <w:rPr>
                <w:sz w:val="20"/>
                <w:szCs w:val="20"/>
                <w:color w:val="auto"/>
              </w:rPr>
            </w:pPr>
            <w:r>
              <w:rPr>
                <w:rFonts w:ascii="Arial" w:cs="Arial" w:eastAsia="Arial" w:hAnsi="Arial"/>
                <w:sz w:val="18"/>
                <w:szCs w:val="18"/>
                <w:color w:val="auto"/>
                <w:w w:val="89"/>
              </w:rPr>
              <w:t>Average</w:t>
            </w:r>
          </w:p>
        </w:tc>
        <w:tc>
          <w:tcPr>
            <w:tcW w:w="1360" w:type="dxa"/>
            <w:vAlign w:val="bottom"/>
          </w:tcPr>
          <w:p>
            <w:pPr>
              <w:jc w:val="center"/>
              <w:ind w:right="30"/>
              <w:spacing w:after="0"/>
              <w:rPr>
                <w:sz w:val="20"/>
                <w:szCs w:val="20"/>
                <w:color w:val="auto"/>
              </w:rPr>
            </w:pPr>
            <w:r>
              <w:rPr>
                <w:rFonts w:ascii="Arial" w:cs="Arial" w:eastAsia="Arial" w:hAnsi="Arial"/>
                <w:sz w:val="18"/>
                <w:szCs w:val="18"/>
                <w:color w:val="auto"/>
                <w:w w:val="91"/>
              </w:rPr>
              <w:t>Contractual</w:t>
            </w:r>
          </w:p>
        </w:tc>
        <w:tc>
          <w:tcPr>
            <w:tcW w:w="1360" w:type="dxa"/>
            <w:vAlign w:val="bottom"/>
            <w:gridSpan w:val="2"/>
          </w:tcPr>
          <w:p>
            <w:pPr>
              <w:jc w:val="center"/>
              <w:spacing w:after="0"/>
              <w:rPr>
                <w:sz w:val="20"/>
                <w:szCs w:val="20"/>
                <w:color w:val="auto"/>
              </w:rPr>
            </w:pPr>
            <w:r>
              <w:rPr>
                <w:rFonts w:ascii="Arial" w:cs="Arial" w:eastAsia="Arial" w:hAnsi="Arial"/>
                <w:sz w:val="18"/>
                <w:szCs w:val="18"/>
                <w:color w:val="auto"/>
                <w:w w:val="89"/>
              </w:rPr>
              <w:t>Aggregate</w:t>
            </w:r>
          </w:p>
        </w:tc>
      </w:tr>
      <w:tr>
        <w:trPr>
          <w:trHeight w:val="216"/>
        </w:trPr>
        <w:tc>
          <w:tcPr>
            <w:tcW w:w="356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86"/>
              </w:rPr>
              <w:t>under</w:t>
            </w:r>
          </w:p>
        </w:tc>
        <w:tc>
          <w:tcPr>
            <w:tcW w:w="1260" w:type="dxa"/>
            <w:vAlign w:val="bottom"/>
            <w:gridSpan w:val="2"/>
          </w:tcPr>
          <w:p>
            <w:pPr>
              <w:jc w:val="center"/>
              <w:ind w:right="110"/>
              <w:spacing w:after="0"/>
              <w:rPr>
                <w:sz w:val="20"/>
                <w:szCs w:val="20"/>
                <w:color w:val="auto"/>
              </w:rPr>
            </w:pPr>
            <w:r>
              <w:rPr>
                <w:rFonts w:ascii="Arial" w:cs="Arial" w:eastAsia="Arial" w:hAnsi="Arial"/>
                <w:sz w:val="18"/>
                <w:szCs w:val="18"/>
                <w:color w:val="auto"/>
                <w:w w:val="89"/>
              </w:rPr>
              <w:t>Exercise</w:t>
            </w:r>
          </w:p>
        </w:tc>
        <w:tc>
          <w:tcPr>
            <w:tcW w:w="1360" w:type="dxa"/>
            <w:vAlign w:val="bottom"/>
          </w:tcPr>
          <w:p>
            <w:pPr>
              <w:jc w:val="center"/>
              <w:ind w:right="10"/>
              <w:spacing w:after="0"/>
              <w:rPr>
                <w:sz w:val="20"/>
                <w:szCs w:val="20"/>
                <w:color w:val="auto"/>
              </w:rPr>
            </w:pPr>
            <w:r>
              <w:rPr>
                <w:rFonts w:ascii="Arial" w:cs="Arial" w:eastAsia="Arial" w:hAnsi="Arial"/>
                <w:sz w:val="18"/>
                <w:szCs w:val="18"/>
                <w:color w:val="auto"/>
                <w:w w:val="90"/>
              </w:rPr>
              <w:t>Term</w:t>
            </w:r>
          </w:p>
        </w:tc>
        <w:tc>
          <w:tcPr>
            <w:tcW w:w="1360" w:type="dxa"/>
            <w:vAlign w:val="bottom"/>
            <w:gridSpan w:val="2"/>
          </w:tcPr>
          <w:p>
            <w:pPr>
              <w:jc w:val="center"/>
              <w:spacing w:after="0"/>
              <w:rPr>
                <w:sz w:val="20"/>
                <w:szCs w:val="20"/>
                <w:color w:val="auto"/>
              </w:rPr>
            </w:pPr>
            <w:r>
              <w:rPr>
                <w:rFonts w:ascii="Arial" w:cs="Arial" w:eastAsia="Arial" w:hAnsi="Arial"/>
                <w:sz w:val="18"/>
                <w:szCs w:val="18"/>
                <w:color w:val="auto"/>
                <w:w w:val="93"/>
              </w:rPr>
              <w:t>Intrinsic Value</w:t>
            </w:r>
          </w:p>
        </w:tc>
      </w:tr>
      <w:tr>
        <w:trPr>
          <w:trHeight w:val="237"/>
        </w:trPr>
        <w:tc>
          <w:tcPr>
            <w:tcW w:w="35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Option</w:t>
            </w:r>
          </w:p>
        </w:tc>
        <w:tc>
          <w:tcPr>
            <w:tcW w:w="1260" w:type="dxa"/>
            <w:vAlign w:val="bottom"/>
            <w:tcBorders>
              <w:bottom w:val="single" w:sz="8" w:color="auto"/>
            </w:tcBorders>
            <w:gridSpan w:val="2"/>
          </w:tcPr>
          <w:p>
            <w:pPr>
              <w:jc w:val="center"/>
              <w:ind w:right="110"/>
              <w:spacing w:after="0"/>
              <w:rPr>
                <w:sz w:val="20"/>
                <w:szCs w:val="20"/>
                <w:color w:val="auto"/>
              </w:rPr>
            </w:pPr>
            <w:r>
              <w:rPr>
                <w:rFonts w:ascii="Arial" w:cs="Arial" w:eastAsia="Arial" w:hAnsi="Arial"/>
                <w:sz w:val="18"/>
                <w:szCs w:val="18"/>
                <w:color w:val="auto"/>
                <w:w w:val="92"/>
              </w:rPr>
              <w:t>Price</w:t>
            </w:r>
          </w:p>
        </w:tc>
        <w:tc>
          <w:tcPr>
            <w:tcW w:w="13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0"/>
              </w:rPr>
              <w:t>(in years)</w:t>
            </w:r>
          </w:p>
        </w:tc>
        <w:tc>
          <w:tcPr>
            <w:tcW w:w="13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8"/>
              </w:rPr>
              <w:t>(in millions)</w:t>
            </w: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Outstanding at December 31, 2006</w:t>
            </w:r>
          </w:p>
        </w:tc>
        <w:tc>
          <w:tcPr>
            <w:tcW w:w="1300" w:type="dxa"/>
            <w:vAlign w:val="bottom"/>
          </w:tcPr>
          <w:p>
            <w:pPr>
              <w:jc w:val="right"/>
              <w:ind w:right="110"/>
              <w:spacing w:after="0"/>
              <w:rPr>
                <w:sz w:val="20"/>
                <w:szCs w:val="20"/>
                <w:color w:val="auto"/>
              </w:rPr>
            </w:pPr>
            <w:r>
              <w:rPr>
                <w:rFonts w:ascii="Arial" w:cs="Arial" w:eastAsia="Arial" w:hAnsi="Arial"/>
                <w:sz w:val="18"/>
                <w:szCs w:val="18"/>
                <w:color w:val="auto"/>
              </w:rPr>
              <w:t>7,303,435</w:t>
            </w:r>
          </w:p>
        </w:tc>
        <w:tc>
          <w:tcPr>
            <w:tcW w:w="5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10"/>
              <w:spacing w:after="0"/>
              <w:rPr>
                <w:sz w:val="20"/>
                <w:szCs w:val="20"/>
                <w:color w:val="auto"/>
              </w:rPr>
            </w:pPr>
            <w:r>
              <w:rPr>
                <w:rFonts w:ascii="Arial" w:cs="Arial" w:eastAsia="Arial" w:hAnsi="Arial"/>
                <w:sz w:val="18"/>
                <w:szCs w:val="18"/>
                <w:color w:val="auto"/>
              </w:rPr>
              <w:t>28.87</w:t>
            </w:r>
          </w:p>
        </w:tc>
        <w:tc>
          <w:tcPr>
            <w:tcW w:w="1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42"/>
        </w:trPr>
        <w:tc>
          <w:tcPr>
            <w:tcW w:w="3560" w:type="dxa"/>
            <w:vAlign w:val="bottom"/>
          </w:tcPr>
          <w:p>
            <w:pPr>
              <w:ind w:left="240"/>
              <w:spacing w:after="0"/>
              <w:rPr>
                <w:sz w:val="20"/>
                <w:szCs w:val="20"/>
                <w:color w:val="auto"/>
              </w:rPr>
            </w:pPr>
            <w:r>
              <w:rPr>
                <w:rFonts w:ascii="Arial" w:cs="Arial" w:eastAsia="Arial" w:hAnsi="Arial"/>
                <w:sz w:val="18"/>
                <w:szCs w:val="18"/>
                <w:color w:val="auto"/>
              </w:rPr>
              <w:t>Granted</w:t>
            </w:r>
          </w:p>
        </w:tc>
        <w:tc>
          <w:tcPr>
            <w:tcW w:w="1300" w:type="dxa"/>
            <w:vAlign w:val="bottom"/>
          </w:tcPr>
          <w:p>
            <w:pPr>
              <w:jc w:val="right"/>
              <w:ind w:right="110"/>
              <w:spacing w:after="0"/>
              <w:rPr>
                <w:sz w:val="20"/>
                <w:szCs w:val="20"/>
                <w:color w:val="auto"/>
              </w:rPr>
            </w:pPr>
            <w:r>
              <w:rPr>
                <w:rFonts w:ascii="Arial" w:cs="Arial" w:eastAsia="Arial" w:hAnsi="Arial"/>
                <w:sz w:val="18"/>
                <w:szCs w:val="18"/>
                <w:color w:val="auto"/>
              </w:rPr>
              <w:t>760,700</w:t>
            </w:r>
          </w:p>
        </w:tc>
        <w:tc>
          <w:tcPr>
            <w:tcW w:w="5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10"/>
              <w:spacing w:after="0"/>
              <w:rPr>
                <w:sz w:val="20"/>
                <w:szCs w:val="20"/>
                <w:color w:val="auto"/>
              </w:rPr>
            </w:pPr>
            <w:r>
              <w:rPr>
                <w:rFonts w:ascii="Arial" w:cs="Arial" w:eastAsia="Arial" w:hAnsi="Arial"/>
                <w:sz w:val="18"/>
                <w:szCs w:val="18"/>
                <w:color w:val="auto"/>
              </w:rPr>
              <w:t>57.27</w:t>
            </w:r>
          </w:p>
        </w:tc>
        <w:tc>
          <w:tcPr>
            <w:tcW w:w="1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80" w:type="dxa"/>
            <w:vAlign w:val="bottom"/>
          </w:tcPr>
          <w:p>
            <w:pPr>
              <w:spacing w:after="0"/>
              <w:rPr>
                <w:sz w:val="21"/>
                <w:szCs w:val="21"/>
                <w:color w:val="auto"/>
              </w:rPr>
            </w:pPr>
          </w:p>
        </w:tc>
      </w:tr>
      <w:tr>
        <w:trPr>
          <w:trHeight w:val="243"/>
        </w:trPr>
        <w:tc>
          <w:tcPr>
            <w:tcW w:w="3560" w:type="dxa"/>
            <w:vAlign w:val="bottom"/>
          </w:tcPr>
          <w:p>
            <w:pPr>
              <w:ind w:left="240"/>
              <w:spacing w:after="0"/>
              <w:rPr>
                <w:sz w:val="20"/>
                <w:szCs w:val="20"/>
                <w:color w:val="auto"/>
              </w:rPr>
            </w:pPr>
            <w:r>
              <w:rPr>
                <w:rFonts w:ascii="Arial" w:cs="Arial" w:eastAsia="Arial" w:hAnsi="Arial"/>
                <w:sz w:val="18"/>
                <w:szCs w:val="18"/>
                <w:color w:val="auto"/>
              </w:rPr>
              <w:t>Exercised</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(1,245,696 )</w:t>
            </w:r>
          </w:p>
        </w:tc>
        <w:tc>
          <w:tcPr>
            <w:tcW w:w="5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10"/>
              <w:spacing w:after="0"/>
              <w:rPr>
                <w:sz w:val="20"/>
                <w:szCs w:val="20"/>
                <w:color w:val="auto"/>
              </w:rPr>
            </w:pPr>
            <w:r>
              <w:rPr>
                <w:rFonts w:ascii="Arial" w:cs="Arial" w:eastAsia="Arial" w:hAnsi="Arial"/>
                <w:sz w:val="18"/>
                <w:szCs w:val="18"/>
                <w:color w:val="auto"/>
              </w:rPr>
              <w:t>25.58</w:t>
            </w:r>
          </w:p>
        </w:tc>
        <w:tc>
          <w:tcPr>
            <w:tcW w:w="1360" w:type="dxa"/>
            <w:vAlign w:val="bottom"/>
          </w:tcPr>
          <w:p>
            <w:pPr>
              <w:spacing w:after="0"/>
              <w:rPr>
                <w:sz w:val="21"/>
                <w:szCs w:val="21"/>
                <w:color w:val="auto"/>
              </w:rPr>
            </w:pPr>
          </w:p>
        </w:tc>
        <w:tc>
          <w:tcPr>
            <w:tcW w:w="7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50"/>
              <w:spacing w:after="0"/>
              <w:rPr>
                <w:sz w:val="20"/>
                <w:szCs w:val="20"/>
                <w:color w:val="auto"/>
              </w:rPr>
            </w:pPr>
            <w:r>
              <w:rPr>
                <w:rFonts w:ascii="Arial" w:cs="Arial" w:eastAsia="Arial" w:hAnsi="Arial"/>
                <w:sz w:val="18"/>
                <w:szCs w:val="18"/>
                <w:color w:val="auto"/>
              </w:rPr>
              <w:t>43</w:t>
            </w:r>
          </w:p>
        </w:tc>
      </w:tr>
      <w:tr>
        <w:trPr>
          <w:trHeight w:val="257"/>
        </w:trPr>
        <w:tc>
          <w:tcPr>
            <w:tcW w:w="3560" w:type="dxa"/>
            <w:vAlign w:val="bottom"/>
          </w:tcPr>
          <w:p>
            <w:pPr>
              <w:ind w:left="240"/>
              <w:spacing w:after="0"/>
              <w:rPr>
                <w:sz w:val="20"/>
                <w:szCs w:val="20"/>
                <w:color w:val="auto"/>
              </w:rPr>
            </w:pPr>
            <w:r>
              <w:rPr>
                <w:rFonts w:ascii="Arial" w:cs="Arial" w:eastAsia="Arial" w:hAnsi="Arial"/>
                <w:sz w:val="18"/>
                <w:szCs w:val="18"/>
                <w:color w:val="auto"/>
              </w:rPr>
              <w:t>Forfeited/canceled</w:t>
            </w: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(30,225 )</w:t>
            </w:r>
          </w:p>
        </w:tc>
        <w:tc>
          <w:tcPr>
            <w:tcW w:w="5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10"/>
              <w:spacing w:after="0"/>
              <w:rPr>
                <w:sz w:val="20"/>
                <w:szCs w:val="20"/>
                <w:color w:val="auto"/>
              </w:rPr>
            </w:pPr>
            <w:r>
              <w:rPr>
                <w:rFonts w:ascii="Arial" w:cs="Arial" w:eastAsia="Arial" w:hAnsi="Arial"/>
                <w:sz w:val="18"/>
                <w:szCs w:val="18"/>
                <w:color w:val="auto"/>
              </w:rPr>
              <w:t>37.83</w:t>
            </w:r>
          </w:p>
        </w:tc>
        <w:tc>
          <w:tcPr>
            <w:tcW w:w="13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80" w:type="dxa"/>
            <w:vAlign w:val="bottom"/>
          </w:tcPr>
          <w:p>
            <w:pPr>
              <w:spacing w:after="0"/>
              <w:rPr>
                <w:sz w:val="22"/>
                <w:szCs w:val="22"/>
                <w:color w:val="auto"/>
              </w:rPr>
            </w:pPr>
          </w:p>
        </w:tc>
      </w:tr>
      <w:tr>
        <w:trPr>
          <w:trHeight w:val="257"/>
        </w:trPr>
        <w:tc>
          <w:tcPr>
            <w:tcW w:w="3560" w:type="dxa"/>
            <w:vAlign w:val="bottom"/>
          </w:tcPr>
          <w:p>
            <w:pPr>
              <w:spacing w:after="0"/>
              <w:rPr>
                <w:sz w:val="20"/>
                <w:szCs w:val="20"/>
                <w:color w:val="auto"/>
              </w:rPr>
            </w:pPr>
            <w:r>
              <w:rPr>
                <w:rFonts w:ascii="Arial" w:cs="Arial" w:eastAsia="Arial" w:hAnsi="Arial"/>
                <w:sz w:val="18"/>
                <w:szCs w:val="18"/>
                <w:color w:val="auto"/>
              </w:rPr>
              <w:t>Outstanding at December 31, 2007</w:t>
            </w:r>
          </w:p>
        </w:tc>
        <w:tc>
          <w:tcPr>
            <w:tcW w:w="1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6,788,214</w:t>
            </w:r>
          </w:p>
        </w:tc>
        <w:tc>
          <w:tcPr>
            <w:tcW w:w="5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10"/>
              <w:spacing w:after="0"/>
              <w:rPr>
                <w:sz w:val="20"/>
                <w:szCs w:val="20"/>
                <w:color w:val="auto"/>
              </w:rPr>
            </w:pPr>
            <w:r>
              <w:rPr>
                <w:rFonts w:ascii="Arial" w:cs="Arial" w:eastAsia="Arial" w:hAnsi="Arial"/>
                <w:sz w:val="18"/>
                <w:szCs w:val="18"/>
                <w:color w:val="auto"/>
              </w:rPr>
              <w:t>32.61</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5.5</w:t>
            </w:r>
          </w:p>
        </w:tc>
        <w:tc>
          <w:tcPr>
            <w:tcW w:w="7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50"/>
              <w:spacing w:after="0"/>
              <w:rPr>
                <w:sz w:val="20"/>
                <w:szCs w:val="20"/>
                <w:color w:val="auto"/>
              </w:rPr>
            </w:pPr>
            <w:r>
              <w:rPr>
                <w:rFonts w:ascii="Arial" w:cs="Arial" w:eastAsia="Arial" w:hAnsi="Arial"/>
                <w:sz w:val="18"/>
                <w:szCs w:val="18"/>
                <w:color w:val="auto"/>
              </w:rPr>
              <w:t>199</w:t>
            </w:r>
          </w:p>
        </w:tc>
      </w:tr>
      <w:tr>
        <w:trPr>
          <w:trHeight w:val="473"/>
        </w:trPr>
        <w:tc>
          <w:tcPr>
            <w:tcW w:w="3560" w:type="dxa"/>
            <w:vAlign w:val="bottom"/>
          </w:tcPr>
          <w:p>
            <w:pPr>
              <w:spacing w:after="0"/>
              <w:rPr>
                <w:sz w:val="20"/>
                <w:szCs w:val="20"/>
                <w:color w:val="auto"/>
              </w:rPr>
            </w:pPr>
            <w:r>
              <w:rPr>
                <w:rFonts w:ascii="Arial" w:cs="Arial" w:eastAsia="Arial" w:hAnsi="Arial"/>
                <w:sz w:val="18"/>
                <w:szCs w:val="18"/>
                <w:color w:val="auto"/>
              </w:rPr>
              <w:t>Vested or expected to vest,</w:t>
            </w:r>
          </w:p>
        </w:tc>
        <w:tc>
          <w:tcPr>
            <w:tcW w:w="1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43"/>
        </w:trPr>
        <w:tc>
          <w:tcPr>
            <w:tcW w:w="3560" w:type="dxa"/>
            <w:vAlign w:val="bottom"/>
          </w:tcPr>
          <w:p>
            <w:pPr>
              <w:ind w:left="240"/>
              <w:spacing w:after="0"/>
              <w:rPr>
                <w:sz w:val="20"/>
                <w:szCs w:val="20"/>
                <w:color w:val="auto"/>
              </w:rPr>
            </w:pPr>
            <w:r>
              <w:rPr>
                <w:rFonts w:ascii="Arial" w:cs="Arial" w:eastAsia="Arial" w:hAnsi="Arial"/>
                <w:sz w:val="18"/>
                <w:szCs w:val="18"/>
                <w:color w:val="auto"/>
              </w:rPr>
              <w:t>at December 31, 2007</w:t>
            </w:r>
          </w:p>
        </w:tc>
        <w:tc>
          <w:tcPr>
            <w:tcW w:w="1300" w:type="dxa"/>
            <w:vAlign w:val="bottom"/>
          </w:tcPr>
          <w:p>
            <w:pPr>
              <w:jc w:val="right"/>
              <w:ind w:right="110"/>
              <w:spacing w:after="0"/>
              <w:rPr>
                <w:sz w:val="20"/>
                <w:szCs w:val="20"/>
                <w:color w:val="auto"/>
              </w:rPr>
            </w:pPr>
            <w:r>
              <w:rPr>
                <w:rFonts w:ascii="Arial" w:cs="Arial" w:eastAsia="Arial" w:hAnsi="Arial"/>
                <w:sz w:val="18"/>
                <w:szCs w:val="18"/>
                <w:color w:val="auto"/>
              </w:rPr>
              <w:t>6,705,034</w:t>
            </w:r>
          </w:p>
        </w:tc>
        <w:tc>
          <w:tcPr>
            <w:tcW w:w="5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10"/>
              <w:spacing w:after="0"/>
              <w:rPr>
                <w:sz w:val="20"/>
                <w:szCs w:val="20"/>
                <w:color w:val="auto"/>
              </w:rPr>
            </w:pPr>
            <w:r>
              <w:rPr>
                <w:rFonts w:ascii="Arial" w:cs="Arial" w:eastAsia="Arial" w:hAnsi="Arial"/>
                <w:sz w:val="18"/>
                <w:szCs w:val="18"/>
                <w:color w:val="auto"/>
              </w:rPr>
              <w:t>32.47</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5.4</w:t>
            </w:r>
          </w:p>
        </w:tc>
        <w:tc>
          <w:tcPr>
            <w:tcW w:w="7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50"/>
              <w:spacing w:after="0"/>
              <w:rPr>
                <w:sz w:val="20"/>
                <w:szCs w:val="20"/>
                <w:color w:val="auto"/>
              </w:rPr>
            </w:pPr>
            <w:r>
              <w:rPr>
                <w:rFonts w:ascii="Arial" w:cs="Arial" w:eastAsia="Arial" w:hAnsi="Arial"/>
                <w:sz w:val="18"/>
                <w:szCs w:val="18"/>
                <w:color w:val="auto"/>
              </w:rPr>
              <w:t>197</w:t>
            </w:r>
          </w:p>
        </w:tc>
      </w:tr>
      <w:tr>
        <w:trPr>
          <w:trHeight w:val="277"/>
        </w:trPr>
        <w:tc>
          <w:tcPr>
            <w:tcW w:w="3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Exercisable at December 31, 2007</w:t>
            </w:r>
          </w:p>
        </w:tc>
        <w:tc>
          <w:tcPr>
            <w:tcW w:w="1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4,851,389</w:t>
            </w:r>
          </w:p>
        </w:tc>
        <w:tc>
          <w:tcPr>
            <w:tcW w:w="5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27.06</w:t>
            </w: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4.5</w:t>
            </w:r>
          </w:p>
        </w:tc>
        <w:tc>
          <w:tcPr>
            <w:tcW w:w="7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169</w:t>
            </w:r>
          </w:p>
        </w:tc>
      </w:tr>
    </w:tbl>
    <w:p>
      <w:pPr>
        <w:spacing w:after="0" w:line="226" w:lineRule="exact"/>
        <w:rPr>
          <w:sz w:val="20"/>
          <w:szCs w:val="20"/>
          <w:color w:val="auto"/>
        </w:rPr>
      </w:pPr>
    </w:p>
    <w:p>
      <w:pPr>
        <w:ind w:right="160"/>
        <w:spacing w:after="0" w:line="386" w:lineRule="auto"/>
        <w:rPr>
          <w:sz w:val="20"/>
          <w:szCs w:val="20"/>
          <w:color w:val="auto"/>
        </w:rPr>
      </w:pPr>
      <w:r>
        <w:rPr>
          <w:rFonts w:ascii="Arial" w:cs="Arial" w:eastAsia="Arial" w:hAnsi="Arial"/>
          <w:sz w:val="16"/>
          <w:szCs w:val="16"/>
          <w:color w:val="auto"/>
        </w:rPr>
        <w:t>The aggregate intrinsic value at December 31, 2007 is the total of the difference between the company’s closing stock price and the exercise price for all in-the-money options. The total fair value of shares vested in 2007 and 2006 were $7 million and $12 million, respectively.</w:t>
      </w:r>
    </w:p>
    <w:p>
      <w:pPr>
        <w:spacing w:after="0" w:line="110" w:lineRule="exact"/>
        <w:rPr>
          <w:sz w:val="20"/>
          <w:szCs w:val="20"/>
          <w:color w:val="auto"/>
        </w:rPr>
      </w:pPr>
    </w:p>
    <w:p>
      <w:pPr>
        <w:ind w:right="280"/>
        <w:spacing w:after="0" w:line="260" w:lineRule="auto"/>
        <w:rPr>
          <w:sz w:val="20"/>
          <w:szCs w:val="20"/>
          <w:color w:val="auto"/>
        </w:rPr>
      </w:pPr>
      <w:r>
        <w:rPr>
          <w:rFonts w:ascii="Arial" w:cs="Arial" w:eastAsia="Arial" w:hAnsi="Arial"/>
          <w:sz w:val="20"/>
          <w:szCs w:val="20"/>
          <w:color w:val="auto"/>
        </w:rPr>
        <w:t>The $7 million of total compensation cost related to nonvested stock options not yet recognized as of December 31, 2007 is expected to be recognized over a weighted-average period of 2.5 years.</w:t>
      </w:r>
    </w:p>
    <w:p>
      <w:pPr>
        <w:spacing w:after="0" w:line="204"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Cash received from option exercises during 2007 was $32 million. The tax benefits realized for the share-based payment award deductions, in addition to the $17 million benefit shown above, totaled $24 million for 2007.</w:t>
      </w:r>
    </w:p>
    <w:p>
      <w:pPr>
        <w:spacing w:after="0" w:line="204" w:lineRule="exact"/>
        <w:rPr>
          <w:sz w:val="20"/>
          <w:szCs w:val="20"/>
          <w:color w:val="auto"/>
        </w:rPr>
      </w:pPr>
    </w:p>
    <w:p>
      <w:pPr>
        <w:ind w:right="80"/>
        <w:spacing w:after="0" w:line="291" w:lineRule="auto"/>
        <w:rPr>
          <w:sz w:val="20"/>
          <w:szCs w:val="20"/>
          <w:color w:val="auto"/>
        </w:rPr>
      </w:pPr>
      <w:r>
        <w:rPr>
          <w:rFonts w:ascii="Arial" w:cs="Arial" w:eastAsia="Arial" w:hAnsi="Arial"/>
          <w:sz w:val="18"/>
          <w:szCs w:val="18"/>
          <w:color w:val="auto"/>
        </w:rPr>
        <w:t>The company uses a Monte-Carlo simulation model to estimate the fair value of the restricted stock awards. The company’s determination of fair value is affected by the stock price volatility and dividend yields for the company and its peer group companies. The valuation is also affected by the risk-free rates of return, and a number of other variables. Below are key assumptions for the company:</w:t>
      </w:r>
    </w:p>
    <w:p>
      <w:pPr>
        <w:spacing w:after="0" w:line="222" w:lineRule="exact"/>
        <w:rPr>
          <w:sz w:val="20"/>
          <w:szCs w:val="20"/>
          <w:color w:val="auto"/>
        </w:rPr>
      </w:pPr>
    </w:p>
    <w:tbl>
      <w:tblPr>
        <w:tblLayout w:type="fixed"/>
        <w:tblInd w:w="1400" w:type="dxa"/>
        <w:tblCellMar>
          <w:top w:w="0" w:type="dxa"/>
          <w:left w:w="0" w:type="dxa"/>
          <w:bottom w:w="0" w:type="dxa"/>
          <w:right w:w="0" w:type="dxa"/>
        </w:tblCellMar>
      </w:tblPr>
      <w:tr>
        <w:trPr>
          <w:trHeight w:val="237"/>
        </w:trPr>
        <w:tc>
          <w:tcPr>
            <w:tcW w:w="3940" w:type="dxa"/>
            <w:vAlign w:val="bottom"/>
            <w:tcBorders>
              <w:bottom w:val="single" w:sz="8" w:color="auto"/>
            </w:tcBorders>
          </w:tcPr>
          <w:p>
            <w:pPr>
              <w:spacing w:after="0"/>
              <w:rPr>
                <w:sz w:val="20"/>
                <w:szCs w:val="20"/>
                <w:color w:val="auto"/>
              </w:rPr>
            </w:pPr>
          </w:p>
        </w:tc>
        <w:tc>
          <w:tcPr>
            <w:tcW w:w="338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rPr>
              <w:t>2007</w:t>
            </w:r>
          </w:p>
        </w:tc>
        <w:tc>
          <w:tcPr>
            <w:tcW w:w="13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2006</w:t>
            </w:r>
          </w:p>
        </w:tc>
      </w:tr>
      <w:tr>
        <w:trPr>
          <w:trHeight w:val="230"/>
        </w:trPr>
        <w:tc>
          <w:tcPr>
            <w:tcW w:w="3940" w:type="dxa"/>
            <w:vAlign w:val="bottom"/>
          </w:tcPr>
          <w:p>
            <w:pPr>
              <w:ind w:left="20"/>
              <w:spacing w:after="0"/>
              <w:rPr>
                <w:sz w:val="20"/>
                <w:szCs w:val="20"/>
                <w:color w:val="auto"/>
              </w:rPr>
            </w:pPr>
            <w:r>
              <w:rPr>
                <w:rFonts w:ascii="Arial" w:cs="Arial" w:eastAsia="Arial" w:hAnsi="Arial"/>
                <w:sz w:val="18"/>
                <w:szCs w:val="18"/>
                <w:color w:val="auto"/>
              </w:rPr>
              <w:t>Risk-free rate of return</w:t>
            </w:r>
          </w:p>
        </w:tc>
        <w:tc>
          <w:tcPr>
            <w:tcW w:w="3380" w:type="dxa"/>
            <w:vAlign w:val="bottom"/>
          </w:tcPr>
          <w:p>
            <w:pPr>
              <w:jc w:val="right"/>
              <w:ind w:right="310"/>
              <w:spacing w:after="0"/>
              <w:rPr>
                <w:sz w:val="20"/>
                <w:szCs w:val="20"/>
                <w:color w:val="auto"/>
              </w:rPr>
            </w:pPr>
            <w:r>
              <w:rPr>
                <w:rFonts w:ascii="Arial" w:cs="Arial" w:eastAsia="Arial" w:hAnsi="Arial"/>
                <w:sz w:val="18"/>
                <w:szCs w:val="18"/>
                <w:color w:val="auto"/>
              </w:rPr>
              <w:t>4.6%</w:t>
            </w: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4.3%</w:t>
            </w:r>
          </w:p>
        </w:tc>
      </w:tr>
      <w:tr>
        <w:trPr>
          <w:trHeight w:val="242"/>
        </w:trPr>
        <w:tc>
          <w:tcPr>
            <w:tcW w:w="3940" w:type="dxa"/>
            <w:vAlign w:val="bottom"/>
          </w:tcPr>
          <w:p>
            <w:pPr>
              <w:ind w:left="20"/>
              <w:spacing w:after="0"/>
              <w:rPr>
                <w:sz w:val="20"/>
                <w:szCs w:val="20"/>
                <w:color w:val="auto"/>
              </w:rPr>
            </w:pPr>
            <w:r>
              <w:rPr>
                <w:rFonts w:ascii="Arial" w:cs="Arial" w:eastAsia="Arial" w:hAnsi="Arial"/>
                <w:sz w:val="18"/>
                <w:szCs w:val="18"/>
                <w:color w:val="auto"/>
              </w:rPr>
              <w:t>Annual dividend yield</w:t>
            </w:r>
          </w:p>
        </w:tc>
        <w:tc>
          <w:tcPr>
            <w:tcW w:w="3380" w:type="dxa"/>
            <w:vAlign w:val="bottom"/>
          </w:tcPr>
          <w:p>
            <w:pPr>
              <w:jc w:val="right"/>
              <w:ind w:right="310"/>
              <w:spacing w:after="0"/>
              <w:rPr>
                <w:sz w:val="20"/>
                <w:szCs w:val="20"/>
                <w:color w:val="auto"/>
              </w:rPr>
            </w:pPr>
            <w:r>
              <w:rPr>
                <w:rFonts w:ascii="Arial" w:cs="Arial" w:eastAsia="Arial" w:hAnsi="Arial"/>
                <w:sz w:val="18"/>
                <w:szCs w:val="18"/>
                <w:color w:val="auto"/>
              </w:rPr>
              <w:t>2.2%</w:t>
            </w: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2.6%</w:t>
            </w:r>
          </w:p>
        </w:tc>
      </w:tr>
      <w:tr>
        <w:trPr>
          <w:trHeight w:val="277"/>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Stock price volatility</w:t>
            </w:r>
          </w:p>
        </w:tc>
        <w:tc>
          <w:tcPr>
            <w:tcW w:w="33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19%</w:t>
            </w:r>
          </w:p>
        </w:tc>
        <w:tc>
          <w:tcPr>
            <w:tcW w:w="13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24%</w:t>
            </w:r>
          </w:p>
        </w:tc>
      </w:tr>
    </w:tbl>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20"/>
          <w:szCs w:val="20"/>
          <w:color w:val="auto"/>
        </w:rPr>
        <w:t>93</w:t>
      </w:r>
    </w:p>
    <w:p>
      <w:pPr>
        <w:sectPr>
          <w:pgSz w:w="11900" w:h="16838" w:orient="portrait"/>
          <w:cols w:equalWidth="0" w:num="1">
            <w:col w:w="11260"/>
          </w:cols>
          <w:pgMar w:left="240" w:top="122" w:right="399" w:bottom="1440" w:gutter="0" w:footer="0" w:header="0"/>
        </w:sectPr>
      </w:pPr>
    </w:p>
    <w:bookmarkStart w:id="161" w:name="page162"/>
    <w:bookmarkEnd w:id="161"/>
    <w:p>
      <w:pPr>
        <w:spacing w:after="0"/>
        <w:rPr>
          <w:sz w:val="20"/>
          <w:szCs w:val="20"/>
          <w:color w:val="auto"/>
        </w:rPr>
      </w:pPr>
      <w:r>
        <w:rPr>
          <w:rFonts w:ascii="Arial" w:cs="Arial" w:eastAsia="Arial" w:hAnsi="Arial"/>
          <w:sz w:val="19"/>
          <w:szCs w:val="19"/>
          <w:color w:val="auto"/>
        </w:rPr>
        <w:t>A summary of the company’s restricted stock awards as of December 31, 2007 and the activity during the year is presented below.</w:t>
      </w:r>
    </w:p>
    <w:p>
      <w:pPr>
        <w:spacing w:after="0" w:line="298" w:lineRule="exact"/>
        <w:rPr>
          <w:sz w:val="20"/>
          <w:szCs w:val="20"/>
          <w:color w:val="auto"/>
        </w:rPr>
      </w:pPr>
    </w:p>
    <w:tbl>
      <w:tblPr>
        <w:tblLayout w:type="fixed"/>
        <w:tblInd w:w="1380" w:type="dxa"/>
        <w:tblCellMar>
          <w:top w:w="0" w:type="dxa"/>
          <w:left w:w="0" w:type="dxa"/>
          <w:bottom w:w="0" w:type="dxa"/>
          <w:right w:w="0" w:type="dxa"/>
        </w:tblCellMar>
      </w:tblPr>
      <w:tr>
        <w:trPr>
          <w:trHeight w:val="216"/>
        </w:trPr>
        <w:tc>
          <w:tcPr>
            <w:tcW w:w="5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80" w:type="dxa"/>
            <w:vAlign w:val="bottom"/>
          </w:tcPr>
          <w:p>
            <w:pPr>
              <w:jc w:val="center"/>
              <w:ind w:right="170"/>
              <w:spacing w:after="0"/>
              <w:rPr>
                <w:sz w:val="20"/>
                <w:szCs w:val="20"/>
                <w:color w:val="auto"/>
              </w:rPr>
            </w:pPr>
            <w:r>
              <w:rPr>
                <w:rFonts w:ascii="Arial" w:cs="Arial" w:eastAsia="Arial" w:hAnsi="Arial"/>
                <w:sz w:val="18"/>
                <w:szCs w:val="18"/>
                <w:color w:val="auto"/>
                <w:w w:val="92"/>
              </w:rPr>
              <w:t>Weighted-</w:t>
            </w:r>
          </w:p>
        </w:tc>
      </w:tr>
      <w:tr>
        <w:trPr>
          <w:trHeight w:val="216"/>
        </w:trPr>
        <w:tc>
          <w:tcPr>
            <w:tcW w:w="5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80" w:type="dxa"/>
            <w:vAlign w:val="bottom"/>
          </w:tcPr>
          <w:p>
            <w:pPr>
              <w:jc w:val="center"/>
              <w:ind w:right="170"/>
              <w:spacing w:after="0"/>
              <w:rPr>
                <w:sz w:val="20"/>
                <w:szCs w:val="20"/>
                <w:color w:val="auto"/>
              </w:rPr>
            </w:pPr>
            <w:r>
              <w:rPr>
                <w:rFonts w:ascii="Arial" w:cs="Arial" w:eastAsia="Arial" w:hAnsi="Arial"/>
                <w:sz w:val="18"/>
                <w:szCs w:val="18"/>
                <w:color w:val="auto"/>
                <w:w w:val="89"/>
              </w:rPr>
              <w:t>Average</w:t>
            </w:r>
          </w:p>
        </w:tc>
      </w:tr>
      <w:tr>
        <w:trPr>
          <w:trHeight w:val="216"/>
        </w:trPr>
        <w:tc>
          <w:tcPr>
            <w:tcW w:w="5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80" w:type="dxa"/>
            <w:vAlign w:val="bottom"/>
          </w:tcPr>
          <w:p>
            <w:pPr>
              <w:jc w:val="center"/>
              <w:ind w:right="170"/>
              <w:spacing w:after="0"/>
              <w:rPr>
                <w:sz w:val="20"/>
                <w:szCs w:val="20"/>
                <w:color w:val="auto"/>
              </w:rPr>
            </w:pPr>
            <w:r>
              <w:rPr>
                <w:rFonts w:ascii="Arial" w:cs="Arial" w:eastAsia="Arial" w:hAnsi="Arial"/>
                <w:sz w:val="18"/>
                <w:szCs w:val="18"/>
                <w:color w:val="auto"/>
                <w:w w:val="89"/>
              </w:rPr>
              <w:t>Grant-Date</w:t>
            </w:r>
          </w:p>
        </w:tc>
      </w:tr>
      <w:tr>
        <w:trPr>
          <w:trHeight w:val="237"/>
        </w:trPr>
        <w:tc>
          <w:tcPr>
            <w:tcW w:w="5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Shares</w:t>
            </w:r>
          </w:p>
        </w:tc>
        <w:tc>
          <w:tcPr>
            <w:tcW w:w="7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92"/>
              </w:rPr>
              <w:t>Fair Value</w:t>
            </w:r>
          </w:p>
        </w:tc>
      </w:t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Nonvested at December 31, 2006</w:t>
            </w:r>
          </w:p>
        </w:tc>
        <w:tc>
          <w:tcPr>
            <w:tcW w:w="1380" w:type="dxa"/>
            <w:vAlign w:val="bottom"/>
          </w:tcPr>
          <w:p>
            <w:pPr>
              <w:jc w:val="right"/>
              <w:ind w:right="170"/>
              <w:spacing w:after="0"/>
              <w:rPr>
                <w:sz w:val="20"/>
                <w:szCs w:val="20"/>
                <w:color w:val="auto"/>
              </w:rPr>
            </w:pPr>
            <w:r>
              <w:rPr>
                <w:rFonts w:ascii="Arial" w:cs="Arial" w:eastAsia="Arial" w:hAnsi="Arial"/>
                <w:sz w:val="18"/>
                <w:szCs w:val="18"/>
                <w:color w:val="auto"/>
              </w:rPr>
              <w:t>2,872,003</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37.41</w:t>
            </w:r>
          </w:p>
        </w:tc>
      </w:tr>
      <w:tr>
        <w:trPr>
          <w:trHeight w:val="242"/>
        </w:trPr>
        <w:tc>
          <w:tcPr>
            <w:tcW w:w="5420" w:type="dxa"/>
            <w:vAlign w:val="bottom"/>
          </w:tcPr>
          <w:p>
            <w:pPr>
              <w:ind w:left="240"/>
              <w:spacing w:after="0"/>
              <w:rPr>
                <w:sz w:val="20"/>
                <w:szCs w:val="20"/>
                <w:color w:val="auto"/>
              </w:rPr>
            </w:pPr>
            <w:r>
              <w:rPr>
                <w:rFonts w:ascii="Arial" w:cs="Arial" w:eastAsia="Arial" w:hAnsi="Arial"/>
                <w:sz w:val="18"/>
                <w:szCs w:val="18"/>
                <w:color w:val="auto"/>
              </w:rPr>
              <w:t>Granted</w:t>
            </w:r>
          </w:p>
        </w:tc>
        <w:tc>
          <w:tcPr>
            <w:tcW w:w="1380" w:type="dxa"/>
            <w:vAlign w:val="bottom"/>
          </w:tcPr>
          <w:p>
            <w:pPr>
              <w:jc w:val="right"/>
              <w:ind w:right="170"/>
              <w:spacing w:after="0"/>
              <w:rPr>
                <w:sz w:val="20"/>
                <w:szCs w:val="20"/>
                <w:color w:val="auto"/>
              </w:rPr>
            </w:pPr>
            <w:r>
              <w:rPr>
                <w:rFonts w:ascii="Arial" w:cs="Arial" w:eastAsia="Arial" w:hAnsi="Arial"/>
                <w:sz w:val="18"/>
                <w:szCs w:val="18"/>
                <w:color w:val="auto"/>
              </w:rPr>
              <w:t>803,706</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36.62</w:t>
            </w:r>
          </w:p>
        </w:tc>
      </w:tr>
      <w:tr>
        <w:trPr>
          <w:trHeight w:val="243"/>
        </w:trPr>
        <w:tc>
          <w:tcPr>
            <w:tcW w:w="5420" w:type="dxa"/>
            <w:vAlign w:val="bottom"/>
          </w:tcPr>
          <w:p>
            <w:pPr>
              <w:ind w:left="240"/>
              <w:spacing w:after="0"/>
              <w:rPr>
                <w:sz w:val="20"/>
                <w:szCs w:val="20"/>
                <w:color w:val="auto"/>
              </w:rPr>
            </w:pPr>
            <w:r>
              <w:rPr>
                <w:rFonts w:ascii="Arial" w:cs="Arial" w:eastAsia="Arial" w:hAnsi="Arial"/>
                <w:sz w:val="18"/>
                <w:szCs w:val="18"/>
                <w:color w:val="auto"/>
              </w:rPr>
              <w:t>Vested</w:t>
            </w: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(867,012 )</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42.65</w:t>
            </w:r>
          </w:p>
        </w:tc>
      </w:tr>
      <w:tr>
        <w:trPr>
          <w:trHeight w:val="257"/>
        </w:trPr>
        <w:tc>
          <w:tcPr>
            <w:tcW w:w="542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1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(49,900 )</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36.59</w:t>
            </w:r>
          </w:p>
        </w:tc>
      </w:tr>
      <w:tr>
        <w:trPr>
          <w:trHeight w:val="257"/>
        </w:trPr>
        <w:tc>
          <w:tcPr>
            <w:tcW w:w="5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Nonvested at December 31, 2007</w:t>
            </w:r>
          </w:p>
        </w:tc>
        <w:tc>
          <w:tcPr>
            <w:tcW w:w="1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2,758,797</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35.79</w:t>
            </w:r>
          </w:p>
        </w:tc>
      </w:tr>
    </w:tbl>
    <w:p>
      <w:pPr>
        <w:spacing w:after="0" w:line="226" w:lineRule="exact"/>
        <w:rPr>
          <w:sz w:val="20"/>
          <w:szCs w:val="20"/>
          <w:color w:val="auto"/>
        </w:rPr>
      </w:pPr>
    </w:p>
    <w:p>
      <w:pPr>
        <w:ind w:right="120"/>
        <w:spacing w:after="0" w:line="250" w:lineRule="auto"/>
        <w:rPr>
          <w:sz w:val="20"/>
          <w:szCs w:val="20"/>
          <w:color w:val="auto"/>
        </w:rPr>
      </w:pPr>
      <w:r>
        <w:rPr>
          <w:rFonts w:ascii="Arial" w:cs="Arial" w:eastAsia="Arial" w:hAnsi="Arial"/>
          <w:sz w:val="20"/>
          <w:szCs w:val="20"/>
          <w:color w:val="auto"/>
        </w:rPr>
        <w:t>The $31 million of total compensation cost related to nonvested restricted stock awards not yet recognized as of December 31, 2007, is expected to be recognized over a weighted-average period of 2.1 years. The total fair value of shares vested in 2007 and 2006 was $37 million and $68 million, respectively.</w:t>
      </w:r>
    </w:p>
    <w:p>
      <w:pPr>
        <w:spacing w:after="0" w:line="213"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 xml:space="preserve">Prior to the adoption of SFAS 123(R), the company recognized share-based compensation expense in accordance with APBO 25, </w:t>
      </w:r>
      <w:r>
        <w:rPr>
          <w:rFonts w:ascii="Arial" w:cs="Arial" w:eastAsia="Arial" w:hAnsi="Arial"/>
          <w:sz w:val="18"/>
          <w:szCs w:val="18"/>
          <w:i w:val="1"/>
          <w:iCs w:val="1"/>
          <w:color w:val="auto"/>
        </w:rPr>
        <w:t>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for Stock Issued to Employees</w:t>
      </w:r>
      <w:r>
        <w:rPr>
          <w:rFonts w:ascii="Arial" w:cs="Arial" w:eastAsia="Arial" w:hAnsi="Arial"/>
          <w:sz w:val="18"/>
          <w:szCs w:val="18"/>
          <w:color w:val="auto"/>
        </w:rPr>
        <w:t>, whereby it would have recorded compensation expense only if it had granted options at a discount, which it did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not do, and for certain pre-1999 stock option grants that included dividend equivalents. The company provided pro forma disclosure amounts in accordance with SFAS 148, </w:t>
      </w:r>
      <w:r>
        <w:rPr>
          <w:rFonts w:ascii="Arial" w:cs="Arial" w:eastAsia="Arial" w:hAnsi="Arial"/>
          <w:sz w:val="18"/>
          <w:szCs w:val="18"/>
          <w:i w:val="1"/>
          <w:iCs w:val="1"/>
          <w:color w:val="auto"/>
        </w:rPr>
        <w:t>Accounting for Stock-Based Compensation—Transition and Disclosure</w:t>
      </w:r>
      <w:r>
        <w:rPr>
          <w:rFonts w:ascii="Arial" w:cs="Arial" w:eastAsia="Arial" w:hAnsi="Arial"/>
          <w:sz w:val="18"/>
          <w:szCs w:val="18"/>
          <w:color w:val="auto"/>
        </w:rPr>
        <w:t>, as if the fair value method defined by SFAS 123 had been applied to its share-based compensation. The pro forma table below reflects net earnings and basic and diluted net earnings per share for 2005, had the company applied the fair value recognition provisions of SFAS 123:</w:t>
      </w:r>
    </w:p>
    <w:p>
      <w:pPr>
        <w:spacing w:after="0" w:line="235" w:lineRule="exact"/>
        <w:rPr>
          <w:sz w:val="20"/>
          <w:szCs w:val="20"/>
          <w:color w:val="auto"/>
        </w:rPr>
      </w:pPr>
    </w:p>
    <w:tbl>
      <w:tblPr>
        <w:tblLayout w:type="fixed"/>
        <w:tblInd w:w="1360" w:type="dxa"/>
        <w:tblCellMar>
          <w:top w:w="0" w:type="dxa"/>
          <w:left w:w="0" w:type="dxa"/>
          <w:bottom w:w="0" w:type="dxa"/>
          <w:right w:w="0" w:type="dxa"/>
        </w:tblCellMar>
      </w:tblPr>
      <w:tr>
        <w:trPr>
          <w:trHeight w:val="237"/>
        </w:trPr>
        <w:tc>
          <w:tcPr>
            <w:tcW w:w="7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(Dollars in millions, except per share amounts)</w:t>
            </w:r>
          </w:p>
        </w:tc>
        <w:tc>
          <w:tcPr>
            <w:tcW w:w="4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2005</w:t>
            </w:r>
          </w:p>
        </w:tc>
      </w:tr>
      <w:tr>
        <w:trPr>
          <w:trHeight w:val="230"/>
        </w:trPr>
        <w:tc>
          <w:tcPr>
            <w:tcW w:w="7300" w:type="dxa"/>
            <w:vAlign w:val="bottom"/>
          </w:tcPr>
          <w:p>
            <w:pPr>
              <w:spacing w:after="0"/>
              <w:rPr>
                <w:sz w:val="20"/>
                <w:szCs w:val="20"/>
                <w:color w:val="auto"/>
              </w:rPr>
            </w:pPr>
            <w:r>
              <w:rPr>
                <w:rFonts w:ascii="Arial" w:cs="Arial" w:eastAsia="Arial" w:hAnsi="Arial"/>
                <w:sz w:val="18"/>
                <w:szCs w:val="18"/>
                <w:color w:val="auto"/>
              </w:rPr>
              <w:t>Net income as reported</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920</w:t>
            </w:r>
          </w:p>
        </w:tc>
      </w:tr>
      <w:tr>
        <w:trPr>
          <w:trHeight w:val="228"/>
        </w:trPr>
        <w:tc>
          <w:tcPr>
            <w:tcW w:w="7300" w:type="dxa"/>
            <w:vAlign w:val="bottom"/>
          </w:tcPr>
          <w:p>
            <w:pPr>
              <w:spacing w:after="0"/>
              <w:rPr>
                <w:sz w:val="20"/>
                <w:szCs w:val="20"/>
                <w:color w:val="auto"/>
              </w:rPr>
            </w:pPr>
            <w:r>
              <w:rPr>
                <w:rFonts w:ascii="Arial" w:cs="Arial" w:eastAsia="Arial" w:hAnsi="Arial"/>
                <w:sz w:val="18"/>
                <w:szCs w:val="18"/>
                <w:color w:val="auto"/>
              </w:rPr>
              <w:t>Stock-based employee compensation expense reported in net income,</w:t>
            </w:r>
          </w:p>
        </w:tc>
        <w:tc>
          <w:tcPr>
            <w:tcW w:w="4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7300" w:type="dxa"/>
            <w:vAlign w:val="bottom"/>
          </w:tcPr>
          <w:p>
            <w:pPr>
              <w:ind w:left="260"/>
              <w:spacing w:after="0"/>
              <w:rPr>
                <w:sz w:val="20"/>
                <w:szCs w:val="20"/>
                <w:color w:val="auto"/>
              </w:rPr>
            </w:pPr>
            <w:r>
              <w:rPr>
                <w:rFonts w:ascii="Arial" w:cs="Arial" w:eastAsia="Arial" w:hAnsi="Arial"/>
                <w:sz w:val="18"/>
                <w:szCs w:val="18"/>
                <w:color w:val="auto"/>
              </w:rPr>
              <w:t>net of tax</w:t>
            </w:r>
          </w:p>
        </w:tc>
        <w:tc>
          <w:tcPr>
            <w:tcW w:w="420" w:type="dxa"/>
            <w:vAlign w:val="bottom"/>
          </w:tcPr>
          <w:p>
            <w:pPr>
              <w:spacing w:after="0"/>
              <w:rPr>
                <w:sz w:val="20"/>
                <w:szCs w:val="20"/>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37</w:t>
            </w:r>
          </w:p>
        </w:tc>
      </w:tr>
      <w:tr>
        <w:trPr>
          <w:trHeight w:val="229"/>
        </w:trPr>
        <w:tc>
          <w:tcPr>
            <w:tcW w:w="7300" w:type="dxa"/>
            <w:vAlign w:val="bottom"/>
          </w:tcPr>
          <w:p>
            <w:pPr>
              <w:spacing w:after="0"/>
              <w:rPr>
                <w:sz w:val="20"/>
                <w:szCs w:val="20"/>
                <w:color w:val="auto"/>
              </w:rPr>
            </w:pPr>
            <w:r>
              <w:rPr>
                <w:rFonts w:ascii="Arial" w:cs="Arial" w:eastAsia="Arial" w:hAnsi="Arial"/>
                <w:sz w:val="18"/>
                <w:szCs w:val="18"/>
                <w:color w:val="auto"/>
              </w:rPr>
              <w:t>Total stock-based employee compensation under fair-value method for</w:t>
            </w:r>
          </w:p>
        </w:tc>
        <w:tc>
          <w:tcPr>
            <w:tcW w:w="4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7"/>
        </w:trPr>
        <w:tc>
          <w:tcPr>
            <w:tcW w:w="7300" w:type="dxa"/>
            <w:vAlign w:val="bottom"/>
          </w:tcPr>
          <w:p>
            <w:pPr>
              <w:ind w:left="260"/>
              <w:spacing w:after="0"/>
              <w:rPr>
                <w:sz w:val="20"/>
                <w:szCs w:val="20"/>
                <w:color w:val="auto"/>
              </w:rPr>
            </w:pPr>
            <w:r>
              <w:rPr>
                <w:rFonts w:ascii="Arial" w:cs="Arial" w:eastAsia="Arial" w:hAnsi="Arial"/>
                <w:sz w:val="18"/>
                <w:szCs w:val="18"/>
                <w:color w:val="auto"/>
              </w:rPr>
              <w:t>all awards, net of tax</w:t>
            </w:r>
          </w:p>
        </w:tc>
        <w:tc>
          <w:tcPr>
            <w:tcW w:w="4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(43 )</w:t>
            </w:r>
          </w:p>
        </w:tc>
      </w:tr>
      <w:tr>
        <w:trPr>
          <w:trHeight w:val="264"/>
        </w:trPr>
        <w:tc>
          <w:tcPr>
            <w:tcW w:w="7300" w:type="dxa"/>
            <w:vAlign w:val="bottom"/>
          </w:tcPr>
          <w:p>
            <w:pPr>
              <w:spacing w:after="0"/>
              <w:rPr>
                <w:sz w:val="20"/>
                <w:szCs w:val="20"/>
                <w:color w:val="auto"/>
              </w:rPr>
            </w:pPr>
            <w:r>
              <w:rPr>
                <w:rFonts w:ascii="Arial" w:cs="Arial" w:eastAsia="Arial" w:hAnsi="Arial"/>
                <w:sz w:val="18"/>
                <w:szCs w:val="18"/>
                <w:color w:val="auto"/>
              </w:rPr>
              <w:t>Pro forma net income</w:t>
            </w:r>
          </w:p>
        </w:tc>
        <w:tc>
          <w:tcPr>
            <w:tcW w:w="4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914</w:t>
            </w:r>
          </w:p>
        </w:tc>
      </w:tr>
      <w:tr>
        <w:trPr>
          <w:trHeight w:val="473"/>
        </w:trPr>
        <w:tc>
          <w:tcPr>
            <w:tcW w:w="7300" w:type="dxa"/>
            <w:vAlign w:val="bottom"/>
          </w:tcPr>
          <w:p>
            <w:pPr>
              <w:spacing w:after="0"/>
              <w:rPr>
                <w:sz w:val="20"/>
                <w:szCs w:val="20"/>
                <w:color w:val="auto"/>
              </w:rPr>
            </w:pPr>
            <w:r>
              <w:rPr>
                <w:rFonts w:ascii="Arial" w:cs="Arial" w:eastAsia="Arial" w:hAnsi="Arial"/>
                <w:sz w:val="18"/>
                <w:szCs w:val="18"/>
                <w:color w:val="auto"/>
              </w:rPr>
              <w:t>Earnings per share:</w:t>
            </w: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43"/>
        </w:trPr>
        <w:tc>
          <w:tcPr>
            <w:tcW w:w="7300" w:type="dxa"/>
            <w:vAlign w:val="bottom"/>
          </w:tcPr>
          <w:p>
            <w:pPr>
              <w:ind w:left="420"/>
              <w:spacing w:after="0"/>
              <w:rPr>
                <w:sz w:val="20"/>
                <w:szCs w:val="20"/>
                <w:color w:val="auto"/>
              </w:rPr>
            </w:pPr>
            <w:r>
              <w:rPr>
                <w:rFonts w:ascii="Arial" w:cs="Arial" w:eastAsia="Arial" w:hAnsi="Arial"/>
                <w:sz w:val="18"/>
                <w:szCs w:val="18"/>
                <w:color w:val="auto"/>
              </w:rPr>
              <w:t>Basic - as reported</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3.74</w:t>
            </w:r>
          </w:p>
        </w:tc>
      </w:tr>
      <w:tr>
        <w:trPr>
          <w:trHeight w:val="243"/>
        </w:trPr>
        <w:tc>
          <w:tcPr>
            <w:tcW w:w="7300" w:type="dxa"/>
            <w:vAlign w:val="bottom"/>
          </w:tcPr>
          <w:p>
            <w:pPr>
              <w:ind w:left="420"/>
              <w:spacing w:after="0"/>
              <w:rPr>
                <w:sz w:val="20"/>
                <w:szCs w:val="20"/>
                <w:color w:val="auto"/>
              </w:rPr>
            </w:pPr>
            <w:r>
              <w:rPr>
                <w:rFonts w:ascii="Arial" w:cs="Arial" w:eastAsia="Arial" w:hAnsi="Arial"/>
                <w:sz w:val="18"/>
                <w:szCs w:val="18"/>
                <w:color w:val="auto"/>
              </w:rPr>
              <w:t>Basic - pro forma</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3.72</w:t>
            </w:r>
          </w:p>
        </w:tc>
      </w:tr>
      <w:tr>
        <w:trPr>
          <w:trHeight w:val="243"/>
        </w:trPr>
        <w:tc>
          <w:tcPr>
            <w:tcW w:w="7300" w:type="dxa"/>
            <w:vAlign w:val="bottom"/>
          </w:tcPr>
          <w:p>
            <w:pPr>
              <w:ind w:left="420"/>
              <w:spacing w:after="0"/>
              <w:rPr>
                <w:sz w:val="20"/>
                <w:szCs w:val="20"/>
                <w:color w:val="auto"/>
              </w:rPr>
            </w:pPr>
            <w:r>
              <w:rPr>
                <w:rFonts w:ascii="Arial" w:cs="Arial" w:eastAsia="Arial" w:hAnsi="Arial"/>
                <w:sz w:val="18"/>
                <w:szCs w:val="18"/>
                <w:color w:val="auto"/>
              </w:rPr>
              <w:t>Diluted - as reported</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3.65</w:t>
            </w:r>
          </w:p>
        </w:tc>
      </w:tr>
      <w:tr>
        <w:trPr>
          <w:trHeight w:val="277"/>
        </w:trPr>
        <w:tc>
          <w:tcPr>
            <w:tcW w:w="730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Diluted - pro forma</w:t>
            </w:r>
          </w:p>
        </w:tc>
        <w:tc>
          <w:tcPr>
            <w:tcW w:w="4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3.63</w:t>
            </w:r>
          </w:p>
        </w:tc>
      </w:tr>
    </w:tbl>
    <w:p>
      <w:pPr>
        <w:spacing w:after="0" w:line="226"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The pro forma effects of estimated share-based compensation expense for stock options on net income and earnings per common share for 2005 were estimated at the date of grant using the Black-Scholes model based on the following assumptions:</w:t>
      </w:r>
    </w:p>
    <w:p>
      <w:pPr>
        <w:spacing w:after="0" w:line="247" w:lineRule="exact"/>
        <w:rPr>
          <w:sz w:val="20"/>
          <w:szCs w:val="20"/>
          <w:color w:val="auto"/>
        </w:rPr>
      </w:pPr>
    </w:p>
    <w:tbl>
      <w:tblPr>
        <w:tblLayout w:type="fixed"/>
        <w:tblInd w:w="1400" w:type="dxa"/>
        <w:tblCellMar>
          <w:top w:w="0" w:type="dxa"/>
          <w:left w:w="0" w:type="dxa"/>
          <w:bottom w:w="0" w:type="dxa"/>
          <w:right w:w="0" w:type="dxa"/>
        </w:tblCellMar>
      </w:tblPr>
      <w:tr>
        <w:trPr>
          <w:trHeight w:val="237"/>
        </w:trPr>
        <w:tc>
          <w:tcPr>
            <w:tcW w:w="4700" w:type="dxa"/>
            <w:vAlign w:val="bottom"/>
            <w:tcBorders>
              <w:bottom w:val="single" w:sz="8" w:color="auto"/>
            </w:tcBorders>
          </w:tcPr>
          <w:p>
            <w:pPr>
              <w:spacing w:after="0"/>
              <w:rPr>
                <w:sz w:val="20"/>
                <w:szCs w:val="20"/>
                <w:color w:val="auto"/>
              </w:rPr>
            </w:pPr>
          </w:p>
        </w:tc>
        <w:tc>
          <w:tcPr>
            <w:tcW w:w="39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2005</w:t>
            </w: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Stock price volatility</w:t>
            </w:r>
          </w:p>
        </w:tc>
        <w:tc>
          <w:tcPr>
            <w:tcW w:w="3920" w:type="dxa"/>
            <w:vAlign w:val="bottom"/>
          </w:tcPr>
          <w:p>
            <w:pPr>
              <w:jc w:val="right"/>
              <w:ind w:right="150"/>
              <w:spacing w:after="0"/>
              <w:rPr>
                <w:sz w:val="20"/>
                <w:szCs w:val="20"/>
                <w:color w:val="auto"/>
              </w:rPr>
            </w:pPr>
            <w:r>
              <w:rPr>
                <w:rFonts w:ascii="Arial" w:cs="Arial" w:eastAsia="Arial" w:hAnsi="Arial"/>
                <w:sz w:val="18"/>
                <w:szCs w:val="18"/>
                <w:color w:val="auto"/>
              </w:rPr>
              <w:t>25%</w:t>
            </w:r>
          </w:p>
        </w:tc>
      </w:tr>
      <w:tr>
        <w:trPr>
          <w:trHeight w:val="242"/>
        </w:trPr>
        <w:tc>
          <w:tcPr>
            <w:tcW w:w="4700" w:type="dxa"/>
            <w:vAlign w:val="bottom"/>
          </w:tcPr>
          <w:p>
            <w:pPr>
              <w:ind w:left="20"/>
              <w:spacing w:after="0"/>
              <w:rPr>
                <w:sz w:val="20"/>
                <w:szCs w:val="20"/>
                <w:color w:val="auto"/>
              </w:rPr>
            </w:pPr>
            <w:r>
              <w:rPr>
                <w:rFonts w:ascii="Arial" w:cs="Arial" w:eastAsia="Arial" w:hAnsi="Arial"/>
                <w:sz w:val="18"/>
                <w:szCs w:val="18"/>
                <w:color w:val="auto"/>
              </w:rPr>
              <w:t>Risk-free rate of return</w:t>
            </w:r>
          </w:p>
        </w:tc>
        <w:tc>
          <w:tcPr>
            <w:tcW w:w="3920" w:type="dxa"/>
            <w:vAlign w:val="bottom"/>
          </w:tcPr>
          <w:p>
            <w:pPr>
              <w:jc w:val="right"/>
              <w:ind w:right="150"/>
              <w:spacing w:after="0"/>
              <w:rPr>
                <w:sz w:val="20"/>
                <w:szCs w:val="20"/>
                <w:color w:val="auto"/>
              </w:rPr>
            </w:pPr>
            <w:r>
              <w:rPr>
                <w:rFonts w:ascii="Arial" w:cs="Arial" w:eastAsia="Arial" w:hAnsi="Arial"/>
                <w:sz w:val="18"/>
                <w:szCs w:val="18"/>
                <w:color w:val="auto"/>
              </w:rPr>
              <w:t>3.9%</w:t>
            </w: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color w:val="auto"/>
              </w:rPr>
              <w:t>Annual dividend yield</w:t>
            </w:r>
          </w:p>
        </w:tc>
        <w:tc>
          <w:tcPr>
            <w:tcW w:w="3920" w:type="dxa"/>
            <w:vAlign w:val="bottom"/>
          </w:tcPr>
          <w:p>
            <w:pPr>
              <w:jc w:val="right"/>
              <w:ind w:right="150"/>
              <w:spacing w:after="0"/>
              <w:rPr>
                <w:sz w:val="20"/>
                <w:szCs w:val="20"/>
                <w:color w:val="auto"/>
              </w:rPr>
            </w:pPr>
            <w:r>
              <w:rPr>
                <w:rFonts w:ascii="Arial" w:cs="Arial" w:eastAsia="Arial" w:hAnsi="Arial"/>
                <w:sz w:val="18"/>
                <w:szCs w:val="18"/>
                <w:color w:val="auto"/>
              </w:rPr>
              <w:t>2.8%</w:t>
            </w:r>
          </w:p>
        </w:tc>
      </w:tr>
      <w:tr>
        <w:trPr>
          <w:trHeight w:val="277"/>
        </w:trPr>
        <w:tc>
          <w:tcPr>
            <w:tcW w:w="4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Expected life</w:t>
            </w:r>
          </w:p>
        </w:tc>
        <w:tc>
          <w:tcPr>
            <w:tcW w:w="39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6 Years</w:t>
            </w:r>
          </w:p>
        </w:tc>
      </w:tr>
    </w:tbl>
    <w:p>
      <w:pPr>
        <w:spacing w:after="0" w:line="226" w:lineRule="exact"/>
        <w:rPr>
          <w:sz w:val="20"/>
          <w:szCs w:val="20"/>
          <w:color w:val="auto"/>
        </w:rPr>
      </w:pPr>
    </w:p>
    <w:p>
      <w:pPr>
        <w:ind w:right="60"/>
        <w:spacing w:after="0" w:line="260" w:lineRule="auto"/>
        <w:rPr>
          <w:sz w:val="20"/>
          <w:szCs w:val="20"/>
          <w:color w:val="auto"/>
        </w:rPr>
      </w:pPr>
      <w:r>
        <w:rPr>
          <w:rFonts w:ascii="Arial" w:cs="Arial" w:eastAsia="Arial" w:hAnsi="Arial"/>
          <w:sz w:val="20"/>
          <w:szCs w:val="20"/>
          <w:color w:val="auto"/>
        </w:rPr>
        <w:t>The Black-Scholes model weighted-average estimated fair value of stock options granted in 2005 was $8.28 per share. The total intrinsic value of options exercised in 2005 was $74 million. The total fair</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color w:val="auto"/>
        </w:rPr>
        <w:t>94</w:t>
      </w:r>
    </w:p>
    <w:p>
      <w:pPr>
        <w:sectPr>
          <w:pgSz w:w="11900" w:h="16838" w:orient="portrait"/>
          <w:cols w:equalWidth="0" w:num="1">
            <w:col w:w="11400"/>
          </w:cols>
          <w:pgMar w:left="240" w:top="122" w:right="259" w:bottom="1440" w:gutter="0" w:footer="0" w:header="0"/>
        </w:sectPr>
      </w:pPr>
    </w:p>
    <w:bookmarkStart w:id="162" w:name="page163"/>
    <w:bookmarkEnd w:id="162"/>
    <w:p>
      <w:pPr>
        <w:ind w:right="380"/>
        <w:spacing w:after="0" w:line="262" w:lineRule="auto"/>
        <w:rPr>
          <w:sz w:val="20"/>
          <w:szCs w:val="20"/>
          <w:color w:val="auto"/>
        </w:rPr>
      </w:pPr>
      <w:r>
        <w:rPr>
          <w:rFonts w:ascii="Arial" w:cs="Arial" w:eastAsia="Arial" w:hAnsi="Arial"/>
          <w:sz w:val="20"/>
          <w:szCs w:val="20"/>
          <w:color w:val="auto"/>
        </w:rPr>
        <w:t>value of option shares vested in 2005 was $13 million. The weighted-average grant-date fair value for restricted stock granted in 2005 was $36.49 per share. The total fair value of restricted stock vested in 2005 was $10 million.</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11. FINANCIAL INSTRUMENTS</w:t>
      </w:r>
    </w:p>
    <w:p>
      <w:pPr>
        <w:spacing w:after="0" w:line="249" w:lineRule="exact"/>
        <w:rPr>
          <w:sz w:val="20"/>
          <w:szCs w:val="20"/>
          <w:color w:val="auto"/>
        </w:rPr>
      </w:pPr>
    </w:p>
    <w:p>
      <w:pPr>
        <w:ind w:right="240"/>
        <w:spacing w:after="0" w:line="260" w:lineRule="auto"/>
        <w:rPr>
          <w:sz w:val="20"/>
          <w:szCs w:val="20"/>
          <w:color w:val="auto"/>
        </w:rPr>
      </w:pPr>
      <w:r>
        <w:rPr>
          <w:rFonts w:ascii="Arial" w:cs="Arial" w:eastAsia="Arial" w:hAnsi="Arial"/>
          <w:sz w:val="20"/>
          <w:szCs w:val="20"/>
          <w:color w:val="auto"/>
        </w:rPr>
        <w:t>The company periodically uses commodity derivative instruments and interest-rate swap agreements to moderate its exposure to commodity price changes and interest-rate changes and to lower its overall cost of borrowing.</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Fair Value Hedges</w:t>
      </w:r>
    </w:p>
    <w:p>
      <w:pPr>
        <w:spacing w:after="0" w:line="249" w:lineRule="exact"/>
        <w:rPr>
          <w:sz w:val="20"/>
          <w:szCs w:val="20"/>
          <w:color w:val="auto"/>
        </w:rPr>
      </w:pPr>
    </w:p>
    <w:p>
      <w:pPr>
        <w:ind w:right="300"/>
        <w:spacing w:after="0" w:line="260" w:lineRule="auto"/>
        <w:rPr>
          <w:sz w:val="20"/>
          <w:szCs w:val="20"/>
          <w:color w:val="auto"/>
        </w:rPr>
      </w:pPr>
      <w:r>
        <w:rPr>
          <w:rFonts w:ascii="Arial" w:cs="Arial" w:eastAsia="Arial" w:hAnsi="Arial"/>
          <w:sz w:val="20"/>
          <w:szCs w:val="20"/>
          <w:color w:val="auto"/>
        </w:rPr>
        <w:t>Commodity fair value hedges are associated with Sempra Commodities. These hedges are recorded as trading instruments and may involve significant notional quantities of commodities traded within that business.</w:t>
      </w:r>
    </w:p>
    <w:p>
      <w:pPr>
        <w:spacing w:after="0" w:line="204" w:lineRule="exact"/>
        <w:rPr>
          <w:sz w:val="20"/>
          <w:szCs w:val="20"/>
          <w:color w:val="auto"/>
        </w:rPr>
      </w:pPr>
    </w:p>
    <w:p>
      <w:pPr>
        <w:ind w:right="60"/>
        <w:spacing w:after="0" w:line="250" w:lineRule="auto"/>
        <w:rPr>
          <w:sz w:val="20"/>
          <w:szCs w:val="20"/>
          <w:color w:val="auto"/>
        </w:rPr>
      </w:pPr>
      <w:r>
        <w:rPr>
          <w:rFonts w:ascii="Arial" w:cs="Arial" w:eastAsia="Arial" w:hAnsi="Arial"/>
          <w:sz w:val="20"/>
          <w:szCs w:val="20"/>
          <w:color w:val="auto"/>
        </w:rPr>
        <w:t>As of both December 31, 2007 and 2006, the company had fair value interest-rate swap hedges for a notional amount of debt totaling $450 million. The maturities of these swaps range from 2010 to 2011. These fair value hedge balances were an asset of $11 million and a liability of $4 million at December 31, 2007 and 2006, respectively.</w:t>
      </w:r>
    </w:p>
    <w:p>
      <w:pPr>
        <w:spacing w:after="0" w:line="213" w:lineRule="exact"/>
        <w:rPr>
          <w:sz w:val="20"/>
          <w:szCs w:val="20"/>
          <w:color w:val="auto"/>
        </w:rPr>
      </w:pPr>
    </w:p>
    <w:p>
      <w:pPr>
        <w:ind w:right="200"/>
        <w:spacing w:after="0" w:line="250" w:lineRule="auto"/>
        <w:rPr>
          <w:sz w:val="20"/>
          <w:szCs w:val="20"/>
          <w:color w:val="auto"/>
        </w:rPr>
      </w:pPr>
      <w:r>
        <w:rPr>
          <w:rFonts w:ascii="Arial" w:cs="Arial" w:eastAsia="Arial" w:hAnsi="Arial"/>
          <w:sz w:val="20"/>
          <w:szCs w:val="20"/>
          <w:color w:val="auto"/>
        </w:rPr>
        <w:t>Market value adjustments since inception of the interest-rate swap hedges were recorded as an increase in Fixed-price Contracts and Other Derivatives (in noncurrent assets as Sundry or in noncurrent liabilities) and a corresponding increase or decrease in Long-Term Debt without affecting net income or other comprehensive income.</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Cash Flow Hedges</w:t>
      </w:r>
    </w:p>
    <w:p>
      <w:pPr>
        <w:spacing w:after="0" w:line="249" w:lineRule="exact"/>
        <w:rPr>
          <w:sz w:val="20"/>
          <w:szCs w:val="20"/>
          <w:color w:val="auto"/>
        </w:rPr>
      </w:pPr>
    </w:p>
    <w:p>
      <w:pPr>
        <w:ind w:right="100"/>
        <w:spacing w:after="0" w:line="260" w:lineRule="auto"/>
        <w:rPr>
          <w:sz w:val="20"/>
          <w:szCs w:val="20"/>
          <w:color w:val="auto"/>
        </w:rPr>
      </w:pPr>
      <w:r>
        <w:rPr>
          <w:rFonts w:ascii="Arial" w:cs="Arial" w:eastAsia="Arial" w:hAnsi="Arial"/>
          <w:sz w:val="20"/>
          <w:szCs w:val="20"/>
          <w:color w:val="auto"/>
        </w:rPr>
        <w:t>Commodity cash flow hedges are primarily associated with Sempra Commodities. These hedges are recorded primarily as trading instruments and may involve significant notional quantities of commodities traded within that business.</w:t>
      </w:r>
    </w:p>
    <w:p>
      <w:pPr>
        <w:spacing w:after="0" w:line="204" w:lineRule="exact"/>
        <w:rPr>
          <w:sz w:val="20"/>
          <w:szCs w:val="20"/>
          <w:color w:val="auto"/>
        </w:rPr>
      </w:pPr>
    </w:p>
    <w:p>
      <w:pPr>
        <w:jc w:val="both"/>
        <w:ind w:right="60"/>
        <w:spacing w:after="0" w:line="246" w:lineRule="auto"/>
        <w:rPr>
          <w:sz w:val="20"/>
          <w:szCs w:val="20"/>
          <w:color w:val="auto"/>
        </w:rPr>
      </w:pPr>
      <w:r>
        <w:rPr>
          <w:rFonts w:ascii="Arial" w:cs="Arial" w:eastAsia="Arial" w:hAnsi="Arial"/>
          <w:sz w:val="20"/>
          <w:szCs w:val="20"/>
          <w:color w:val="auto"/>
        </w:rPr>
        <w:t>As of December 31, 2007 and 2006, the company had established cash flow interest-rate swap hedges for notional debt balances totaling $434 million and $701 million, respectively. The maturities on the swaps at December 31, 2007 range from 2009 to 2038. In addition, OMEC LLC has entered into cash flow interest-rate swap hedges for a notional amount of debt ranging from $73 million to $377 million. The swaps expire in 2019.</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In the third quarter of 2005, the company entered into derivative transactions to hedge future interest payments associated with forecasted</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borrowings of $450 million for facilities related to Sempra LNG's Energía Costa Azul project. The swaps expire in 2027. During the second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quarter of 2007, the company revised its borrowing plans in anticipation of net cash proceeds to be received in connection with the transaction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related to Sempra Commodities discussed in Note 3. Accordingly, as of June 30, 2007, the company reclassified the cash flow hedge gain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$30 million pretax from Accumulated Other Comprehensive Income (Loss) to Other Income, Net in the Statements of Consolidated Income. 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2007, the company entered into interest-rate swaps with a collective notional value of $450 million to economically offset the original</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swap instruments.</w:t>
      </w:r>
    </w:p>
    <w:p>
      <w:pPr>
        <w:spacing w:after="0" w:line="227" w:lineRule="exact"/>
        <w:rPr>
          <w:sz w:val="20"/>
          <w:szCs w:val="20"/>
          <w:color w:val="auto"/>
        </w:rPr>
      </w:pPr>
    </w:p>
    <w:p>
      <w:pPr>
        <w:ind w:right="20"/>
        <w:spacing w:after="0" w:line="250" w:lineRule="auto"/>
        <w:rPr>
          <w:sz w:val="20"/>
          <w:szCs w:val="20"/>
          <w:color w:val="auto"/>
        </w:rPr>
      </w:pPr>
      <w:r>
        <w:rPr>
          <w:rFonts w:ascii="Arial" w:cs="Arial" w:eastAsia="Arial" w:hAnsi="Arial"/>
          <w:sz w:val="20"/>
          <w:szCs w:val="20"/>
          <w:color w:val="auto"/>
        </w:rPr>
        <w:t>The balances in Accumulated Other Comprehensive Income (Loss) at December 31, 2007 and 2006 related to all cash flow hedges were losses of $24 million and $50 million, respectively, net of income tax. The company expects that losses of $26 million, which are net of income tax benefit, that are</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color w:val="auto"/>
        </w:rPr>
        <w:t>95</w:t>
      </w:r>
    </w:p>
    <w:p>
      <w:pPr>
        <w:sectPr>
          <w:pgSz w:w="11900" w:h="16838" w:orient="portrait"/>
          <w:cols w:equalWidth="0" w:num="1">
            <w:col w:w="11360"/>
          </w:cols>
          <w:pgMar w:left="240" w:top="122" w:right="299" w:bottom="1440" w:gutter="0" w:footer="0" w:header="0"/>
        </w:sectPr>
      </w:pPr>
    </w:p>
    <w:bookmarkStart w:id="163" w:name="page164"/>
    <w:bookmarkEnd w:id="163"/>
    <w:p>
      <w:pPr>
        <w:ind w:right="80"/>
        <w:spacing w:after="0" w:line="343" w:lineRule="auto"/>
        <w:rPr>
          <w:sz w:val="20"/>
          <w:szCs w:val="20"/>
          <w:color w:val="auto"/>
        </w:rPr>
      </w:pPr>
      <w:r>
        <w:rPr>
          <w:rFonts w:ascii="Arial" w:cs="Arial" w:eastAsia="Arial" w:hAnsi="Arial"/>
          <w:sz w:val="16"/>
          <w:szCs w:val="16"/>
          <w:color w:val="auto"/>
        </w:rPr>
        <w:t>currently recorded in Accumulated Other Comprehensive Income (Loss) related to these cash flow hedges will be reclassified into earnings during the next twelve months as the hedged items affect earnings. However, in connection with the expected consummation of the transaction related to Sempra Commodities discussed in Note 3, a portion of the remaining cash flow hedge balance may be recognized at that time.</w:t>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Hedge Ineffectiveness</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Following is a summary of the hedge ineffectiveness gains (losses) for 2007, 2006 and 2005:</w:t>
      </w:r>
    </w:p>
    <w:p>
      <w:pPr>
        <w:spacing w:after="0" w:line="286" w:lineRule="exact"/>
        <w:rPr>
          <w:sz w:val="20"/>
          <w:szCs w:val="20"/>
          <w:color w:val="auto"/>
        </w:rPr>
      </w:pPr>
    </w:p>
    <w:tbl>
      <w:tblPr>
        <w:tblLayout w:type="fixed"/>
        <w:tblInd w:w="1260" w:type="dxa"/>
        <w:tblCellMar>
          <w:top w:w="0" w:type="dxa"/>
          <w:left w:w="0" w:type="dxa"/>
          <w:bottom w:w="0" w:type="dxa"/>
          <w:right w:w="0" w:type="dxa"/>
        </w:tblCellMar>
      </w:tblPr>
      <w:tr>
        <w:trPr>
          <w:trHeight w:val="237"/>
        </w:trPr>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(Dollars in millions)</w:t>
            </w: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2007</w:t>
            </w:r>
          </w:p>
        </w:tc>
        <w:tc>
          <w:tcPr>
            <w:tcW w:w="4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2006</w:t>
            </w:r>
          </w:p>
        </w:tc>
        <w:tc>
          <w:tcPr>
            <w:tcW w:w="5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2005</w:t>
            </w:r>
          </w:p>
        </w:tc>
      </w:tr>
      <w:tr>
        <w:trPr>
          <w:trHeight w:val="230"/>
        </w:trPr>
        <w:tc>
          <w:tcPr>
            <w:tcW w:w="4900" w:type="dxa"/>
            <w:vAlign w:val="bottom"/>
          </w:tcPr>
          <w:p>
            <w:pPr>
              <w:ind w:left="20"/>
              <w:spacing w:after="0"/>
              <w:rPr>
                <w:sz w:val="20"/>
                <w:szCs w:val="20"/>
                <w:color w:val="auto"/>
              </w:rPr>
            </w:pPr>
            <w:r>
              <w:rPr>
                <w:rFonts w:ascii="Arial" w:cs="Arial" w:eastAsia="Arial" w:hAnsi="Arial"/>
                <w:sz w:val="18"/>
                <w:szCs w:val="18"/>
                <w:color w:val="auto"/>
              </w:rPr>
              <w:t>Commodity hedges:*</w:t>
            </w: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42"/>
        </w:trPr>
        <w:tc>
          <w:tcPr>
            <w:tcW w:w="4900" w:type="dxa"/>
            <w:vAlign w:val="bottom"/>
          </w:tcPr>
          <w:p>
            <w:pPr>
              <w:ind w:left="360"/>
              <w:spacing w:after="0"/>
              <w:rPr>
                <w:sz w:val="20"/>
                <w:szCs w:val="20"/>
                <w:color w:val="auto"/>
              </w:rPr>
            </w:pPr>
            <w:r>
              <w:rPr>
                <w:rFonts w:ascii="Arial" w:cs="Arial" w:eastAsia="Arial" w:hAnsi="Arial"/>
                <w:sz w:val="18"/>
                <w:szCs w:val="18"/>
                <w:color w:val="auto"/>
              </w:rPr>
              <w:t>Cash flow hedges</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10"/>
              <w:spacing w:after="0"/>
              <w:rPr>
                <w:sz w:val="20"/>
                <w:szCs w:val="20"/>
                <w:color w:val="auto"/>
              </w:rPr>
            </w:pPr>
            <w:r>
              <w:rPr>
                <w:rFonts w:ascii="Arial" w:cs="Arial" w:eastAsia="Arial" w:hAnsi="Arial"/>
                <w:sz w:val="18"/>
                <w:szCs w:val="18"/>
                <w:color w:val="auto"/>
              </w:rPr>
              <w:t>3</w:t>
            </w: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90"/>
              <w:spacing w:after="0"/>
              <w:rPr>
                <w:sz w:val="20"/>
                <w:szCs w:val="20"/>
                <w:color w:val="auto"/>
              </w:rPr>
            </w:pPr>
            <w:r>
              <w:rPr>
                <w:rFonts w:ascii="Arial" w:cs="Arial" w:eastAsia="Arial" w:hAnsi="Arial"/>
                <w:sz w:val="18"/>
                <w:szCs w:val="18"/>
                <w:color w:val="auto"/>
              </w:rPr>
              <w:t>24</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90"/>
              <w:spacing w:after="0"/>
              <w:rPr>
                <w:sz w:val="20"/>
                <w:szCs w:val="20"/>
                <w:color w:val="auto"/>
              </w:rPr>
            </w:pPr>
            <w:r>
              <w:rPr>
                <w:rFonts w:ascii="Arial" w:cs="Arial" w:eastAsia="Arial" w:hAnsi="Arial"/>
                <w:sz w:val="18"/>
                <w:szCs w:val="18"/>
                <w:color w:val="auto"/>
              </w:rPr>
              <w:t>1</w:t>
            </w:r>
          </w:p>
        </w:tc>
      </w:tr>
      <w:tr>
        <w:trPr>
          <w:trHeight w:val="243"/>
        </w:trPr>
        <w:tc>
          <w:tcPr>
            <w:tcW w:w="4900" w:type="dxa"/>
            <w:vAlign w:val="bottom"/>
          </w:tcPr>
          <w:p>
            <w:pPr>
              <w:ind w:left="360"/>
              <w:spacing w:after="0"/>
              <w:rPr>
                <w:sz w:val="20"/>
                <w:szCs w:val="20"/>
                <w:color w:val="auto"/>
              </w:rPr>
            </w:pPr>
            <w:r>
              <w:rPr>
                <w:rFonts w:ascii="Arial" w:cs="Arial" w:eastAsia="Arial" w:hAnsi="Arial"/>
                <w:sz w:val="18"/>
                <w:szCs w:val="18"/>
                <w:color w:val="auto"/>
              </w:rPr>
              <w:t>Fair value hedges</w:t>
            </w:r>
          </w:p>
        </w:tc>
        <w:tc>
          <w:tcPr>
            <w:tcW w:w="240" w:type="dxa"/>
            <w:vAlign w:val="bottom"/>
          </w:tcPr>
          <w:p>
            <w:pPr>
              <w:spacing w:after="0"/>
              <w:rPr>
                <w:sz w:val="21"/>
                <w:szCs w:val="21"/>
                <w:color w:val="auto"/>
              </w:rPr>
            </w:pPr>
          </w:p>
        </w:tc>
        <w:tc>
          <w:tcPr>
            <w:tcW w:w="940" w:type="dxa"/>
            <w:vAlign w:val="bottom"/>
          </w:tcPr>
          <w:p>
            <w:pPr>
              <w:jc w:val="right"/>
              <w:ind w:right="210"/>
              <w:spacing w:after="0"/>
              <w:rPr>
                <w:sz w:val="20"/>
                <w:szCs w:val="20"/>
                <w:color w:val="auto"/>
              </w:rPr>
            </w:pPr>
            <w:r>
              <w:rPr>
                <w:rFonts w:ascii="Arial" w:cs="Arial" w:eastAsia="Arial" w:hAnsi="Arial"/>
                <w:sz w:val="18"/>
                <w:szCs w:val="18"/>
                <w:color w:val="auto"/>
              </w:rPr>
              <w:t>29</w:t>
            </w:r>
          </w:p>
        </w:tc>
        <w:tc>
          <w:tcPr>
            <w:tcW w:w="480" w:type="dxa"/>
            <w:vAlign w:val="bottom"/>
          </w:tcPr>
          <w:p>
            <w:pPr>
              <w:spacing w:after="0"/>
              <w:rPr>
                <w:sz w:val="21"/>
                <w:szCs w:val="21"/>
                <w:color w:val="auto"/>
              </w:rPr>
            </w:pPr>
          </w:p>
        </w:tc>
        <w:tc>
          <w:tcPr>
            <w:tcW w:w="920" w:type="dxa"/>
            <w:vAlign w:val="bottom"/>
          </w:tcPr>
          <w:p>
            <w:pPr>
              <w:jc w:val="right"/>
              <w:ind w:right="190"/>
              <w:spacing w:after="0"/>
              <w:rPr>
                <w:sz w:val="20"/>
                <w:szCs w:val="20"/>
                <w:color w:val="auto"/>
              </w:rPr>
            </w:pPr>
            <w:r>
              <w:rPr>
                <w:rFonts w:ascii="Arial" w:cs="Arial" w:eastAsia="Arial" w:hAnsi="Arial"/>
                <w:sz w:val="18"/>
                <w:szCs w:val="18"/>
                <w:color w:val="auto"/>
              </w:rPr>
              <w:t>86</w:t>
            </w:r>
          </w:p>
        </w:tc>
        <w:tc>
          <w:tcPr>
            <w:tcW w:w="500" w:type="dxa"/>
            <w:vAlign w:val="bottom"/>
          </w:tcPr>
          <w:p>
            <w:pPr>
              <w:spacing w:after="0"/>
              <w:rPr>
                <w:sz w:val="21"/>
                <w:szCs w:val="21"/>
                <w:color w:val="auto"/>
              </w:rPr>
            </w:pPr>
          </w:p>
        </w:tc>
        <w:tc>
          <w:tcPr>
            <w:tcW w:w="940" w:type="dxa"/>
            <w:vAlign w:val="bottom"/>
          </w:tcPr>
          <w:p>
            <w:pPr>
              <w:jc w:val="right"/>
              <w:ind w:right="190"/>
              <w:spacing w:after="0"/>
              <w:rPr>
                <w:sz w:val="20"/>
                <w:szCs w:val="20"/>
                <w:color w:val="auto"/>
              </w:rPr>
            </w:pPr>
            <w:r>
              <w:rPr>
                <w:rFonts w:ascii="Arial" w:cs="Arial" w:eastAsia="Arial" w:hAnsi="Arial"/>
                <w:sz w:val="18"/>
                <w:szCs w:val="18"/>
                <w:color w:val="auto"/>
              </w:rPr>
              <w:t>5</w:t>
            </w:r>
          </w:p>
        </w:tc>
      </w:tr>
      <w:tr>
        <w:trPr>
          <w:trHeight w:val="257"/>
        </w:trPr>
        <w:tc>
          <w:tcPr>
            <w:tcW w:w="4900" w:type="dxa"/>
            <w:vAlign w:val="bottom"/>
          </w:tcPr>
          <w:p>
            <w:pPr>
              <w:ind w:left="360"/>
              <w:spacing w:after="0"/>
              <w:rPr>
                <w:sz w:val="20"/>
                <w:szCs w:val="20"/>
                <w:color w:val="auto"/>
              </w:rPr>
            </w:pPr>
            <w:r>
              <w:rPr>
                <w:rFonts w:ascii="Arial" w:cs="Arial" w:eastAsia="Arial" w:hAnsi="Arial"/>
                <w:sz w:val="18"/>
                <w:szCs w:val="18"/>
                <w:color w:val="auto"/>
              </w:rPr>
              <w:t>Time value exclusions from hedge assessment</w:t>
            </w:r>
          </w:p>
        </w:tc>
        <w:tc>
          <w:tcPr>
            <w:tcW w:w="2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192</w:t>
            </w:r>
          </w:p>
        </w:tc>
        <w:tc>
          <w:tcPr>
            <w:tcW w:w="4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179</w:t>
            </w:r>
          </w:p>
        </w:tc>
        <w:tc>
          <w:tcPr>
            <w:tcW w:w="5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98</w:t>
            </w:r>
          </w:p>
        </w:tc>
      </w:tr>
      <w:tr>
        <w:trPr>
          <w:trHeight w:val="237"/>
        </w:trPr>
        <w:tc>
          <w:tcPr>
            <w:tcW w:w="4900" w:type="dxa"/>
            <w:vAlign w:val="bottom"/>
          </w:tcPr>
          <w:p>
            <w:pPr>
              <w:ind w:left="360"/>
              <w:spacing w:after="0"/>
              <w:rPr>
                <w:sz w:val="20"/>
                <w:szCs w:val="20"/>
                <w:color w:val="auto"/>
              </w:rPr>
            </w:pPr>
            <w:r>
              <w:rPr>
                <w:rFonts w:ascii="Arial" w:cs="Arial" w:eastAsia="Arial" w:hAnsi="Arial"/>
                <w:sz w:val="18"/>
                <w:szCs w:val="18"/>
                <w:color w:val="auto"/>
              </w:rPr>
              <w:t>Total unrealized gains</w:t>
            </w: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224</w:t>
            </w:r>
          </w:p>
        </w:tc>
        <w:tc>
          <w:tcPr>
            <w:tcW w:w="4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289</w:t>
            </w:r>
          </w:p>
        </w:tc>
        <w:tc>
          <w:tcPr>
            <w:tcW w:w="5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104</w:t>
            </w:r>
          </w:p>
        </w:tc>
      </w:tr>
    </w:tbl>
    <w:p>
      <w:pPr>
        <w:spacing w:after="0" w:line="200" w:lineRule="exact"/>
        <w:rPr>
          <w:sz w:val="20"/>
          <w:szCs w:val="20"/>
          <w:color w:val="auto"/>
        </w:rPr>
      </w:pPr>
    </w:p>
    <w:p>
      <w:pPr>
        <w:sectPr>
          <w:pgSz w:w="11900" w:h="16838" w:orient="portrait"/>
          <w:cols w:equalWidth="0" w:num="1">
            <w:col w:w="11380"/>
          </w:cols>
          <w:pgMar w:left="240" w:top="122" w:right="279" w:bottom="1440" w:gutter="0" w:footer="0" w:header="0"/>
        </w:sectPr>
      </w:pPr>
    </w:p>
    <w:p>
      <w:pPr>
        <w:spacing w:after="0" w:line="42"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Interest-rate hedges:**</w:t>
      </w:r>
    </w:p>
    <w:p>
      <w:pPr>
        <w:spacing w:after="0" w:line="3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Cash flow hedges***</w:t>
      </w:r>
    </w:p>
    <w:p>
      <w:pPr>
        <w:spacing w:after="0" w:line="5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Fair value hedges</w:t>
      </w:r>
    </w:p>
    <w:p>
      <w:pPr>
        <w:spacing w:after="0" w:line="50" w:lineRule="exact"/>
        <w:rPr>
          <w:sz w:val="20"/>
          <w:szCs w:val="20"/>
          <w:color w:val="auto"/>
        </w:rPr>
      </w:pPr>
    </w:p>
    <w:p>
      <w:pPr>
        <w:jc w:val="right"/>
        <w:ind w:right="1640"/>
        <w:spacing w:after="0"/>
        <w:rPr>
          <w:sz w:val="20"/>
          <w:szCs w:val="20"/>
          <w:color w:val="auto"/>
        </w:rPr>
      </w:pPr>
      <w:r>
        <w:rPr>
          <w:rFonts w:ascii="Arial" w:cs="Arial" w:eastAsia="Arial" w:hAnsi="Arial"/>
          <w:sz w:val="18"/>
          <w:szCs w:val="18"/>
          <w:color w:val="auto"/>
        </w:rPr>
        <w:t>Total unrealized gains (losses)</w:t>
      </w:r>
    </w:p>
    <w:p>
      <w:pPr>
        <w:spacing w:after="0" w:line="20" w:lineRule="exact"/>
        <w:rPr>
          <w:sz w:val="20"/>
          <w:szCs w:val="20"/>
          <w:color w:val="auto"/>
        </w:rPr>
      </w:pPr>
      <w:r>
        <w:rPr>
          <w:sz w:val="20"/>
          <w:szCs w:val="20"/>
          <w:color w:val="auto"/>
        </w:rPr>
        <w:br w:type="column"/>
      </w:r>
    </w:p>
    <w:p>
      <w:pPr>
        <w:spacing w:after="0" w:line="2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560" w:type="dxa"/>
            <w:vAlign w:val="bottom"/>
          </w:tcPr>
          <w:p>
            <w:pPr>
              <w:jc w:val="right"/>
              <w:ind w:right="510"/>
              <w:spacing w:after="0"/>
              <w:rPr>
                <w:sz w:val="20"/>
                <w:szCs w:val="20"/>
                <w:color w:val="auto"/>
              </w:rPr>
            </w:pPr>
            <w:r>
              <w:rPr>
                <w:rFonts w:ascii="Arial" w:cs="Arial" w:eastAsia="Arial" w:hAnsi="Arial"/>
                <w:sz w:val="18"/>
                <w:szCs w:val="18"/>
                <w:color w:val="auto"/>
              </w:rPr>
              <w:t>(19 )</w:t>
            </w:r>
          </w:p>
        </w:tc>
        <w:tc>
          <w:tcPr>
            <w:tcW w:w="1440" w:type="dxa"/>
            <w:vAlign w:val="bottom"/>
          </w:tcPr>
          <w:p>
            <w:pPr>
              <w:jc w:val="right"/>
              <w:ind w:right="530"/>
              <w:spacing w:after="0"/>
              <w:rPr>
                <w:sz w:val="20"/>
                <w:szCs w:val="20"/>
                <w:color w:val="auto"/>
              </w:rPr>
            </w:pPr>
            <w:r>
              <w:rPr>
                <w:rFonts w:ascii="Arial" w:cs="Arial" w:eastAsia="Arial" w:hAnsi="Arial"/>
                <w:sz w:val="18"/>
                <w:szCs w:val="18"/>
                <w:color w:val="auto"/>
              </w:rPr>
              <w:t>(1 )</w:t>
            </w:r>
          </w:p>
        </w:tc>
        <w:tc>
          <w:tcPr>
            <w:tcW w:w="1020" w:type="dxa"/>
            <w:vAlign w:val="bottom"/>
          </w:tcPr>
          <w:p>
            <w:pPr>
              <w:jc w:val="right"/>
              <w:ind w:right="190"/>
              <w:spacing w:after="0"/>
              <w:rPr>
                <w:sz w:val="20"/>
                <w:szCs w:val="20"/>
                <w:color w:val="auto"/>
              </w:rPr>
            </w:pPr>
            <w:r>
              <w:rPr>
                <w:rFonts w:ascii="Arial" w:cs="Arial" w:eastAsia="Arial" w:hAnsi="Arial"/>
                <w:sz w:val="18"/>
                <w:szCs w:val="18"/>
                <w:color w:val="auto"/>
              </w:rPr>
              <w:t>4</w:t>
            </w:r>
          </w:p>
        </w:tc>
      </w:tr>
      <w:tr>
        <w:trPr>
          <w:trHeight w:val="250"/>
        </w:trPr>
        <w:tc>
          <w:tcPr>
            <w:tcW w:w="15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r>
      <w:tr>
        <w:trPr>
          <w:trHeight w:val="237"/>
        </w:trPr>
        <w:tc>
          <w:tcPr>
            <w:tcW w:w="15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(19 )</w:t>
            </w:r>
          </w:p>
        </w:tc>
        <w:tc>
          <w:tcPr>
            <w:tcW w:w="14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(1 )</w:t>
            </w:r>
          </w:p>
        </w:tc>
        <w:tc>
          <w:tcPr>
            <w:tcW w:w="10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4</w:t>
            </w:r>
          </w:p>
        </w:tc>
      </w:tr>
    </w:tbl>
    <w:p>
      <w:pPr>
        <w:spacing w:after="0" w:line="200" w:lineRule="exact"/>
        <w:rPr>
          <w:sz w:val="20"/>
          <w:szCs w:val="20"/>
          <w:color w:val="auto"/>
        </w:rPr>
      </w:pPr>
    </w:p>
    <w:p>
      <w:pPr>
        <w:sectPr>
          <w:pgSz w:w="11900" w:h="16838" w:orient="portrait"/>
          <w:cols w:equalWidth="0" w:num="2">
            <w:col w:w="5440" w:space="720"/>
            <w:col w:w="5220"/>
          </w:cols>
          <w:pgMar w:left="240" w:top="122" w:right="279" w:bottom="1440" w:gutter="0" w:footer="0" w:header="0"/>
          <w:type w:val="continuous"/>
        </w:sectPr>
      </w:pPr>
    </w:p>
    <w:p>
      <w:pPr>
        <w:spacing w:after="0" w:line="42" w:lineRule="exact"/>
        <w:rPr>
          <w:sz w:val="20"/>
          <w:szCs w:val="20"/>
          <w:color w:val="auto"/>
        </w:rPr>
      </w:pPr>
    </w:p>
    <w:p>
      <w:pPr>
        <w:ind w:left="1280"/>
        <w:spacing w:after="0"/>
        <w:tabs>
          <w:tab w:leader="none" w:pos="6180" w:val="left"/>
          <w:tab w:leader="none" w:pos="6740" w:val="left"/>
          <w:tab w:leader="none" w:pos="7600" w:val="left"/>
          <w:tab w:leader="none" w:pos="8160" w:val="left"/>
          <w:tab w:leader="none" w:pos="9020" w:val="left"/>
          <w:tab w:leader="none" w:pos="9620" w:val="left"/>
        </w:tabs>
        <w:rPr>
          <w:sz w:val="20"/>
          <w:szCs w:val="20"/>
          <w:color w:val="auto"/>
        </w:rPr>
      </w:pPr>
      <w:r>
        <w:rPr>
          <w:rFonts w:ascii="Arial" w:cs="Arial" w:eastAsia="Arial" w:hAnsi="Arial"/>
          <w:sz w:val="18"/>
          <w:szCs w:val="18"/>
          <w:color w:val="auto"/>
        </w:rPr>
        <w:t>Total ineffectiveness gains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205</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288</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23495</wp:posOffset>
            </wp:positionV>
            <wp:extent cx="5659755"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9755" cy="26035"/>
                    </a:xfrm>
                    <a:prstGeom prst="rect">
                      <a:avLst/>
                    </a:prstGeom>
                    <a:noFill/>
                  </pic:spPr>
                </pic:pic>
              </a:graphicData>
            </a:graphic>
          </wp:anchor>
        </w:drawing>
      </w:r>
    </w:p>
    <w:p>
      <w:pPr>
        <w:spacing w:after="0" w:line="57" w:lineRule="exact"/>
        <w:rPr>
          <w:sz w:val="20"/>
          <w:szCs w:val="20"/>
          <w:color w:val="auto"/>
        </w:rPr>
      </w:pPr>
    </w:p>
    <w:p>
      <w:pPr>
        <w:ind w:left="1840" w:right="1360" w:hanging="119"/>
        <w:spacing w:after="0" w:line="266" w:lineRule="auto"/>
        <w:tabs>
          <w:tab w:leader="none" w:pos="18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For commodity derivative instruments, the company records ineffectiveness gains (losses) in Operating Revenues from Sempra Global and Parent on the Statements of Consolidated Income.</w:t>
      </w:r>
    </w:p>
    <w:p>
      <w:pPr>
        <w:ind w:left="1840" w:right="1300" w:hanging="209"/>
        <w:spacing w:after="0" w:line="266" w:lineRule="auto"/>
        <w:tabs>
          <w:tab w:leader="none" w:pos="18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For interest-rate swap instruments, the company records ineffectiveness gains (losses) in Other Income, Net on the Statements of Consolidated Income.</w:t>
      </w:r>
    </w:p>
    <w:p>
      <w:pPr>
        <w:ind w:left="1840" w:hanging="299"/>
        <w:spacing w:after="0"/>
        <w:tabs>
          <w:tab w:leader="none" w:pos="18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2007 loss includes $(17) million associated with the consolidation of OMEC LLC as discussed in Note 1.</w:t>
      </w:r>
    </w:p>
    <w:p>
      <w:pPr>
        <w:spacing w:after="0" w:line="263" w:lineRule="exact"/>
        <w:rPr>
          <w:sz w:val="20"/>
          <w:szCs w:val="20"/>
          <w:color w:val="auto"/>
        </w:rPr>
      </w:pPr>
    </w:p>
    <w:p>
      <w:pPr>
        <w:spacing w:after="0" w:line="274" w:lineRule="auto"/>
        <w:rPr>
          <w:sz w:val="20"/>
          <w:szCs w:val="20"/>
          <w:color w:val="auto"/>
        </w:rPr>
      </w:pPr>
      <w:r>
        <w:rPr>
          <w:rFonts w:ascii="Arial" w:cs="Arial" w:eastAsia="Arial" w:hAnsi="Arial"/>
          <w:sz w:val="18"/>
          <w:szCs w:val="18"/>
          <w:color w:val="auto"/>
        </w:rPr>
        <w:t>For commodity derivative instruments designated as fair value hedges, the ineffectiveness gains relate to hedges of commodity inventory and include gains that represent time value of money, which is excluded for hedge assessment purposes. For commodity derivative instruments designated as cash flow hedges, the ineffectiveness amounts for 2007, 2006 and 2005 relate to hedges of natural gas purchases and sales related to transportation and storage capacity arrangements. For 2006 and 2005, the ineffectiveness also relates to the phase-out of synthetic fuels income tax credits. In 2007 and 2006, the company also reclassified $2 million and $39 million, respectively, of losses from Accumulated Other Comprehensive Income (Loss) due to the expectation that these losses will not be recovered. The gains and losses are included in Operating Revenues from Sempra Global and Parent on the Statements of Consolidated Income.</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0"/>
          <w:szCs w:val="20"/>
          <w:color w:val="auto"/>
        </w:rPr>
        <w:t>96</w:t>
      </w:r>
    </w:p>
    <w:p>
      <w:pPr>
        <w:sectPr>
          <w:pgSz w:w="11900" w:h="16838" w:orient="portrait"/>
          <w:cols w:equalWidth="0" w:num="1">
            <w:col w:w="11380"/>
          </w:cols>
          <w:pgMar w:left="240" w:top="122" w:right="279" w:bottom="1440" w:gutter="0" w:footer="0" w:header="0"/>
          <w:type w:val="continuous"/>
        </w:sectPr>
      </w:pPr>
    </w:p>
    <w:bookmarkStart w:id="164" w:name="page165"/>
    <w:bookmarkEnd w:id="164"/>
    <w:p>
      <w:pPr>
        <w:spacing w:after="0"/>
        <w:rPr>
          <w:sz w:val="20"/>
          <w:szCs w:val="20"/>
          <w:color w:val="auto"/>
        </w:rPr>
      </w:pPr>
      <w:r>
        <w:rPr>
          <w:rFonts w:ascii="Arial" w:cs="Arial" w:eastAsia="Arial" w:hAnsi="Arial"/>
          <w:sz w:val="20"/>
          <w:szCs w:val="20"/>
          <w:b w:val="1"/>
          <w:bCs w:val="1"/>
          <w:color w:val="auto"/>
        </w:rPr>
        <w:t>Sempra Commodities</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color w:val="auto"/>
        </w:rPr>
        <w:t>The carrying values of trading assets and trading liabilities, primarily at Sempra Commodities, are as follows:</w:t>
      </w:r>
    </w:p>
    <w:p>
      <w:pPr>
        <w:spacing w:after="0" w:line="286" w:lineRule="exact"/>
        <w:rPr>
          <w:sz w:val="20"/>
          <w:szCs w:val="20"/>
          <w:color w:val="auto"/>
        </w:rPr>
      </w:pPr>
    </w:p>
    <w:tbl>
      <w:tblPr>
        <w:tblLayout w:type="fixed"/>
        <w:tblInd w:w="1220" w:type="dxa"/>
        <w:tblCellMar>
          <w:top w:w="0" w:type="dxa"/>
          <w:left w:w="0" w:type="dxa"/>
          <w:bottom w:w="0" w:type="dxa"/>
          <w:right w:w="0" w:type="dxa"/>
        </w:tblCellMar>
      </w:tblPr>
      <w:tr>
        <w:trPr>
          <w:trHeight w:val="237"/>
        </w:trPr>
        <w:tc>
          <w:tcPr>
            <w:tcW w:w="63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December 31,</w:t>
            </w:r>
          </w:p>
        </w:tc>
        <w:tc>
          <w:tcPr>
            <w:tcW w:w="820" w:type="dxa"/>
            <w:vAlign w:val="bottom"/>
            <w:tcBorders>
              <w:bottom w:val="single" w:sz="8" w:color="auto"/>
            </w:tcBorders>
          </w:tcPr>
          <w:p>
            <w:pPr>
              <w:spacing w:after="0"/>
              <w:rPr>
                <w:sz w:val="20"/>
                <w:szCs w:val="20"/>
                <w:color w:val="auto"/>
              </w:rPr>
            </w:pPr>
          </w:p>
        </w:tc>
      </w:tr>
      <w:tr>
        <w:trPr>
          <w:trHeight w:val="237"/>
        </w:trPr>
        <w:tc>
          <w:tcPr>
            <w:tcW w:w="6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(Dollars in millions)</w:t>
            </w: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2007</w:t>
            </w:r>
          </w:p>
        </w:tc>
        <w:tc>
          <w:tcPr>
            <w:tcW w:w="4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84"/>
              </w:rPr>
              <w:t>2006</w:t>
            </w:r>
          </w:p>
        </w:tc>
      </w:tr>
      <w:tr>
        <w:trPr>
          <w:trHeight w:val="230"/>
        </w:trPr>
        <w:tc>
          <w:tcPr>
            <w:tcW w:w="6320" w:type="dxa"/>
            <w:vAlign w:val="bottom"/>
          </w:tcPr>
          <w:p>
            <w:pPr>
              <w:ind w:left="20"/>
              <w:spacing w:after="0"/>
              <w:rPr>
                <w:sz w:val="20"/>
                <w:szCs w:val="20"/>
                <w:color w:val="auto"/>
              </w:rPr>
            </w:pPr>
            <w:r>
              <w:rPr>
                <w:rFonts w:ascii="Arial" w:cs="Arial" w:eastAsia="Arial" w:hAnsi="Arial"/>
                <w:sz w:val="18"/>
                <w:szCs w:val="18"/>
                <w:color w:val="auto"/>
              </w:rPr>
              <w:t>TRADING ASSETS</w:t>
            </w: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42"/>
        </w:trPr>
        <w:tc>
          <w:tcPr>
            <w:tcW w:w="6320" w:type="dxa"/>
            <w:vAlign w:val="bottom"/>
          </w:tcPr>
          <w:p>
            <w:pPr>
              <w:ind w:left="20"/>
              <w:spacing w:after="0"/>
              <w:rPr>
                <w:sz w:val="20"/>
                <w:szCs w:val="20"/>
                <w:color w:val="auto"/>
              </w:rPr>
            </w:pPr>
            <w:r>
              <w:rPr>
                <w:rFonts w:ascii="Arial" w:cs="Arial" w:eastAsia="Arial" w:hAnsi="Arial"/>
                <w:sz w:val="18"/>
                <w:szCs w:val="18"/>
                <w:color w:val="auto"/>
              </w:rPr>
              <w:t>Trading-related receivables and deposits, net:</w:t>
            </w: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43"/>
        </w:trPr>
        <w:tc>
          <w:tcPr>
            <w:tcW w:w="6320" w:type="dxa"/>
            <w:vAlign w:val="bottom"/>
          </w:tcPr>
          <w:p>
            <w:pPr>
              <w:ind w:left="400"/>
              <w:spacing w:after="0"/>
              <w:rPr>
                <w:sz w:val="20"/>
                <w:szCs w:val="20"/>
                <w:color w:val="auto"/>
              </w:rPr>
            </w:pPr>
            <w:r>
              <w:rPr>
                <w:rFonts w:ascii="Arial" w:cs="Arial" w:eastAsia="Arial" w:hAnsi="Arial"/>
                <w:sz w:val="18"/>
                <w:szCs w:val="18"/>
                <w:color w:val="auto"/>
              </w:rPr>
              <w:t>Due from trading counterparties</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2,657</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2,610</w:t>
            </w:r>
          </w:p>
        </w:tc>
      </w:tr>
      <w:tr>
        <w:trPr>
          <w:trHeight w:val="257"/>
        </w:trPr>
        <w:tc>
          <w:tcPr>
            <w:tcW w:w="6320" w:type="dxa"/>
            <w:vAlign w:val="bottom"/>
          </w:tcPr>
          <w:p>
            <w:pPr>
              <w:ind w:left="400"/>
              <w:spacing w:after="0"/>
              <w:rPr>
                <w:sz w:val="20"/>
                <w:szCs w:val="20"/>
                <w:color w:val="auto"/>
              </w:rPr>
            </w:pPr>
            <w:r>
              <w:rPr>
                <w:rFonts w:ascii="Arial" w:cs="Arial" w:eastAsia="Arial" w:hAnsi="Arial"/>
                <w:sz w:val="18"/>
                <w:szCs w:val="18"/>
                <w:color w:val="auto"/>
              </w:rPr>
              <w:t>Due from commodity clearing organizations and clearing brokers</w:t>
            </w: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230</w:t>
            </w:r>
          </w:p>
        </w:tc>
        <w:tc>
          <w:tcPr>
            <w:tcW w:w="4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437</w:t>
            </w:r>
          </w:p>
        </w:tc>
      </w:tr>
      <w:tr>
        <w:trPr>
          <w:trHeight w:val="230"/>
        </w:trPr>
        <w:tc>
          <w:tcPr>
            <w:tcW w:w="63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2,887</w:t>
            </w:r>
          </w:p>
        </w:tc>
        <w:tc>
          <w:tcPr>
            <w:tcW w:w="4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3,047</w:t>
            </w:r>
          </w:p>
        </w:tc>
      </w:tr>
      <w:tr>
        <w:trPr>
          <w:trHeight w:val="230"/>
        </w:trPr>
        <w:tc>
          <w:tcPr>
            <w:tcW w:w="6320" w:type="dxa"/>
            <w:vAlign w:val="bottom"/>
          </w:tcPr>
          <w:p>
            <w:pPr>
              <w:ind w:left="20"/>
              <w:spacing w:after="0"/>
              <w:rPr>
                <w:sz w:val="20"/>
                <w:szCs w:val="20"/>
                <w:color w:val="auto"/>
              </w:rPr>
            </w:pPr>
            <w:r>
              <w:rPr>
                <w:rFonts w:ascii="Arial" w:cs="Arial" w:eastAsia="Arial" w:hAnsi="Arial"/>
                <w:sz w:val="18"/>
                <w:szCs w:val="18"/>
                <w:color w:val="auto"/>
              </w:rPr>
              <w:t>Derivative trading instruments:</w:t>
            </w: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43"/>
        </w:trPr>
        <w:tc>
          <w:tcPr>
            <w:tcW w:w="6320" w:type="dxa"/>
            <w:vAlign w:val="bottom"/>
          </w:tcPr>
          <w:p>
            <w:pPr>
              <w:ind w:left="400"/>
              <w:spacing w:after="0"/>
              <w:rPr>
                <w:sz w:val="20"/>
                <w:szCs w:val="20"/>
                <w:color w:val="auto"/>
              </w:rPr>
            </w:pPr>
            <w:r>
              <w:rPr>
                <w:rFonts w:ascii="Arial" w:cs="Arial" w:eastAsia="Arial" w:hAnsi="Arial"/>
                <w:sz w:val="18"/>
                <w:szCs w:val="18"/>
                <w:color w:val="auto"/>
              </w:rPr>
              <w:t>Unrealized gains on swaps and forwards</w:t>
            </w:r>
          </w:p>
        </w:tc>
        <w:tc>
          <w:tcPr>
            <w:tcW w:w="340" w:type="dxa"/>
            <w:vAlign w:val="bottom"/>
          </w:tcPr>
          <w:p>
            <w:pPr>
              <w:spacing w:after="0"/>
              <w:rPr>
                <w:sz w:val="21"/>
                <w:szCs w:val="21"/>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2,264</w:t>
            </w:r>
          </w:p>
        </w:tc>
        <w:tc>
          <w:tcPr>
            <w:tcW w:w="460" w:type="dxa"/>
            <w:vAlign w:val="bottom"/>
          </w:tcPr>
          <w:p>
            <w:pPr>
              <w:spacing w:after="0"/>
              <w:rPr>
                <w:sz w:val="21"/>
                <w:szCs w:val="21"/>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2,389</w:t>
            </w:r>
          </w:p>
        </w:tc>
      </w:tr>
      <w:tr>
        <w:trPr>
          <w:trHeight w:val="257"/>
        </w:trPr>
        <w:tc>
          <w:tcPr>
            <w:tcW w:w="6320" w:type="dxa"/>
            <w:vAlign w:val="bottom"/>
          </w:tcPr>
          <w:p>
            <w:pPr>
              <w:ind w:left="400"/>
              <w:spacing w:after="0"/>
              <w:rPr>
                <w:sz w:val="20"/>
                <w:szCs w:val="20"/>
                <w:color w:val="auto"/>
              </w:rPr>
            </w:pPr>
            <w:r>
              <w:rPr>
                <w:rFonts w:ascii="Arial" w:cs="Arial" w:eastAsia="Arial" w:hAnsi="Arial"/>
                <w:sz w:val="18"/>
                <w:szCs w:val="18"/>
                <w:color w:val="auto"/>
              </w:rPr>
              <w:t>OTC commodity options purchased</w:t>
            </w: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1,103</w:t>
            </w:r>
          </w:p>
        </w:tc>
        <w:tc>
          <w:tcPr>
            <w:tcW w:w="4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1,679</w:t>
            </w:r>
          </w:p>
        </w:tc>
      </w:tr>
      <w:tr>
        <w:trPr>
          <w:trHeight w:val="230"/>
        </w:trPr>
        <w:tc>
          <w:tcPr>
            <w:tcW w:w="63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3,367</w:t>
            </w:r>
          </w:p>
        </w:tc>
        <w:tc>
          <w:tcPr>
            <w:tcW w:w="4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4,068</w:t>
            </w:r>
          </w:p>
        </w:tc>
      </w:tr>
      <w:tr>
        <w:trPr>
          <w:trHeight w:val="243"/>
        </w:trPr>
        <w:tc>
          <w:tcPr>
            <w:tcW w:w="6320" w:type="dxa"/>
            <w:vAlign w:val="bottom"/>
          </w:tcPr>
          <w:p>
            <w:pPr>
              <w:ind w:left="20"/>
              <w:spacing w:after="0"/>
              <w:rPr>
                <w:sz w:val="20"/>
                <w:szCs w:val="20"/>
                <w:color w:val="auto"/>
              </w:rPr>
            </w:pPr>
            <w:r>
              <w:rPr>
                <w:rFonts w:ascii="Arial" w:cs="Arial" w:eastAsia="Arial" w:hAnsi="Arial"/>
                <w:sz w:val="18"/>
                <w:szCs w:val="18"/>
                <w:color w:val="auto"/>
              </w:rPr>
              <w:t>Commodities owned</w:t>
            </w: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2,231</w:t>
            </w:r>
          </w:p>
        </w:tc>
        <w:tc>
          <w:tcPr>
            <w:tcW w:w="4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1,845</w:t>
            </w:r>
          </w:p>
        </w:tc>
      </w:tr>
      <w:tr>
        <w:trPr>
          <w:trHeight w:val="257"/>
        </w:trPr>
        <w:tc>
          <w:tcPr>
            <w:tcW w:w="6320" w:type="dxa"/>
            <w:vAlign w:val="bottom"/>
          </w:tcPr>
          <w:p>
            <w:pPr>
              <w:ind w:left="20"/>
              <w:spacing w:after="0"/>
              <w:rPr>
                <w:sz w:val="20"/>
                <w:szCs w:val="20"/>
                <w:color w:val="auto"/>
              </w:rPr>
            </w:pPr>
            <w:r>
              <w:rPr>
                <w:rFonts w:ascii="Arial" w:cs="Arial" w:eastAsia="Arial" w:hAnsi="Arial"/>
                <w:sz w:val="18"/>
                <w:szCs w:val="18"/>
                <w:color w:val="auto"/>
              </w:rPr>
              <w:t>Total trading assets</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8,485</w:t>
            </w:r>
          </w:p>
        </w:tc>
        <w:tc>
          <w:tcPr>
            <w:tcW w:w="4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8,960</w:t>
            </w:r>
          </w:p>
        </w:tc>
      </w:tr>
      <w:tr>
        <w:trPr>
          <w:trHeight w:val="473"/>
        </w:trPr>
        <w:tc>
          <w:tcPr>
            <w:tcW w:w="6320" w:type="dxa"/>
            <w:vAlign w:val="bottom"/>
          </w:tcPr>
          <w:p>
            <w:pPr>
              <w:ind w:left="20"/>
              <w:spacing w:after="0"/>
              <w:rPr>
                <w:sz w:val="20"/>
                <w:szCs w:val="20"/>
                <w:color w:val="auto"/>
              </w:rPr>
            </w:pPr>
            <w:r>
              <w:rPr>
                <w:rFonts w:ascii="Arial" w:cs="Arial" w:eastAsia="Arial" w:hAnsi="Arial"/>
                <w:sz w:val="18"/>
                <w:szCs w:val="18"/>
                <w:color w:val="auto"/>
              </w:rPr>
              <w:t>TRADING LIABILITIES</w:t>
            </w: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57"/>
        </w:trPr>
        <w:tc>
          <w:tcPr>
            <w:tcW w:w="6320" w:type="dxa"/>
            <w:vAlign w:val="bottom"/>
          </w:tcPr>
          <w:p>
            <w:pPr>
              <w:ind w:left="20"/>
              <w:spacing w:after="0"/>
              <w:rPr>
                <w:sz w:val="20"/>
                <w:szCs w:val="20"/>
                <w:color w:val="auto"/>
              </w:rPr>
            </w:pPr>
            <w:r>
              <w:rPr>
                <w:rFonts w:ascii="Arial" w:cs="Arial" w:eastAsia="Arial" w:hAnsi="Arial"/>
                <w:sz w:val="18"/>
                <w:szCs w:val="18"/>
                <w:color w:val="auto"/>
              </w:rPr>
              <w:t>Trading-related payables</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3,328</w:t>
            </w:r>
          </w:p>
        </w:tc>
        <w:tc>
          <w:tcPr>
            <w:tcW w:w="4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3,211</w:t>
            </w:r>
          </w:p>
        </w:tc>
      </w:tr>
      <w:tr>
        <w:trPr>
          <w:trHeight w:val="223"/>
        </w:trPr>
        <w:tc>
          <w:tcPr>
            <w:tcW w:w="6320" w:type="dxa"/>
            <w:vAlign w:val="bottom"/>
          </w:tcPr>
          <w:p>
            <w:pPr>
              <w:ind w:left="20"/>
              <w:spacing w:after="0"/>
              <w:rPr>
                <w:sz w:val="20"/>
                <w:szCs w:val="20"/>
                <w:color w:val="auto"/>
              </w:rPr>
            </w:pPr>
            <w:r>
              <w:rPr>
                <w:rFonts w:ascii="Arial" w:cs="Arial" w:eastAsia="Arial" w:hAnsi="Arial"/>
                <w:sz w:val="18"/>
                <w:szCs w:val="18"/>
                <w:color w:val="auto"/>
              </w:rPr>
              <w:t>Derivative trading instruments sold, not yet purchased:</w:t>
            </w: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57"/>
        </w:trPr>
        <w:tc>
          <w:tcPr>
            <w:tcW w:w="6320" w:type="dxa"/>
            <w:vAlign w:val="bottom"/>
          </w:tcPr>
          <w:p>
            <w:pPr>
              <w:ind w:left="400"/>
              <w:spacing w:after="0"/>
              <w:rPr>
                <w:sz w:val="20"/>
                <w:szCs w:val="20"/>
                <w:color w:val="auto"/>
              </w:rPr>
            </w:pPr>
            <w:r>
              <w:rPr>
                <w:rFonts w:ascii="Arial" w:cs="Arial" w:eastAsia="Arial" w:hAnsi="Arial"/>
                <w:sz w:val="18"/>
                <w:szCs w:val="18"/>
                <w:color w:val="auto"/>
              </w:rPr>
              <w:t>Unrealized losses on swaps and forwards</w:t>
            </w:r>
          </w:p>
        </w:tc>
        <w:tc>
          <w:tcPr>
            <w:tcW w:w="340" w:type="dxa"/>
            <w:vAlign w:val="bottom"/>
          </w:tcPr>
          <w:p>
            <w:pPr>
              <w:spacing w:after="0"/>
              <w:rPr>
                <w:sz w:val="22"/>
                <w:szCs w:val="22"/>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1,252</w:t>
            </w:r>
          </w:p>
        </w:tc>
        <w:tc>
          <w:tcPr>
            <w:tcW w:w="460" w:type="dxa"/>
            <w:vAlign w:val="bottom"/>
          </w:tcPr>
          <w:p>
            <w:pPr>
              <w:spacing w:after="0"/>
              <w:rPr>
                <w:sz w:val="22"/>
                <w:szCs w:val="22"/>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1,670</w:t>
            </w:r>
          </w:p>
        </w:tc>
      </w:tr>
      <w:tr>
        <w:trPr>
          <w:trHeight w:val="257"/>
        </w:trPr>
        <w:tc>
          <w:tcPr>
            <w:tcW w:w="6320" w:type="dxa"/>
            <w:vAlign w:val="bottom"/>
          </w:tcPr>
          <w:p>
            <w:pPr>
              <w:ind w:left="400"/>
              <w:spacing w:after="0"/>
              <w:rPr>
                <w:sz w:val="20"/>
                <w:szCs w:val="20"/>
                <w:color w:val="auto"/>
              </w:rPr>
            </w:pPr>
            <w:r>
              <w:rPr>
                <w:rFonts w:ascii="Arial" w:cs="Arial" w:eastAsia="Arial" w:hAnsi="Arial"/>
                <w:sz w:val="18"/>
                <w:szCs w:val="18"/>
                <w:color w:val="auto"/>
              </w:rPr>
              <w:t>OTC commodity options written</w:t>
            </w: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722</w:t>
            </w:r>
          </w:p>
        </w:tc>
        <w:tc>
          <w:tcPr>
            <w:tcW w:w="4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634</w:t>
            </w:r>
          </w:p>
        </w:tc>
      </w:tr>
      <w:tr>
        <w:trPr>
          <w:trHeight w:val="230"/>
        </w:trPr>
        <w:tc>
          <w:tcPr>
            <w:tcW w:w="63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1,974</w:t>
            </w:r>
          </w:p>
        </w:tc>
        <w:tc>
          <w:tcPr>
            <w:tcW w:w="4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2,304</w:t>
            </w:r>
          </w:p>
        </w:tc>
      </w:tr>
      <w:tr>
        <w:trPr>
          <w:trHeight w:val="243"/>
        </w:trPr>
        <w:tc>
          <w:tcPr>
            <w:tcW w:w="6320" w:type="dxa"/>
            <w:vAlign w:val="bottom"/>
          </w:tcPr>
          <w:p>
            <w:pPr>
              <w:ind w:left="20"/>
              <w:spacing w:after="0"/>
              <w:rPr>
                <w:sz w:val="20"/>
                <w:szCs w:val="20"/>
                <w:color w:val="auto"/>
              </w:rPr>
            </w:pPr>
            <w:r>
              <w:rPr>
                <w:rFonts w:ascii="Arial" w:cs="Arial" w:eastAsia="Arial" w:hAnsi="Arial"/>
                <w:sz w:val="18"/>
                <w:szCs w:val="18"/>
                <w:color w:val="auto"/>
              </w:rPr>
              <w:t>Commodities sold with agreement to repurchase</w:t>
            </w: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500</w:t>
            </w:r>
          </w:p>
        </w:tc>
        <w:tc>
          <w:tcPr>
            <w:tcW w:w="4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537</w:t>
            </w:r>
          </w:p>
        </w:tc>
      </w:tr>
      <w:tr>
        <w:trPr>
          <w:trHeight w:val="257"/>
        </w:trPr>
        <w:tc>
          <w:tcPr>
            <w:tcW w:w="6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trading liabilities</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5,802</w:t>
            </w:r>
          </w:p>
        </w:tc>
        <w:tc>
          <w:tcPr>
            <w:tcW w:w="4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6,052</w:t>
            </w:r>
          </w:p>
        </w:tc>
      </w:tr>
    </w:tbl>
    <w:p>
      <w:pPr>
        <w:spacing w:after="0" w:line="226" w:lineRule="exact"/>
        <w:rPr>
          <w:sz w:val="20"/>
          <w:szCs w:val="20"/>
          <w:color w:val="auto"/>
        </w:rPr>
      </w:pPr>
    </w:p>
    <w:p>
      <w:pPr>
        <w:ind w:right="260"/>
        <w:spacing w:after="0" w:line="260" w:lineRule="auto"/>
        <w:rPr>
          <w:sz w:val="20"/>
          <w:szCs w:val="20"/>
          <w:color w:val="auto"/>
        </w:rPr>
      </w:pPr>
      <w:r>
        <w:rPr>
          <w:rFonts w:ascii="Arial" w:cs="Arial" w:eastAsia="Arial" w:hAnsi="Arial"/>
          <w:sz w:val="20"/>
          <w:szCs w:val="20"/>
          <w:color w:val="auto"/>
        </w:rPr>
        <w:t>Based on quarterly measurements, the average fair values during 2007 for trading assets and liabilities were approximately $7.8 billion and $5.5 billion, respectively. For 2006, the amounts were $8.9 billion and $6.4 billion, respectively.</w:t>
      </w:r>
    </w:p>
    <w:p>
      <w:pPr>
        <w:spacing w:after="0" w:line="204" w:lineRule="exact"/>
        <w:rPr>
          <w:sz w:val="20"/>
          <w:szCs w:val="20"/>
          <w:color w:val="auto"/>
        </w:rPr>
      </w:pPr>
    </w:p>
    <w:p>
      <w:pPr>
        <w:ind w:right="160"/>
        <w:spacing w:after="0" w:line="246" w:lineRule="auto"/>
        <w:rPr>
          <w:sz w:val="20"/>
          <w:szCs w:val="20"/>
          <w:color w:val="auto"/>
        </w:rPr>
      </w:pPr>
      <w:r>
        <w:rPr>
          <w:rFonts w:ascii="Arial" w:cs="Arial" w:eastAsia="Arial" w:hAnsi="Arial"/>
          <w:sz w:val="20"/>
          <w:szCs w:val="20"/>
          <w:color w:val="auto"/>
        </w:rPr>
        <w:t>Sempra Commodities' credit risk from physical and financial instruments as of December 31, 2007 is represented by their positive fair value after consideration of collateral. Options written do not expose Sempra Commodities to credit risk. Exchange-traded futures and options are not deemed to have significant credit exposure since the exchanges guarantee that every contract will be properly settled on a daily basis. Credit risk is also associated with its retail customers.</w:t>
      </w:r>
    </w:p>
    <w:p>
      <w:pPr>
        <w:spacing w:after="0" w:line="21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following table summarizes the counterparty credit quality and exposure for Sempra Commodities, expressed in terms of net replacement value. These exposures are net of collateral in the form of customer margin and/or letters of credit of $1.6 billion and $1.9 billion at December 31, 2007 and 2006, respectively.</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color w:val="auto"/>
        </w:rPr>
        <w:t>97</w:t>
      </w:r>
    </w:p>
    <w:p>
      <w:pPr>
        <w:sectPr>
          <w:pgSz w:w="11900" w:h="16838" w:orient="portrait"/>
          <w:cols w:equalWidth="0" w:num="1">
            <w:col w:w="11280"/>
          </w:cols>
          <w:pgMar w:left="240" w:top="116" w:right="379" w:bottom="1440" w:gutter="0" w:footer="0" w:header="0"/>
        </w:sectPr>
      </w:pPr>
    </w:p>
    <w:bookmarkStart w:id="165" w:name="page166"/>
    <w:bookmarkEnd w:id="165"/>
    <w:tbl>
      <w:tblPr>
        <w:tblLayout w:type="fixed"/>
        <w:tblInd w:w="2000" w:type="dxa"/>
        <w:tblCellMar>
          <w:top w:w="0" w:type="dxa"/>
          <w:left w:w="0" w:type="dxa"/>
          <w:bottom w:w="0" w:type="dxa"/>
          <w:right w:w="0" w:type="dxa"/>
        </w:tblCellMar>
      </w:tblPr>
      <w:tr>
        <w:trPr>
          <w:trHeight w:val="237"/>
        </w:trPr>
        <w:tc>
          <w:tcPr>
            <w:tcW w:w="5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3"/>
          </w:tcPr>
          <w:p>
            <w:pPr>
              <w:jc w:val="right"/>
              <w:ind w:right="570"/>
              <w:spacing w:after="0"/>
              <w:rPr>
                <w:sz w:val="20"/>
                <w:szCs w:val="20"/>
                <w:color w:val="auto"/>
              </w:rPr>
            </w:pPr>
            <w:r>
              <w:rPr>
                <w:rFonts w:ascii="Arial" w:cs="Arial" w:eastAsia="Arial" w:hAnsi="Arial"/>
                <w:sz w:val="18"/>
                <w:szCs w:val="18"/>
                <w:color w:val="auto"/>
              </w:rPr>
              <w:t>December 31,</w:t>
            </w:r>
          </w:p>
        </w:tc>
      </w:tr>
      <w:tr>
        <w:trPr>
          <w:trHeight w:val="237"/>
        </w:trPr>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(Dollars in millions)</w:t>
            </w: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2007</w:t>
            </w:r>
          </w:p>
        </w:tc>
        <w:tc>
          <w:tcPr>
            <w:tcW w:w="4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2006</w:t>
            </w:r>
          </w:p>
        </w:tc>
      </w:tr>
      <w:tr>
        <w:trPr>
          <w:trHeight w:val="230"/>
        </w:trPr>
        <w:tc>
          <w:tcPr>
            <w:tcW w:w="5100" w:type="dxa"/>
            <w:vAlign w:val="bottom"/>
          </w:tcPr>
          <w:p>
            <w:pPr>
              <w:ind w:left="20"/>
              <w:spacing w:after="0"/>
              <w:rPr>
                <w:sz w:val="20"/>
                <w:szCs w:val="20"/>
                <w:color w:val="auto"/>
              </w:rPr>
            </w:pPr>
            <w:r>
              <w:rPr>
                <w:rFonts w:ascii="Arial" w:cs="Arial" w:eastAsia="Arial" w:hAnsi="Arial"/>
                <w:sz w:val="18"/>
                <w:szCs w:val="18"/>
                <w:color w:val="auto"/>
              </w:rPr>
              <w:t>Counterparty credit quality*</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42"/>
        </w:trPr>
        <w:tc>
          <w:tcPr>
            <w:tcW w:w="5100" w:type="dxa"/>
            <w:vAlign w:val="bottom"/>
          </w:tcPr>
          <w:p>
            <w:pPr>
              <w:ind w:left="460"/>
              <w:spacing w:after="0"/>
              <w:rPr>
                <w:sz w:val="20"/>
                <w:szCs w:val="20"/>
                <w:color w:val="auto"/>
              </w:rPr>
            </w:pPr>
            <w:r>
              <w:rPr>
                <w:rFonts w:ascii="Arial" w:cs="Arial" w:eastAsia="Arial" w:hAnsi="Arial"/>
                <w:sz w:val="18"/>
                <w:szCs w:val="18"/>
                <w:color w:val="auto"/>
              </w:rPr>
              <w:t>Commodity exchanges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50"/>
              <w:spacing w:after="0"/>
              <w:rPr>
                <w:sz w:val="20"/>
                <w:szCs w:val="20"/>
                <w:color w:val="auto"/>
              </w:rPr>
            </w:pPr>
            <w:r>
              <w:rPr>
                <w:rFonts w:ascii="Arial" w:cs="Arial" w:eastAsia="Arial" w:hAnsi="Arial"/>
                <w:sz w:val="18"/>
                <w:szCs w:val="18"/>
                <w:color w:val="auto"/>
              </w:rPr>
              <w:t>230</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437</w:t>
            </w:r>
          </w:p>
        </w:tc>
      </w:tr>
      <w:tr>
        <w:trPr>
          <w:trHeight w:val="243"/>
        </w:trPr>
        <w:tc>
          <w:tcPr>
            <w:tcW w:w="5100" w:type="dxa"/>
            <w:vAlign w:val="bottom"/>
          </w:tcPr>
          <w:p>
            <w:pPr>
              <w:ind w:left="460"/>
              <w:spacing w:after="0"/>
              <w:rPr>
                <w:sz w:val="20"/>
                <w:szCs w:val="20"/>
                <w:color w:val="auto"/>
              </w:rPr>
            </w:pPr>
            <w:r>
              <w:rPr>
                <w:rFonts w:ascii="Arial" w:cs="Arial" w:eastAsia="Arial" w:hAnsi="Arial"/>
                <w:sz w:val="18"/>
                <w:szCs w:val="18"/>
                <w:color w:val="auto"/>
              </w:rPr>
              <w:t>AAA</w:t>
            </w:r>
          </w:p>
        </w:tc>
        <w:tc>
          <w:tcPr>
            <w:tcW w:w="220" w:type="dxa"/>
            <w:vAlign w:val="bottom"/>
          </w:tcPr>
          <w:p>
            <w:pPr>
              <w:spacing w:after="0"/>
              <w:rPr>
                <w:sz w:val="21"/>
                <w:szCs w:val="21"/>
                <w:color w:val="auto"/>
              </w:rPr>
            </w:pPr>
          </w:p>
        </w:tc>
        <w:tc>
          <w:tcPr>
            <w:tcW w:w="920" w:type="dxa"/>
            <w:vAlign w:val="bottom"/>
          </w:tcPr>
          <w:p>
            <w:pPr>
              <w:jc w:val="right"/>
              <w:ind w:right="150"/>
              <w:spacing w:after="0"/>
              <w:rPr>
                <w:sz w:val="20"/>
                <w:szCs w:val="20"/>
                <w:color w:val="auto"/>
              </w:rPr>
            </w:pPr>
            <w:r>
              <w:rPr>
                <w:rFonts w:ascii="Arial" w:cs="Arial" w:eastAsia="Arial" w:hAnsi="Arial"/>
                <w:sz w:val="18"/>
                <w:szCs w:val="18"/>
                <w:color w:val="auto"/>
              </w:rPr>
              <w:t>13</w:t>
            </w:r>
          </w:p>
        </w:tc>
        <w:tc>
          <w:tcPr>
            <w:tcW w:w="4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43"/>
        </w:trPr>
        <w:tc>
          <w:tcPr>
            <w:tcW w:w="5100" w:type="dxa"/>
            <w:vAlign w:val="bottom"/>
          </w:tcPr>
          <w:p>
            <w:pPr>
              <w:ind w:left="460"/>
              <w:spacing w:after="0"/>
              <w:rPr>
                <w:sz w:val="20"/>
                <w:szCs w:val="20"/>
                <w:color w:val="auto"/>
              </w:rPr>
            </w:pPr>
            <w:r>
              <w:rPr>
                <w:rFonts w:ascii="Arial" w:cs="Arial" w:eastAsia="Arial" w:hAnsi="Arial"/>
                <w:sz w:val="18"/>
                <w:szCs w:val="18"/>
                <w:color w:val="auto"/>
              </w:rPr>
              <w:t>AA</w:t>
            </w:r>
          </w:p>
        </w:tc>
        <w:tc>
          <w:tcPr>
            <w:tcW w:w="220" w:type="dxa"/>
            <w:vAlign w:val="bottom"/>
          </w:tcPr>
          <w:p>
            <w:pPr>
              <w:spacing w:after="0"/>
              <w:rPr>
                <w:sz w:val="21"/>
                <w:szCs w:val="21"/>
                <w:color w:val="auto"/>
              </w:rPr>
            </w:pPr>
          </w:p>
        </w:tc>
        <w:tc>
          <w:tcPr>
            <w:tcW w:w="920" w:type="dxa"/>
            <w:vAlign w:val="bottom"/>
          </w:tcPr>
          <w:p>
            <w:pPr>
              <w:jc w:val="right"/>
              <w:ind w:right="150"/>
              <w:spacing w:after="0"/>
              <w:rPr>
                <w:sz w:val="20"/>
                <w:szCs w:val="20"/>
                <w:color w:val="auto"/>
              </w:rPr>
            </w:pPr>
            <w:r>
              <w:rPr>
                <w:rFonts w:ascii="Arial" w:cs="Arial" w:eastAsia="Arial" w:hAnsi="Arial"/>
                <w:sz w:val="18"/>
                <w:szCs w:val="18"/>
                <w:color w:val="auto"/>
              </w:rPr>
              <w:t>478</w:t>
            </w:r>
          </w:p>
        </w:tc>
        <w:tc>
          <w:tcPr>
            <w:tcW w:w="4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262</w:t>
            </w:r>
          </w:p>
        </w:tc>
      </w:tr>
      <w:tr>
        <w:trPr>
          <w:trHeight w:val="243"/>
        </w:trPr>
        <w:tc>
          <w:tcPr>
            <w:tcW w:w="5100" w:type="dxa"/>
            <w:vAlign w:val="bottom"/>
          </w:tcPr>
          <w:p>
            <w:pPr>
              <w:ind w:left="460"/>
              <w:spacing w:after="0"/>
              <w:rPr>
                <w:sz w:val="20"/>
                <w:szCs w:val="20"/>
                <w:color w:val="auto"/>
              </w:rPr>
            </w:pPr>
            <w:r>
              <w:rPr>
                <w:rFonts w:ascii="Arial" w:cs="Arial" w:eastAsia="Arial" w:hAnsi="Arial"/>
                <w:sz w:val="18"/>
                <w:szCs w:val="18"/>
                <w:color w:val="auto"/>
              </w:rPr>
              <w:t>A</w:t>
            </w:r>
          </w:p>
        </w:tc>
        <w:tc>
          <w:tcPr>
            <w:tcW w:w="220" w:type="dxa"/>
            <w:vAlign w:val="bottom"/>
          </w:tcPr>
          <w:p>
            <w:pPr>
              <w:spacing w:after="0"/>
              <w:rPr>
                <w:sz w:val="21"/>
                <w:szCs w:val="21"/>
                <w:color w:val="auto"/>
              </w:rPr>
            </w:pPr>
          </w:p>
        </w:tc>
        <w:tc>
          <w:tcPr>
            <w:tcW w:w="920" w:type="dxa"/>
            <w:vAlign w:val="bottom"/>
          </w:tcPr>
          <w:p>
            <w:pPr>
              <w:jc w:val="right"/>
              <w:ind w:right="150"/>
              <w:spacing w:after="0"/>
              <w:rPr>
                <w:sz w:val="20"/>
                <w:szCs w:val="20"/>
                <w:color w:val="auto"/>
              </w:rPr>
            </w:pPr>
            <w:r>
              <w:rPr>
                <w:rFonts w:ascii="Arial" w:cs="Arial" w:eastAsia="Arial" w:hAnsi="Arial"/>
                <w:sz w:val="18"/>
                <w:szCs w:val="18"/>
                <w:color w:val="auto"/>
              </w:rPr>
              <w:t>419</w:t>
            </w:r>
          </w:p>
        </w:tc>
        <w:tc>
          <w:tcPr>
            <w:tcW w:w="4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654</w:t>
            </w:r>
          </w:p>
        </w:tc>
      </w:tr>
      <w:tr>
        <w:trPr>
          <w:trHeight w:val="243"/>
        </w:trPr>
        <w:tc>
          <w:tcPr>
            <w:tcW w:w="5100" w:type="dxa"/>
            <w:vAlign w:val="bottom"/>
          </w:tcPr>
          <w:p>
            <w:pPr>
              <w:ind w:left="460"/>
              <w:spacing w:after="0"/>
              <w:rPr>
                <w:sz w:val="20"/>
                <w:szCs w:val="20"/>
                <w:color w:val="auto"/>
              </w:rPr>
            </w:pPr>
            <w:r>
              <w:rPr>
                <w:rFonts w:ascii="Arial" w:cs="Arial" w:eastAsia="Arial" w:hAnsi="Arial"/>
                <w:sz w:val="18"/>
                <w:szCs w:val="18"/>
                <w:color w:val="auto"/>
              </w:rPr>
              <w:t>BBB</w:t>
            </w:r>
          </w:p>
        </w:tc>
        <w:tc>
          <w:tcPr>
            <w:tcW w:w="220" w:type="dxa"/>
            <w:vAlign w:val="bottom"/>
          </w:tcPr>
          <w:p>
            <w:pPr>
              <w:spacing w:after="0"/>
              <w:rPr>
                <w:sz w:val="21"/>
                <w:szCs w:val="21"/>
                <w:color w:val="auto"/>
              </w:rPr>
            </w:pPr>
          </w:p>
        </w:tc>
        <w:tc>
          <w:tcPr>
            <w:tcW w:w="920" w:type="dxa"/>
            <w:vAlign w:val="bottom"/>
          </w:tcPr>
          <w:p>
            <w:pPr>
              <w:jc w:val="right"/>
              <w:ind w:right="150"/>
              <w:spacing w:after="0"/>
              <w:rPr>
                <w:sz w:val="20"/>
                <w:szCs w:val="20"/>
                <w:color w:val="auto"/>
              </w:rPr>
            </w:pPr>
            <w:r>
              <w:rPr>
                <w:rFonts w:ascii="Arial" w:cs="Arial" w:eastAsia="Arial" w:hAnsi="Arial"/>
                <w:sz w:val="18"/>
                <w:szCs w:val="18"/>
                <w:color w:val="auto"/>
              </w:rPr>
              <w:t>504</w:t>
            </w:r>
          </w:p>
        </w:tc>
        <w:tc>
          <w:tcPr>
            <w:tcW w:w="4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1,032</w:t>
            </w:r>
          </w:p>
        </w:tc>
      </w:tr>
      <w:tr>
        <w:trPr>
          <w:trHeight w:val="250"/>
        </w:trPr>
        <w:tc>
          <w:tcPr>
            <w:tcW w:w="5100" w:type="dxa"/>
            <w:vAlign w:val="bottom"/>
          </w:tcPr>
          <w:p>
            <w:pPr>
              <w:ind w:left="460"/>
              <w:spacing w:after="0"/>
              <w:rPr>
                <w:sz w:val="20"/>
                <w:szCs w:val="20"/>
                <w:color w:val="auto"/>
              </w:rPr>
            </w:pPr>
            <w:r>
              <w:rPr>
                <w:rFonts w:ascii="Arial" w:cs="Arial" w:eastAsia="Arial" w:hAnsi="Arial"/>
                <w:sz w:val="18"/>
                <w:szCs w:val="18"/>
                <w:color w:val="auto"/>
              </w:rPr>
              <w:t>Below investment grade or not rated</w:t>
            </w: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959</w:t>
            </w:r>
          </w:p>
        </w:tc>
        <w:tc>
          <w:tcPr>
            <w:tcW w:w="4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1,011</w:t>
            </w:r>
          </w:p>
        </w:tc>
      </w:tr>
      <w:tr>
        <w:trPr>
          <w:trHeight w:val="230"/>
        </w:trPr>
        <w:tc>
          <w:tcPr>
            <w:tcW w:w="5100" w:type="dxa"/>
            <w:vAlign w:val="bottom"/>
          </w:tcPr>
          <w:p>
            <w:pPr>
              <w:ind w:left="980"/>
              <w:spacing w:after="0"/>
              <w:rPr>
                <w:sz w:val="20"/>
                <w:szCs w:val="20"/>
                <w:color w:val="auto"/>
              </w:rPr>
            </w:pPr>
            <w:r>
              <w:rPr>
                <w:rFonts w:ascii="Arial" w:cs="Arial" w:eastAsia="Arial" w:hAnsi="Arial"/>
                <w:sz w:val="18"/>
                <w:szCs w:val="18"/>
                <w:color w:val="auto"/>
              </w:rPr>
              <w:t>Total</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50"/>
              <w:spacing w:after="0"/>
              <w:rPr>
                <w:sz w:val="20"/>
                <w:szCs w:val="20"/>
                <w:color w:val="auto"/>
              </w:rPr>
            </w:pPr>
            <w:r>
              <w:rPr>
                <w:rFonts w:ascii="Arial" w:cs="Arial" w:eastAsia="Arial" w:hAnsi="Arial"/>
                <w:sz w:val="18"/>
                <w:szCs w:val="18"/>
                <w:color w:val="auto"/>
              </w:rPr>
              <w:t>2,603</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3,415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1274445</wp:posOffset>
            </wp:positionH>
            <wp:positionV relativeFrom="paragraph">
              <wp:posOffset>8255</wp:posOffset>
            </wp:positionV>
            <wp:extent cx="470789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707890" cy="26035"/>
                    </a:xfrm>
                    <a:prstGeom prst="rect">
                      <a:avLst/>
                    </a:prstGeom>
                    <a:noFill/>
                  </pic:spPr>
                </pic:pic>
              </a:graphicData>
            </a:graphic>
          </wp:anchor>
        </w:drawing>
      </w:r>
    </w:p>
    <w:p>
      <w:pPr>
        <w:spacing w:after="0" w:line="32" w:lineRule="exact"/>
        <w:rPr>
          <w:sz w:val="20"/>
          <w:szCs w:val="20"/>
          <w:color w:val="auto"/>
        </w:rPr>
      </w:pPr>
    </w:p>
    <w:p>
      <w:pPr>
        <w:ind w:left="2260" w:right="2360" w:hanging="183"/>
        <w:spacing w:after="0" w:line="277" w:lineRule="auto"/>
        <w:tabs>
          <w:tab w:leader="none" w:pos="22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As determined by rating agencies or by internal models intended to approximate rating agency determinations.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Sempra Utilities</w:t>
      </w:r>
    </w:p>
    <w:p>
      <w:pPr>
        <w:spacing w:after="0" w:line="249" w:lineRule="exact"/>
        <w:rPr>
          <w:sz w:val="20"/>
          <w:szCs w:val="20"/>
          <w:color w:val="auto"/>
        </w:rPr>
      </w:pPr>
    </w:p>
    <w:p>
      <w:pPr>
        <w:spacing w:after="0" w:line="258" w:lineRule="auto"/>
        <w:rPr>
          <w:sz w:val="20"/>
          <w:szCs w:val="20"/>
          <w:color w:val="auto"/>
        </w:rPr>
      </w:pPr>
      <w:r>
        <w:rPr>
          <w:rFonts w:ascii="Arial" w:cs="Arial" w:eastAsia="Arial" w:hAnsi="Arial"/>
          <w:sz w:val="19"/>
          <w:szCs w:val="19"/>
          <w:color w:val="auto"/>
        </w:rPr>
        <w:t>At the Sempra Utilities, the use of derivative instruments is subject to certain limitations imposed by company policy and regulatory requirements. These instruments enable the company to estimate with greater certainty the effective prices to be received by the company and the prices to be charged to its customers. The Sempra Utilities record realized gains or losses on derivative instruments associated with transactions for electric energy and natural gas contracts in Cost of Electric Fuel and Purchased Power and Cost of Natural Gas, respectively, on the Statements of Consolidated Income. On the Consolidated Balance Sheets, the Sempra Utilities record corresponding regulatory assets and liabilities related to unrealized gains and losses from these derivative instruments to the extent derivative gains and losses associated with these derivative instruments will be payable or recoverable in future rates.</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Fair Value of Financial Instruments</w:t>
      </w:r>
    </w:p>
    <w:p>
      <w:pPr>
        <w:spacing w:after="0" w:line="249" w:lineRule="exact"/>
        <w:rPr>
          <w:sz w:val="20"/>
          <w:szCs w:val="20"/>
          <w:color w:val="auto"/>
        </w:rPr>
      </w:pPr>
    </w:p>
    <w:p>
      <w:pPr>
        <w:ind w:right="100"/>
        <w:spacing w:after="0" w:line="250" w:lineRule="auto"/>
        <w:rPr>
          <w:sz w:val="20"/>
          <w:szCs w:val="20"/>
          <w:color w:val="auto"/>
        </w:rPr>
      </w:pPr>
      <w:r>
        <w:rPr>
          <w:rFonts w:ascii="Arial" w:cs="Arial" w:eastAsia="Arial" w:hAnsi="Arial"/>
          <w:sz w:val="20"/>
          <w:szCs w:val="20"/>
          <w:color w:val="auto"/>
        </w:rPr>
        <w:t>The fair values of certain of the company's financial instruments (cash, temporary investments, notes receivable, dividends payable, short-term debt and customer deposits) approximate their carrying amounts. The following table provides the carrying amounts and fair values of the remaining financial instruments at December 31:</w:t>
      </w:r>
    </w:p>
    <w:p>
      <w:pPr>
        <w:spacing w:after="0" w:line="256" w:lineRule="exact"/>
        <w:rPr>
          <w:sz w:val="20"/>
          <w:szCs w:val="20"/>
          <w:color w:val="auto"/>
        </w:rPr>
      </w:pPr>
    </w:p>
    <w:tbl>
      <w:tblPr>
        <w:tblLayout w:type="fixed"/>
        <w:tblInd w:w="1260" w:type="dxa"/>
        <w:tblCellMar>
          <w:top w:w="0" w:type="dxa"/>
          <w:left w:w="0" w:type="dxa"/>
          <w:bottom w:w="0" w:type="dxa"/>
          <w:right w:w="0" w:type="dxa"/>
        </w:tblCellMar>
      </w:tblPr>
      <w:tr>
        <w:trPr>
          <w:trHeight w:val="237"/>
        </w:trPr>
        <w:tc>
          <w:tcPr>
            <w:tcW w:w="29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89"/>
              </w:rPr>
              <w:t>2007</w:t>
            </w:r>
          </w:p>
        </w:tc>
        <w:tc>
          <w:tcPr>
            <w:tcW w:w="660" w:type="dxa"/>
            <w:vAlign w:val="bottom"/>
            <w:tcBorders>
              <w:bottom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2006</w:t>
            </w:r>
          </w:p>
        </w:tc>
        <w:tc>
          <w:tcPr>
            <w:tcW w:w="920" w:type="dxa"/>
            <w:vAlign w:val="bottom"/>
            <w:tcBorders>
              <w:bottom w:val="single" w:sz="8" w:color="auto"/>
            </w:tcBorders>
          </w:tcPr>
          <w:p>
            <w:pPr>
              <w:spacing w:after="0"/>
              <w:rPr>
                <w:sz w:val="20"/>
                <w:szCs w:val="20"/>
                <w:color w:val="auto"/>
              </w:rPr>
            </w:pPr>
          </w:p>
        </w:tc>
      </w:tr>
      <w:tr>
        <w:trPr>
          <w:trHeight w:val="230"/>
        </w:trPr>
        <w:tc>
          <w:tcPr>
            <w:tcW w:w="2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Carrying</w:t>
            </w:r>
          </w:p>
        </w:tc>
        <w:tc>
          <w:tcPr>
            <w:tcW w:w="8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Fair</w:t>
            </w:r>
          </w:p>
        </w:tc>
        <w:tc>
          <w:tcPr>
            <w:tcW w:w="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Carrying</w:t>
            </w:r>
          </w:p>
        </w:tc>
        <w:tc>
          <w:tcPr>
            <w:tcW w:w="820" w:type="dxa"/>
            <w:vAlign w:val="bottom"/>
          </w:tcPr>
          <w:p>
            <w:pPr>
              <w:spacing w:after="0"/>
              <w:rPr>
                <w:sz w:val="20"/>
                <w:szCs w:val="20"/>
                <w:color w:val="auto"/>
              </w:rPr>
            </w:pP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Fair</w:t>
            </w:r>
          </w:p>
        </w:tc>
      </w:tr>
      <w:tr>
        <w:trPr>
          <w:trHeight w:val="249"/>
        </w:trPr>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(Dollars in millions)</w:t>
            </w:r>
          </w:p>
        </w:tc>
        <w:tc>
          <w:tcPr>
            <w:tcW w:w="3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Amount</w:t>
            </w:r>
          </w:p>
        </w:tc>
        <w:tc>
          <w:tcPr>
            <w:tcW w:w="8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Value</w:t>
            </w:r>
          </w:p>
        </w:tc>
        <w:tc>
          <w:tcPr>
            <w:tcW w:w="46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Amount</w:t>
            </w:r>
          </w:p>
        </w:tc>
        <w:tc>
          <w:tcPr>
            <w:tcW w:w="8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Value</w:t>
            </w:r>
          </w:p>
        </w:tc>
      </w:tr>
      <w:tr>
        <w:trPr>
          <w:trHeight w:val="230"/>
        </w:trPr>
        <w:tc>
          <w:tcPr>
            <w:tcW w:w="2900" w:type="dxa"/>
            <w:vAlign w:val="bottom"/>
          </w:tcPr>
          <w:p>
            <w:pPr>
              <w:ind w:left="20"/>
              <w:spacing w:after="0"/>
              <w:rPr>
                <w:sz w:val="20"/>
                <w:szCs w:val="20"/>
                <w:color w:val="auto"/>
              </w:rPr>
            </w:pPr>
            <w:r>
              <w:rPr>
                <w:rFonts w:ascii="Arial" w:cs="Arial" w:eastAsia="Arial" w:hAnsi="Arial"/>
                <w:sz w:val="18"/>
                <w:szCs w:val="18"/>
                <w:color w:val="auto"/>
              </w:rPr>
              <w:t>Investments in limited partnerships*</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61</w:t>
            </w:r>
          </w:p>
        </w:tc>
        <w:tc>
          <w:tcPr>
            <w:tcW w:w="8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84</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96</w:t>
            </w:r>
          </w:p>
        </w:tc>
        <w:tc>
          <w:tcPr>
            <w:tcW w:w="8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134</w:t>
            </w:r>
          </w:p>
        </w:tc>
      </w:tr>
      <w:tr>
        <w:trPr>
          <w:trHeight w:val="242"/>
        </w:trPr>
        <w:tc>
          <w:tcPr>
            <w:tcW w:w="2900" w:type="dxa"/>
            <w:vAlign w:val="bottom"/>
          </w:tcPr>
          <w:p>
            <w:pPr>
              <w:ind w:left="20"/>
              <w:spacing w:after="0"/>
              <w:rPr>
                <w:sz w:val="20"/>
                <w:szCs w:val="20"/>
                <w:color w:val="auto"/>
              </w:rPr>
            </w:pPr>
            <w:r>
              <w:rPr>
                <w:rFonts w:ascii="Arial" w:cs="Arial" w:eastAsia="Arial" w:hAnsi="Arial"/>
                <w:sz w:val="18"/>
                <w:szCs w:val="18"/>
                <w:color w:val="auto"/>
              </w:rPr>
              <w:t>Total long-term debt**</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4,566</w:t>
            </w:r>
          </w:p>
        </w:tc>
        <w:tc>
          <w:tcPr>
            <w:tcW w:w="8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4,620</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5,212</w:t>
            </w:r>
          </w:p>
        </w:tc>
        <w:tc>
          <w:tcPr>
            <w:tcW w:w="8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5,244</w:t>
            </w:r>
          </w:p>
        </w:tc>
      </w:tr>
      <w:tr>
        <w:trPr>
          <w:trHeight w:val="243"/>
        </w:trPr>
        <w:tc>
          <w:tcPr>
            <w:tcW w:w="2900" w:type="dxa"/>
            <w:vAlign w:val="bottom"/>
          </w:tcPr>
          <w:p>
            <w:pPr>
              <w:ind w:left="20"/>
              <w:spacing w:after="0"/>
              <w:rPr>
                <w:sz w:val="20"/>
                <w:szCs w:val="20"/>
                <w:color w:val="auto"/>
              </w:rPr>
            </w:pPr>
            <w:r>
              <w:rPr>
                <w:rFonts w:ascii="Arial" w:cs="Arial" w:eastAsia="Arial" w:hAnsi="Arial"/>
                <w:sz w:val="18"/>
                <w:szCs w:val="18"/>
                <w:color w:val="auto"/>
              </w:rPr>
              <w:t>Due to unconsolidated affiliates</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162</w:t>
            </w:r>
          </w:p>
        </w:tc>
        <w:tc>
          <w:tcPr>
            <w:tcW w:w="8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170</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162</w:t>
            </w:r>
          </w:p>
        </w:tc>
        <w:tc>
          <w:tcPr>
            <w:tcW w:w="8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169</w:t>
            </w:r>
          </w:p>
        </w:tc>
      </w:tr>
      <w:tr>
        <w:trPr>
          <w:trHeight w:val="243"/>
        </w:trPr>
        <w:tc>
          <w:tcPr>
            <w:tcW w:w="2900" w:type="dxa"/>
            <w:vAlign w:val="bottom"/>
          </w:tcPr>
          <w:p>
            <w:pPr>
              <w:ind w:left="20"/>
              <w:spacing w:after="0"/>
              <w:rPr>
                <w:sz w:val="20"/>
                <w:szCs w:val="20"/>
                <w:color w:val="auto"/>
              </w:rPr>
            </w:pPr>
            <w:r>
              <w:rPr>
                <w:rFonts w:ascii="Arial" w:cs="Arial" w:eastAsia="Arial" w:hAnsi="Arial"/>
                <w:sz w:val="18"/>
                <w:szCs w:val="18"/>
                <w:color w:val="auto"/>
              </w:rPr>
              <w:t>Preferred stock of subsidiaries***</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193</w:t>
            </w:r>
          </w:p>
        </w:tc>
        <w:tc>
          <w:tcPr>
            <w:tcW w:w="8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173</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196</w:t>
            </w:r>
          </w:p>
        </w:tc>
        <w:tc>
          <w:tcPr>
            <w:tcW w:w="8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186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8890</wp:posOffset>
            </wp:positionV>
            <wp:extent cx="565150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1500" cy="26035"/>
                    </a:xfrm>
                    <a:prstGeom prst="rect">
                      <a:avLst/>
                    </a:prstGeom>
                    <a:noFill/>
                  </pic:spPr>
                </pic:pic>
              </a:graphicData>
            </a:graphic>
          </wp:anchor>
        </w:drawing>
      </w:r>
    </w:p>
    <w:p>
      <w:pPr>
        <w:spacing w:after="0" w:line="33" w:lineRule="exact"/>
        <w:rPr>
          <w:sz w:val="20"/>
          <w:szCs w:val="20"/>
          <w:color w:val="auto"/>
        </w:rPr>
      </w:pPr>
    </w:p>
    <w:p>
      <w:pPr>
        <w:ind w:left="1620" w:hanging="108"/>
        <w:spacing w:after="0"/>
        <w:tabs>
          <w:tab w:leader="none" w:pos="16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See Note 4.</w:t>
      </w:r>
    </w:p>
    <w:p>
      <w:pPr>
        <w:spacing w:after="0" w:line="36" w:lineRule="exact"/>
        <w:rPr>
          <w:rFonts w:ascii="Arial" w:cs="Arial" w:eastAsia="Arial" w:hAnsi="Arial"/>
          <w:sz w:val="18"/>
          <w:szCs w:val="18"/>
          <w:color w:val="auto"/>
        </w:rPr>
      </w:pPr>
    </w:p>
    <w:p>
      <w:pPr>
        <w:ind w:left="1620" w:hanging="198"/>
        <w:spacing w:after="0"/>
        <w:tabs>
          <w:tab w:leader="none" w:pos="16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Before reductions for unamortized discount of $6 million at both December 31, 2007 and 2006.</w:t>
      </w:r>
    </w:p>
    <w:p>
      <w:pPr>
        <w:spacing w:after="0" w:line="36" w:lineRule="exact"/>
        <w:rPr>
          <w:rFonts w:ascii="Arial" w:cs="Arial" w:eastAsia="Arial" w:hAnsi="Arial"/>
          <w:sz w:val="18"/>
          <w:szCs w:val="18"/>
          <w:color w:val="auto"/>
        </w:rPr>
      </w:pPr>
    </w:p>
    <w:p>
      <w:pPr>
        <w:ind w:left="1620" w:right="1320" w:hanging="288"/>
        <w:spacing w:after="0" w:line="264" w:lineRule="auto"/>
        <w:tabs>
          <w:tab w:leader="none" w:pos="16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At December 31, 2007 and 2006, $14 million and $3 million, respectively, of mandatorily redeemable preferred stock of subsidiaries were included in Other Current Liabilities, and at December 31, 2006, $14 million was included in Deferred Credits and Other Liabilities on the Consolidated Balance Sheets.</w:t>
      </w:r>
    </w:p>
    <w:p>
      <w:pPr>
        <w:spacing w:after="0" w:line="219" w:lineRule="exact"/>
        <w:rPr>
          <w:sz w:val="20"/>
          <w:szCs w:val="20"/>
          <w:color w:val="auto"/>
        </w:rPr>
      </w:pPr>
    </w:p>
    <w:p>
      <w:pPr>
        <w:ind w:right="160"/>
        <w:spacing w:after="0" w:line="263" w:lineRule="auto"/>
        <w:rPr>
          <w:sz w:val="20"/>
          <w:szCs w:val="20"/>
          <w:color w:val="auto"/>
        </w:rPr>
      </w:pPr>
      <w:r>
        <w:rPr>
          <w:rFonts w:ascii="Arial" w:cs="Arial" w:eastAsia="Arial" w:hAnsi="Arial"/>
          <w:sz w:val="19"/>
          <w:szCs w:val="19"/>
          <w:color w:val="auto"/>
        </w:rPr>
        <w:t>The fair values of investments in limited partnerships were based on the present value of estimated future cash flows, discounted at rates available for similar investments. The fair values of debt incurred to acquire limited partnerships were estimated based on the present value of the future cash flows, discounted at rates available for similar notes with comparable maturities. The fair values of the other long-term debt and preferred stock were based on their quoted market prices or quoted market prices for similar securities.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0"/>
          <w:szCs w:val="20"/>
          <w:color w:val="auto"/>
        </w:rPr>
        <w:t>98</w:t>
      </w:r>
    </w:p>
    <w:p>
      <w:pPr>
        <w:sectPr>
          <w:pgSz w:w="11900" w:h="16838" w:orient="portrait"/>
          <w:cols w:equalWidth="0" w:num="1">
            <w:col w:w="11420"/>
          </w:cols>
          <w:pgMar w:left="240" w:top="409" w:right="239" w:bottom="1440" w:gutter="0" w:footer="0" w:header="0"/>
        </w:sectPr>
      </w:pPr>
    </w:p>
    <w:bookmarkStart w:id="166" w:name="page167"/>
    <w:bookmarkEnd w:id="166"/>
    <w:p>
      <w:pPr>
        <w:spacing w:after="0"/>
        <w:rPr>
          <w:sz w:val="20"/>
          <w:szCs w:val="20"/>
          <w:color w:val="auto"/>
        </w:rPr>
      </w:pPr>
      <w:r>
        <w:rPr>
          <w:rFonts w:ascii="Arial" w:cs="Arial" w:eastAsia="Arial" w:hAnsi="Arial"/>
          <w:sz w:val="20"/>
          <w:szCs w:val="20"/>
          <w:b w:val="1"/>
          <w:bCs w:val="1"/>
          <w:color w:val="auto"/>
        </w:rPr>
        <w:t>Adoption of SFAS 157</w:t>
      </w:r>
    </w:p>
    <w:p>
      <w:pPr>
        <w:spacing w:after="0" w:line="250" w:lineRule="exact"/>
        <w:rPr>
          <w:sz w:val="20"/>
          <w:szCs w:val="20"/>
          <w:color w:val="auto"/>
        </w:rPr>
      </w:pPr>
    </w:p>
    <w:p>
      <w:pPr>
        <w:ind w:right="720"/>
        <w:spacing w:after="0" w:line="260" w:lineRule="auto"/>
        <w:rPr>
          <w:sz w:val="20"/>
          <w:szCs w:val="20"/>
          <w:color w:val="auto"/>
        </w:rPr>
      </w:pPr>
      <w:r>
        <w:rPr>
          <w:rFonts w:ascii="Arial" w:cs="Arial" w:eastAsia="Arial" w:hAnsi="Arial"/>
          <w:sz w:val="20"/>
          <w:szCs w:val="20"/>
          <w:color w:val="auto"/>
        </w:rPr>
        <w:t>Effective January 1, 2007, the company early-adopted SFAS 157 as discussed in Note 2, which, among other things, requires enhanced disclosures about assets and liabilities carried at fair value.</w:t>
      </w:r>
    </w:p>
    <w:p>
      <w:pPr>
        <w:spacing w:after="0" w:line="204"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As defined in SFAS 157, fair value is the price that would be received to sell an asset or paid to transfer a liability in an orderly transaction between market participants at the measurement date (exit price). However, as permitted under SFAS 157, the company utilizes a mid-market pricing convention (the mid-point price between bid and ask prices) as a practical expedient for valuing the majority of its assets and liabilities measured and reported at fair value. The company utilizes market data or assumptions that market participants would use in pricing the asset or liability, including assumptions about risk and the risks inherent in the inputs to the valuation technique. These inputs can be readily observable, market corroborated, or generally unobservable. The company primarily applies the market approach for recurring fair value measurements and endeavors to utilize the best available information. Accordingly, the company utilizes valuation techn iques that maximize the use of observable inputs and minimize the use of unobservable inputs. The company is able to classify fair value balances based on the observability of those inputs. SFAS 157 establishes a fair value hierarchy that prioritizes the inputs used to measure fair value. The hierarchy gives the highest priority to unadjusted quoted prices in active markets for identical assets or liabilities (level 1 measurement) and the lowest priority to unobservable inputs (level 3 measurement). The three levels of the fair value hierarchy defined by SFAS 157 are as follows:</w:t>
      </w:r>
    </w:p>
    <w:p>
      <w:pPr>
        <w:spacing w:after="0" w:line="198" w:lineRule="exact"/>
        <w:rPr>
          <w:sz w:val="20"/>
          <w:szCs w:val="20"/>
          <w:color w:val="auto"/>
        </w:rPr>
      </w:pPr>
    </w:p>
    <w:p>
      <w:pPr>
        <w:ind w:left="660" w:right="420"/>
        <w:spacing w:after="0" w:line="246" w:lineRule="auto"/>
        <w:rPr>
          <w:sz w:val="20"/>
          <w:szCs w:val="20"/>
          <w:color w:val="auto"/>
        </w:rPr>
      </w:pPr>
      <w:r>
        <w:rPr>
          <w:rFonts w:ascii="Arial" w:cs="Arial" w:eastAsia="Arial" w:hAnsi="Arial"/>
          <w:sz w:val="20"/>
          <w:szCs w:val="20"/>
          <w:color w:val="auto"/>
        </w:rPr>
        <w:t>Level 1 – Quoted prices are available in active markets for identical assets or liabilities as of the reporting date. Active markets are those in which transactions for the asset or liability occur in sufficient frequency and volume to provide pricing information on an ongoing basis. Level 1 primarily consists of financial instruments such as exchange-traded derivatives, listed equities and U.S. government treasury securities.</w:t>
      </w:r>
    </w:p>
    <w:p>
      <w:pPr>
        <w:spacing w:after="0" w:line="219" w:lineRule="exact"/>
        <w:rPr>
          <w:sz w:val="20"/>
          <w:szCs w:val="20"/>
          <w:color w:val="auto"/>
        </w:rPr>
      </w:pPr>
    </w:p>
    <w:p>
      <w:pPr>
        <w:ind w:left="660" w:right="120"/>
        <w:spacing w:after="0" w:line="257" w:lineRule="auto"/>
        <w:rPr>
          <w:sz w:val="20"/>
          <w:szCs w:val="20"/>
          <w:color w:val="auto"/>
        </w:rPr>
      </w:pPr>
      <w:r>
        <w:rPr>
          <w:rFonts w:ascii="Arial" w:cs="Arial" w:eastAsia="Arial" w:hAnsi="Arial"/>
          <w:sz w:val="19"/>
          <w:szCs w:val="19"/>
          <w:color w:val="auto"/>
        </w:rPr>
        <w:t>Level 2 – Pricing inputs are other than quoted prices in active markets included in level 1, which are either directly or indirectly observable as of the reporting date. Level 2 includes those financial instruments that are valued using models or other valuation methodologies. These models are primarily industry-standard models that consider various assumptions, including quoted forward prices for commodities, time value, volatility factors, and current market and contractual prices for the underlying instruments, as well as other relevant economic measures. Substantially all of these assumptions are observable in the marketplace throughout the full term of the instrument, can be derived from observable data or are supported by observable levels at which transactions are executed in the marketplace. Instruments in this category include non-exchange-traded derivatives such as OTC forwards, options and repurchase agreements.</w:t>
      </w:r>
    </w:p>
    <w:p>
      <w:pPr>
        <w:spacing w:after="0" w:line="208" w:lineRule="exact"/>
        <w:rPr>
          <w:sz w:val="20"/>
          <w:szCs w:val="20"/>
          <w:color w:val="auto"/>
        </w:rPr>
      </w:pPr>
    </w:p>
    <w:p>
      <w:pPr>
        <w:jc w:val="both"/>
        <w:ind w:left="660" w:right="80"/>
        <w:spacing w:after="0" w:line="282" w:lineRule="auto"/>
        <w:rPr>
          <w:sz w:val="20"/>
          <w:szCs w:val="20"/>
          <w:color w:val="auto"/>
        </w:rPr>
      </w:pPr>
      <w:r>
        <w:rPr>
          <w:rFonts w:ascii="Arial" w:cs="Arial" w:eastAsia="Arial" w:hAnsi="Arial"/>
          <w:sz w:val="18"/>
          <w:szCs w:val="18"/>
          <w:color w:val="auto"/>
        </w:rPr>
        <w:t>Level 3 – Pricing inputs include significant inputs that are generally less observable from objective sources. These inputs may be used with internally developed methodologies that result in management’s best estimate of fair value. Level 3 instruments include those that may be more structured or otherwise tailored to customers’ needs. At each balance sheet date, the company performs an analysis of all instruments subject to SFAS 157 and includes in level 3 all of those whose fair value is based on significant unobservable inputs.</w:t>
      </w:r>
    </w:p>
    <w:p>
      <w:pPr>
        <w:spacing w:after="0" w:line="189" w:lineRule="exact"/>
        <w:rPr>
          <w:sz w:val="20"/>
          <w:szCs w:val="20"/>
          <w:color w:val="auto"/>
        </w:rPr>
      </w:pPr>
    </w:p>
    <w:p>
      <w:pPr>
        <w:ind w:right="40"/>
        <w:spacing w:after="0" w:line="244" w:lineRule="auto"/>
        <w:rPr>
          <w:sz w:val="20"/>
          <w:szCs w:val="20"/>
          <w:color w:val="auto"/>
        </w:rPr>
      </w:pPr>
      <w:r>
        <w:rPr>
          <w:rFonts w:ascii="Arial" w:cs="Arial" w:eastAsia="Arial" w:hAnsi="Arial"/>
          <w:sz w:val="20"/>
          <w:szCs w:val="20"/>
          <w:color w:val="auto"/>
        </w:rPr>
        <w:t>The following table sets forth by level within the fair value hierarchy the company's financial assets and liabilities that were accounted for at fair value on a recurring basis as of December 31, 2007. As required by SFAS 157, financial assets and liabilities are classified in their entirety based on the lowest level of input that is significant to the fair value measurement. The company's assessment of the significance of a particular input to the fair value measurement requires judgment, and may affect the valuation of fair value assets and liabilities and their placement within the fair value hierarchy levels.</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0"/>
          <w:szCs w:val="20"/>
          <w:color w:val="auto"/>
        </w:rPr>
        <w:t>99</w:t>
      </w:r>
    </w:p>
    <w:p>
      <w:pPr>
        <w:sectPr>
          <w:pgSz w:w="11900" w:h="16838" w:orient="portrait"/>
          <w:cols w:equalWidth="0" w:num="1">
            <w:col w:w="11420"/>
          </w:cols>
          <w:pgMar w:left="240" w:top="116" w:right="239" w:bottom="1440" w:gutter="0" w:footer="0" w:header="0"/>
        </w:sectPr>
      </w:pPr>
    </w:p>
    <w:bookmarkStart w:id="167" w:name="page168"/>
    <w:bookmarkEnd w:id="167"/>
    <w:tbl>
      <w:tblPr>
        <w:tblLayout w:type="fixed"/>
        <w:tblInd w:w="1040" w:type="dxa"/>
        <w:tblCellMar>
          <w:top w:w="0" w:type="dxa"/>
          <w:left w:w="0" w:type="dxa"/>
          <w:bottom w:w="0" w:type="dxa"/>
          <w:right w:w="0" w:type="dxa"/>
        </w:tblCellMar>
      </w:tblPr>
      <w:tr>
        <w:trPr>
          <w:trHeight w:val="244"/>
        </w:trPr>
        <w:tc>
          <w:tcPr>
            <w:tcW w:w="3680" w:type="dxa"/>
            <w:vAlign w:val="bottom"/>
          </w:tcPr>
          <w:p>
            <w:pPr>
              <w:spacing w:after="0"/>
              <w:rPr>
                <w:sz w:val="20"/>
                <w:szCs w:val="20"/>
                <w:color w:val="auto"/>
              </w:rPr>
            </w:pPr>
            <w:r>
              <w:rPr>
                <w:rFonts w:ascii="Arial" w:cs="Arial" w:eastAsia="Arial" w:hAnsi="Arial"/>
                <w:sz w:val="18"/>
                <w:szCs w:val="18"/>
                <w:color w:val="auto"/>
              </w:rPr>
              <w:t>Recurring Fair Value Measures</w:t>
            </w:r>
          </w:p>
        </w:tc>
        <w:tc>
          <w:tcPr>
            <w:tcW w:w="3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314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8"/>
                <w:szCs w:val="18"/>
                <w:color w:val="auto"/>
                <w:w w:val="97"/>
              </w:rPr>
              <w:t>At fair value as of December 31, 2007</w:t>
            </w:r>
          </w:p>
        </w:tc>
        <w:tc>
          <w:tcPr>
            <w:tcW w:w="3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r>
      <w:tr>
        <w:trPr>
          <w:trHeight w:val="230"/>
        </w:trPr>
        <w:tc>
          <w:tcPr>
            <w:tcW w:w="3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(Dollars in millions)</w:t>
            </w: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Level 1</w:t>
            </w:r>
          </w:p>
        </w:tc>
        <w:tc>
          <w:tcPr>
            <w:tcW w:w="4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Level 2</w:t>
            </w:r>
          </w:p>
        </w:tc>
        <w:tc>
          <w:tcPr>
            <w:tcW w:w="4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Level 3</w:t>
            </w:r>
          </w:p>
        </w:tc>
        <w:tc>
          <w:tcPr>
            <w:tcW w:w="3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Total</w:t>
            </w:r>
          </w:p>
        </w:tc>
      </w:t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Assets:</w:t>
            </w: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42"/>
        </w:trPr>
        <w:tc>
          <w:tcPr>
            <w:tcW w:w="3680" w:type="dxa"/>
            <w:vAlign w:val="bottom"/>
          </w:tcPr>
          <w:p>
            <w:pPr>
              <w:ind w:left="280"/>
              <w:spacing w:after="0"/>
              <w:rPr>
                <w:sz w:val="20"/>
                <w:szCs w:val="20"/>
                <w:color w:val="auto"/>
              </w:rPr>
            </w:pPr>
            <w:r>
              <w:rPr>
                <w:rFonts w:ascii="Arial" w:cs="Arial" w:eastAsia="Arial" w:hAnsi="Arial"/>
                <w:sz w:val="18"/>
                <w:szCs w:val="18"/>
                <w:color w:val="auto"/>
              </w:rPr>
              <w:t>Trading derivatives</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201</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70"/>
              <w:spacing w:after="0"/>
              <w:rPr>
                <w:sz w:val="20"/>
                <w:szCs w:val="20"/>
                <w:color w:val="auto"/>
              </w:rPr>
            </w:pPr>
            <w:r>
              <w:rPr>
                <w:rFonts w:ascii="Arial" w:cs="Arial" w:eastAsia="Arial" w:hAnsi="Arial"/>
                <w:sz w:val="18"/>
                <w:szCs w:val="18"/>
                <w:color w:val="auto"/>
              </w:rPr>
              <w:t>2,943</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70"/>
              <w:spacing w:after="0"/>
              <w:rPr>
                <w:sz w:val="20"/>
                <w:szCs w:val="20"/>
                <w:color w:val="auto"/>
              </w:rPr>
            </w:pPr>
            <w:r>
              <w:rPr>
                <w:rFonts w:ascii="Arial" w:cs="Arial" w:eastAsia="Arial" w:hAnsi="Arial"/>
                <w:sz w:val="18"/>
                <w:szCs w:val="18"/>
                <w:color w:val="auto"/>
              </w:rPr>
              <w:t>446</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70"/>
              <w:spacing w:after="0"/>
              <w:rPr>
                <w:sz w:val="20"/>
                <w:szCs w:val="20"/>
                <w:color w:val="auto"/>
              </w:rPr>
            </w:pPr>
            <w:r>
              <w:rPr>
                <w:rFonts w:ascii="Arial" w:cs="Arial" w:eastAsia="Arial" w:hAnsi="Arial"/>
                <w:sz w:val="18"/>
                <w:szCs w:val="18"/>
                <w:color w:val="auto"/>
              </w:rPr>
              <w:t>3,590</w:t>
            </w:r>
          </w:p>
        </w:tc>
      </w:tr>
      <w:tr>
        <w:trPr>
          <w:trHeight w:val="243"/>
        </w:trPr>
        <w:tc>
          <w:tcPr>
            <w:tcW w:w="3680" w:type="dxa"/>
            <w:vAlign w:val="bottom"/>
          </w:tcPr>
          <w:p>
            <w:pPr>
              <w:ind w:left="280"/>
              <w:spacing w:after="0"/>
              <w:rPr>
                <w:sz w:val="20"/>
                <w:szCs w:val="20"/>
                <w:color w:val="auto"/>
              </w:rPr>
            </w:pPr>
            <w:r>
              <w:rPr>
                <w:rFonts w:ascii="Arial" w:cs="Arial" w:eastAsia="Arial" w:hAnsi="Arial"/>
                <w:sz w:val="18"/>
                <w:szCs w:val="18"/>
                <w:color w:val="auto"/>
              </w:rPr>
              <w:t>Commodity trading inventories</w:t>
            </w:r>
          </w:p>
        </w:tc>
        <w:tc>
          <w:tcPr>
            <w:tcW w:w="320" w:type="dxa"/>
            <w:vAlign w:val="bottom"/>
          </w:tcPr>
          <w:p>
            <w:pPr>
              <w:spacing w:after="0"/>
              <w:rPr>
                <w:sz w:val="21"/>
                <w:szCs w:val="21"/>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060" w:type="dxa"/>
            <w:vAlign w:val="bottom"/>
          </w:tcPr>
          <w:p>
            <w:pPr>
              <w:jc w:val="right"/>
              <w:ind w:right="170"/>
              <w:spacing w:after="0"/>
              <w:rPr>
                <w:sz w:val="20"/>
                <w:szCs w:val="20"/>
                <w:color w:val="auto"/>
              </w:rPr>
            </w:pPr>
            <w:r>
              <w:rPr>
                <w:rFonts w:ascii="Arial" w:cs="Arial" w:eastAsia="Arial" w:hAnsi="Arial"/>
                <w:sz w:val="18"/>
                <w:szCs w:val="18"/>
                <w:color w:val="auto"/>
              </w:rPr>
              <w:t>2,177</w:t>
            </w:r>
          </w:p>
        </w:tc>
        <w:tc>
          <w:tcPr>
            <w:tcW w:w="440" w:type="dxa"/>
            <w:vAlign w:val="bottom"/>
          </w:tcPr>
          <w:p>
            <w:pPr>
              <w:spacing w:after="0"/>
              <w:rPr>
                <w:sz w:val="21"/>
                <w:szCs w:val="21"/>
                <w:color w:val="auto"/>
              </w:rPr>
            </w:pPr>
          </w:p>
        </w:tc>
        <w:tc>
          <w:tcPr>
            <w:tcW w:w="11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920" w:type="dxa"/>
            <w:vAlign w:val="bottom"/>
          </w:tcPr>
          <w:p>
            <w:pPr>
              <w:jc w:val="right"/>
              <w:ind w:right="170"/>
              <w:spacing w:after="0"/>
              <w:rPr>
                <w:sz w:val="20"/>
                <w:szCs w:val="20"/>
                <w:color w:val="auto"/>
              </w:rPr>
            </w:pPr>
            <w:r>
              <w:rPr>
                <w:rFonts w:ascii="Arial" w:cs="Arial" w:eastAsia="Arial" w:hAnsi="Arial"/>
                <w:sz w:val="18"/>
                <w:szCs w:val="18"/>
                <w:color w:val="auto"/>
              </w:rPr>
              <w:t>2,177</w:t>
            </w:r>
          </w:p>
        </w:tc>
      </w:tr>
      <w:tr>
        <w:trPr>
          <w:trHeight w:val="243"/>
        </w:trPr>
        <w:tc>
          <w:tcPr>
            <w:tcW w:w="3680" w:type="dxa"/>
            <w:vAlign w:val="bottom"/>
          </w:tcPr>
          <w:p>
            <w:pPr>
              <w:ind w:left="280"/>
              <w:spacing w:after="0"/>
              <w:rPr>
                <w:sz w:val="20"/>
                <w:szCs w:val="20"/>
                <w:color w:val="auto"/>
              </w:rPr>
            </w:pPr>
            <w:r>
              <w:rPr>
                <w:rFonts w:ascii="Arial" w:cs="Arial" w:eastAsia="Arial" w:hAnsi="Arial"/>
                <w:sz w:val="18"/>
                <w:szCs w:val="18"/>
                <w:color w:val="auto"/>
              </w:rPr>
              <w:t>Other derivatives</w:t>
            </w:r>
          </w:p>
        </w:tc>
        <w:tc>
          <w:tcPr>
            <w:tcW w:w="320" w:type="dxa"/>
            <w:vAlign w:val="bottom"/>
          </w:tcPr>
          <w:p>
            <w:pPr>
              <w:spacing w:after="0"/>
              <w:rPr>
                <w:sz w:val="21"/>
                <w:szCs w:val="21"/>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25</w:t>
            </w:r>
          </w:p>
        </w:tc>
        <w:tc>
          <w:tcPr>
            <w:tcW w:w="480" w:type="dxa"/>
            <w:vAlign w:val="bottom"/>
          </w:tcPr>
          <w:p>
            <w:pPr>
              <w:spacing w:after="0"/>
              <w:rPr>
                <w:sz w:val="21"/>
                <w:szCs w:val="21"/>
                <w:color w:val="auto"/>
              </w:rPr>
            </w:pPr>
          </w:p>
        </w:tc>
        <w:tc>
          <w:tcPr>
            <w:tcW w:w="1060" w:type="dxa"/>
            <w:vAlign w:val="bottom"/>
          </w:tcPr>
          <w:p>
            <w:pPr>
              <w:jc w:val="right"/>
              <w:ind w:right="170"/>
              <w:spacing w:after="0"/>
              <w:rPr>
                <w:sz w:val="20"/>
                <w:szCs w:val="20"/>
                <w:color w:val="auto"/>
              </w:rPr>
            </w:pPr>
            <w:r>
              <w:rPr>
                <w:rFonts w:ascii="Arial" w:cs="Arial" w:eastAsia="Arial" w:hAnsi="Arial"/>
                <w:sz w:val="18"/>
                <w:szCs w:val="18"/>
                <w:color w:val="auto"/>
              </w:rPr>
              <w:t>45</w:t>
            </w:r>
          </w:p>
        </w:tc>
        <w:tc>
          <w:tcPr>
            <w:tcW w:w="440" w:type="dxa"/>
            <w:vAlign w:val="bottom"/>
          </w:tcPr>
          <w:p>
            <w:pPr>
              <w:spacing w:after="0"/>
              <w:rPr>
                <w:sz w:val="21"/>
                <w:szCs w:val="21"/>
                <w:color w:val="auto"/>
              </w:rPr>
            </w:pPr>
          </w:p>
        </w:tc>
        <w:tc>
          <w:tcPr>
            <w:tcW w:w="1160" w:type="dxa"/>
            <w:vAlign w:val="bottom"/>
          </w:tcPr>
          <w:p>
            <w:pPr>
              <w:jc w:val="right"/>
              <w:ind w:right="270"/>
              <w:spacing w:after="0"/>
              <w:rPr>
                <w:sz w:val="20"/>
                <w:szCs w:val="20"/>
                <w:color w:val="auto"/>
              </w:rPr>
            </w:pPr>
            <w:r>
              <w:rPr>
                <w:rFonts w:ascii="Arial" w:cs="Arial" w:eastAsia="Arial" w:hAnsi="Arial"/>
                <w:sz w:val="18"/>
                <w:szCs w:val="18"/>
                <w:color w:val="auto"/>
              </w:rPr>
              <w:t>7</w:t>
            </w:r>
          </w:p>
        </w:tc>
        <w:tc>
          <w:tcPr>
            <w:tcW w:w="360" w:type="dxa"/>
            <w:vAlign w:val="bottom"/>
          </w:tcPr>
          <w:p>
            <w:pPr>
              <w:spacing w:after="0"/>
              <w:rPr>
                <w:sz w:val="21"/>
                <w:szCs w:val="21"/>
                <w:color w:val="auto"/>
              </w:rPr>
            </w:pPr>
          </w:p>
        </w:tc>
        <w:tc>
          <w:tcPr>
            <w:tcW w:w="920" w:type="dxa"/>
            <w:vAlign w:val="bottom"/>
          </w:tcPr>
          <w:p>
            <w:pPr>
              <w:jc w:val="right"/>
              <w:ind w:right="170"/>
              <w:spacing w:after="0"/>
              <w:rPr>
                <w:sz w:val="20"/>
                <w:szCs w:val="20"/>
                <w:color w:val="auto"/>
              </w:rPr>
            </w:pPr>
            <w:r>
              <w:rPr>
                <w:rFonts w:ascii="Arial" w:cs="Arial" w:eastAsia="Arial" w:hAnsi="Arial"/>
                <w:sz w:val="18"/>
                <w:szCs w:val="18"/>
                <w:color w:val="auto"/>
              </w:rPr>
              <w:t>77</w:t>
            </w:r>
          </w:p>
        </w:tc>
      </w:tr>
      <w:tr>
        <w:trPr>
          <w:trHeight w:val="243"/>
        </w:trPr>
        <w:tc>
          <w:tcPr>
            <w:tcW w:w="3680" w:type="dxa"/>
            <w:vAlign w:val="bottom"/>
          </w:tcPr>
          <w:p>
            <w:pPr>
              <w:ind w:left="280"/>
              <w:spacing w:after="0"/>
              <w:rPr>
                <w:sz w:val="20"/>
                <w:szCs w:val="20"/>
                <w:color w:val="auto"/>
              </w:rPr>
            </w:pPr>
            <w:r>
              <w:rPr>
                <w:rFonts w:ascii="Arial" w:cs="Arial" w:eastAsia="Arial" w:hAnsi="Arial"/>
                <w:sz w:val="18"/>
                <w:szCs w:val="18"/>
                <w:color w:val="auto"/>
              </w:rPr>
              <w:t>Nuclear decommissioning trusts</w:t>
            </w:r>
          </w:p>
        </w:tc>
        <w:tc>
          <w:tcPr>
            <w:tcW w:w="320" w:type="dxa"/>
            <w:vAlign w:val="bottom"/>
          </w:tcPr>
          <w:p>
            <w:pPr>
              <w:spacing w:after="0"/>
              <w:rPr>
                <w:sz w:val="21"/>
                <w:szCs w:val="21"/>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551</w:t>
            </w:r>
          </w:p>
        </w:tc>
        <w:tc>
          <w:tcPr>
            <w:tcW w:w="480" w:type="dxa"/>
            <w:vAlign w:val="bottom"/>
          </w:tcPr>
          <w:p>
            <w:pPr>
              <w:spacing w:after="0"/>
              <w:rPr>
                <w:sz w:val="21"/>
                <w:szCs w:val="21"/>
                <w:color w:val="auto"/>
              </w:rPr>
            </w:pPr>
          </w:p>
        </w:tc>
        <w:tc>
          <w:tcPr>
            <w:tcW w:w="1060" w:type="dxa"/>
            <w:vAlign w:val="bottom"/>
          </w:tcPr>
          <w:p>
            <w:pPr>
              <w:jc w:val="right"/>
              <w:ind w:right="170"/>
              <w:spacing w:after="0"/>
              <w:rPr>
                <w:sz w:val="20"/>
                <w:szCs w:val="20"/>
                <w:color w:val="auto"/>
              </w:rPr>
            </w:pPr>
            <w:r>
              <w:rPr>
                <w:rFonts w:ascii="Arial" w:cs="Arial" w:eastAsia="Arial" w:hAnsi="Arial"/>
                <w:sz w:val="18"/>
                <w:szCs w:val="18"/>
                <w:color w:val="auto"/>
              </w:rPr>
              <w:t>175</w:t>
            </w:r>
          </w:p>
        </w:tc>
        <w:tc>
          <w:tcPr>
            <w:tcW w:w="440" w:type="dxa"/>
            <w:vAlign w:val="bottom"/>
          </w:tcPr>
          <w:p>
            <w:pPr>
              <w:spacing w:after="0"/>
              <w:rPr>
                <w:sz w:val="21"/>
                <w:szCs w:val="21"/>
                <w:color w:val="auto"/>
              </w:rPr>
            </w:pPr>
          </w:p>
        </w:tc>
        <w:tc>
          <w:tcPr>
            <w:tcW w:w="11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920" w:type="dxa"/>
            <w:vAlign w:val="bottom"/>
          </w:tcPr>
          <w:p>
            <w:pPr>
              <w:jc w:val="right"/>
              <w:ind w:right="170"/>
              <w:spacing w:after="0"/>
              <w:rPr>
                <w:sz w:val="20"/>
                <w:szCs w:val="20"/>
                <w:color w:val="auto"/>
              </w:rPr>
            </w:pPr>
            <w:r>
              <w:rPr>
                <w:rFonts w:ascii="Arial" w:cs="Arial" w:eastAsia="Arial" w:hAnsi="Arial"/>
                <w:sz w:val="18"/>
                <w:szCs w:val="18"/>
                <w:color w:val="auto"/>
              </w:rPr>
              <w:t>726</w:t>
            </w:r>
          </w:p>
        </w:tc>
      </w:tr>
      <w:tr>
        <w:trPr>
          <w:trHeight w:val="257"/>
        </w:trPr>
        <w:tc>
          <w:tcPr>
            <w:tcW w:w="3680" w:type="dxa"/>
            <w:vAlign w:val="bottom"/>
          </w:tcPr>
          <w:p>
            <w:pPr>
              <w:ind w:left="28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86</w:t>
            </w:r>
          </w:p>
        </w:tc>
        <w:tc>
          <w:tcPr>
            <w:tcW w:w="4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6</w:t>
            </w:r>
          </w:p>
        </w:tc>
        <w:tc>
          <w:tcPr>
            <w:tcW w:w="4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7</w:t>
            </w:r>
          </w:p>
        </w:tc>
        <w:tc>
          <w:tcPr>
            <w:tcW w:w="3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99</w:t>
            </w:r>
          </w:p>
        </w:tc>
      </w:tr>
      <w:tr>
        <w:trPr>
          <w:trHeight w:val="257"/>
        </w:trPr>
        <w:tc>
          <w:tcPr>
            <w:tcW w:w="3680" w:type="dxa"/>
            <w:vAlign w:val="bottom"/>
          </w:tcPr>
          <w:p>
            <w:pPr>
              <w:ind w:left="28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863</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5,346</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460</w:t>
            </w:r>
          </w:p>
        </w:tc>
        <w:tc>
          <w:tcPr>
            <w:tcW w:w="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6,669</w:t>
            </w:r>
          </w:p>
        </w:tc>
      </w:tr>
      <w:tr>
        <w:trPr>
          <w:trHeight w:val="473"/>
        </w:trPr>
        <w:tc>
          <w:tcPr>
            <w:tcW w:w="3680" w:type="dxa"/>
            <w:vAlign w:val="bottom"/>
          </w:tcPr>
          <w:p>
            <w:pPr>
              <w:spacing w:after="0"/>
              <w:rPr>
                <w:sz w:val="20"/>
                <w:szCs w:val="20"/>
                <w:color w:val="auto"/>
              </w:rPr>
            </w:pPr>
            <w:r>
              <w:rPr>
                <w:rFonts w:ascii="Arial" w:cs="Arial" w:eastAsia="Arial" w:hAnsi="Arial"/>
                <w:sz w:val="18"/>
                <w:szCs w:val="18"/>
                <w:color w:val="auto"/>
              </w:rPr>
              <w:t>Liabilities:</w:t>
            </w: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43"/>
        </w:trPr>
        <w:tc>
          <w:tcPr>
            <w:tcW w:w="3680" w:type="dxa"/>
            <w:vAlign w:val="bottom"/>
          </w:tcPr>
          <w:p>
            <w:pPr>
              <w:ind w:left="280"/>
              <w:spacing w:after="0"/>
              <w:rPr>
                <w:sz w:val="20"/>
                <w:szCs w:val="20"/>
                <w:color w:val="auto"/>
              </w:rPr>
            </w:pPr>
            <w:r>
              <w:rPr>
                <w:rFonts w:ascii="Arial" w:cs="Arial" w:eastAsia="Arial" w:hAnsi="Arial"/>
                <w:sz w:val="18"/>
                <w:szCs w:val="18"/>
                <w:color w:val="auto"/>
              </w:rPr>
              <w:t>Trading derivatives</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200</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70"/>
              <w:spacing w:after="0"/>
              <w:rPr>
                <w:sz w:val="20"/>
                <w:szCs w:val="20"/>
                <w:color w:val="auto"/>
              </w:rPr>
            </w:pPr>
            <w:r>
              <w:rPr>
                <w:rFonts w:ascii="Arial" w:cs="Arial" w:eastAsia="Arial" w:hAnsi="Arial"/>
                <w:sz w:val="18"/>
                <w:szCs w:val="18"/>
                <w:color w:val="auto"/>
              </w:rPr>
              <w:t>2,116</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70"/>
              <w:spacing w:after="0"/>
              <w:rPr>
                <w:sz w:val="20"/>
                <w:szCs w:val="20"/>
                <w:color w:val="auto"/>
              </w:rPr>
            </w:pPr>
            <w:r>
              <w:rPr>
                <w:rFonts w:ascii="Arial" w:cs="Arial" w:eastAsia="Arial" w:hAnsi="Arial"/>
                <w:sz w:val="18"/>
                <w:szCs w:val="18"/>
                <w:color w:val="auto"/>
              </w:rPr>
              <w:t>59</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70"/>
              <w:spacing w:after="0"/>
              <w:rPr>
                <w:sz w:val="20"/>
                <w:szCs w:val="20"/>
                <w:color w:val="auto"/>
              </w:rPr>
            </w:pPr>
            <w:r>
              <w:rPr>
                <w:rFonts w:ascii="Arial" w:cs="Arial" w:eastAsia="Arial" w:hAnsi="Arial"/>
                <w:sz w:val="18"/>
                <w:szCs w:val="18"/>
                <w:color w:val="auto"/>
              </w:rPr>
              <w:t>2,375</w:t>
            </w:r>
          </w:p>
        </w:tc>
      </w:tr>
      <w:tr>
        <w:trPr>
          <w:trHeight w:val="257"/>
        </w:trPr>
        <w:tc>
          <w:tcPr>
            <w:tcW w:w="3680" w:type="dxa"/>
            <w:vAlign w:val="bottom"/>
          </w:tcPr>
          <w:p>
            <w:pPr>
              <w:ind w:left="280"/>
              <w:spacing w:after="0"/>
              <w:rPr>
                <w:sz w:val="20"/>
                <w:szCs w:val="20"/>
                <w:color w:val="auto"/>
              </w:rPr>
            </w:pPr>
            <w:r>
              <w:rPr>
                <w:rFonts w:ascii="Arial" w:cs="Arial" w:eastAsia="Arial" w:hAnsi="Arial"/>
                <w:sz w:val="18"/>
                <w:szCs w:val="18"/>
                <w:color w:val="auto"/>
              </w:rPr>
              <w:t>Other derivatives</w:t>
            </w: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9</w:t>
            </w:r>
          </w:p>
        </w:tc>
        <w:tc>
          <w:tcPr>
            <w:tcW w:w="4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32</w:t>
            </w:r>
          </w:p>
        </w:tc>
        <w:tc>
          <w:tcPr>
            <w:tcW w:w="4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41</w:t>
            </w:r>
          </w:p>
        </w:tc>
      </w:tr>
      <w:tr>
        <w:trPr>
          <w:trHeight w:val="257"/>
        </w:trPr>
        <w:tc>
          <w:tcPr>
            <w:tcW w:w="368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209</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2,148</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59</w:t>
            </w:r>
          </w:p>
        </w:tc>
        <w:tc>
          <w:tcPr>
            <w:tcW w:w="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2,416</w:t>
            </w:r>
          </w:p>
        </w:tc>
      </w:tr>
    </w:tbl>
    <w:p>
      <w:pPr>
        <w:spacing w:after="0" w:line="226"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color w:val="auto"/>
        </w:rPr>
        <w:t>Trading derivatives in the Recurring Fair Value Measures table above include OTC unrealized values related to swaps, forwards and options, as well as open, listed exchange transactions. However, exchange transactions, which are cash settled during the life of the transaction, are classified as part of Trading-related Receivables and Deposits, Net on the Consolidated Balance Sheets. The following table provides a reconciliation of these balances as of December 31, 2007.</w:t>
      </w:r>
    </w:p>
    <w:p>
      <w:pPr>
        <w:spacing w:after="0" w:line="262" w:lineRule="exact"/>
        <w:rPr>
          <w:sz w:val="20"/>
          <w:szCs w:val="20"/>
          <w:color w:val="auto"/>
        </w:rPr>
      </w:pPr>
    </w:p>
    <w:tbl>
      <w:tblPr>
        <w:tblLayout w:type="fixed"/>
        <w:tblInd w:w="1360" w:type="dxa"/>
        <w:tblCellMar>
          <w:top w:w="0" w:type="dxa"/>
          <w:left w:w="0" w:type="dxa"/>
          <w:bottom w:w="0" w:type="dxa"/>
          <w:right w:w="0" w:type="dxa"/>
        </w:tblCellMar>
      </w:tblPr>
      <w:tr>
        <w:trPr>
          <w:trHeight w:val="237"/>
        </w:trPr>
        <w:tc>
          <w:tcPr>
            <w:tcW w:w="5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300" w:type="dxa"/>
            <w:vAlign w:val="bottom"/>
            <w:tcBorders>
              <w:bottom w:val="single" w:sz="8" w:color="auto"/>
            </w:tcBorders>
            <w:gridSpan w:val="3"/>
          </w:tcPr>
          <w:p>
            <w:pPr>
              <w:jc w:val="right"/>
              <w:ind w:right="790"/>
              <w:spacing w:after="0"/>
              <w:rPr>
                <w:sz w:val="20"/>
                <w:szCs w:val="20"/>
                <w:color w:val="auto"/>
              </w:rPr>
            </w:pPr>
            <w:r>
              <w:rPr>
                <w:rFonts w:ascii="Arial" w:cs="Arial" w:eastAsia="Arial" w:hAnsi="Arial"/>
                <w:sz w:val="18"/>
                <w:szCs w:val="18"/>
                <w:color w:val="auto"/>
              </w:rPr>
              <w:t>As of December 31, 2007</w:t>
            </w:r>
          </w:p>
        </w:tc>
      </w:tr>
      <w:tr>
        <w:trPr>
          <w:trHeight w:val="237"/>
        </w:trPr>
        <w:tc>
          <w:tcPr>
            <w:tcW w:w="5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(Dollars in millions)</w:t>
            </w:r>
          </w:p>
        </w:tc>
        <w:tc>
          <w:tcPr>
            <w:tcW w:w="3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rPr>
              <w:t>Assets</w:t>
            </w:r>
          </w:p>
        </w:tc>
        <w:tc>
          <w:tcPr>
            <w:tcW w:w="7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Liabilities</w:t>
            </w: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Derivative trading instruments:</w:t>
            </w:r>
          </w:p>
        </w:tc>
        <w:tc>
          <w:tcPr>
            <w:tcW w:w="3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42"/>
        </w:trPr>
        <w:tc>
          <w:tcPr>
            <w:tcW w:w="5120" w:type="dxa"/>
            <w:vAlign w:val="bottom"/>
          </w:tcPr>
          <w:p>
            <w:pPr>
              <w:spacing w:after="0"/>
              <w:rPr>
                <w:sz w:val="20"/>
                <w:szCs w:val="20"/>
                <w:color w:val="auto"/>
              </w:rPr>
            </w:pPr>
            <w:r>
              <w:rPr>
                <w:rFonts w:ascii="Arial" w:cs="Arial" w:eastAsia="Arial" w:hAnsi="Arial"/>
                <w:sz w:val="18"/>
                <w:szCs w:val="18"/>
                <w:color w:val="auto"/>
              </w:rPr>
              <w:t>Per Consolidated Balance Sheet</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410"/>
              <w:spacing w:after="0"/>
              <w:rPr>
                <w:sz w:val="20"/>
                <w:szCs w:val="20"/>
                <w:color w:val="auto"/>
              </w:rPr>
            </w:pPr>
            <w:r>
              <w:rPr>
                <w:rFonts w:ascii="Arial" w:cs="Arial" w:eastAsia="Arial" w:hAnsi="Arial"/>
                <w:sz w:val="18"/>
                <w:szCs w:val="18"/>
                <w:color w:val="auto"/>
              </w:rPr>
              <w:t>3,367</w:t>
            </w: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1,974</w:t>
            </w:r>
          </w:p>
        </w:tc>
      </w:tr>
      <w:tr>
        <w:trPr>
          <w:trHeight w:val="257"/>
        </w:trPr>
        <w:tc>
          <w:tcPr>
            <w:tcW w:w="5120" w:type="dxa"/>
            <w:vAlign w:val="bottom"/>
          </w:tcPr>
          <w:p>
            <w:pPr>
              <w:spacing w:after="0"/>
              <w:rPr>
                <w:sz w:val="20"/>
                <w:szCs w:val="20"/>
                <w:color w:val="auto"/>
              </w:rPr>
            </w:pPr>
            <w:r>
              <w:rPr>
                <w:rFonts w:ascii="Arial" w:cs="Arial" w:eastAsia="Arial" w:hAnsi="Arial"/>
                <w:sz w:val="18"/>
                <w:szCs w:val="18"/>
                <w:color w:val="auto"/>
              </w:rPr>
              <w:t>Unrealized revenues for exchange contracts</w:t>
            </w:r>
          </w:p>
        </w:tc>
        <w:tc>
          <w:tcPr>
            <w:tcW w:w="3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223</w:t>
            </w:r>
          </w:p>
        </w:tc>
        <w:tc>
          <w:tcPr>
            <w:tcW w:w="7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401</w:t>
            </w:r>
          </w:p>
        </w:tc>
      </w:tr>
      <w:tr>
        <w:trPr>
          <w:trHeight w:val="257"/>
        </w:trPr>
        <w:tc>
          <w:tcPr>
            <w:tcW w:w="5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Per Recurring Fair Value Measures Table</w:t>
            </w:r>
          </w:p>
        </w:tc>
        <w:tc>
          <w:tcPr>
            <w:tcW w:w="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3,590</w:t>
            </w:r>
          </w:p>
        </w:tc>
        <w:tc>
          <w:tcPr>
            <w:tcW w:w="7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2,375</w:t>
            </w:r>
          </w:p>
        </w:tc>
      </w:tr>
    </w:tbl>
    <w:p>
      <w:pPr>
        <w:spacing w:after="0" w:line="226" w:lineRule="exact"/>
        <w:rPr>
          <w:sz w:val="20"/>
          <w:szCs w:val="20"/>
          <w:color w:val="auto"/>
        </w:rPr>
      </w:pPr>
    </w:p>
    <w:p>
      <w:pPr>
        <w:ind w:right="160"/>
        <w:spacing w:after="0" w:line="316" w:lineRule="auto"/>
        <w:rPr>
          <w:sz w:val="20"/>
          <w:szCs w:val="20"/>
          <w:color w:val="auto"/>
        </w:rPr>
      </w:pPr>
      <w:r>
        <w:rPr>
          <w:rFonts w:ascii="Arial" w:cs="Arial" w:eastAsia="Arial" w:hAnsi="Arial"/>
          <w:sz w:val="18"/>
          <w:szCs w:val="18"/>
          <w:color w:val="auto"/>
        </w:rPr>
        <w:t>The Recurring Fair Value Measures table above does not include certain commodity trading inventories that are carried on a lower-of-cost-or-market basis. The table does include a portion of commodity trading inventories for which fair value hedge accounting is applied.</w:t>
      </w:r>
    </w:p>
    <w:p>
      <w:pPr>
        <w:spacing w:after="0" w:line="200" w:lineRule="exact"/>
        <w:rPr>
          <w:sz w:val="20"/>
          <w:szCs w:val="20"/>
          <w:color w:val="auto"/>
        </w:rPr>
      </w:pPr>
    </w:p>
    <w:tbl>
      <w:tblPr>
        <w:tblLayout w:type="fixed"/>
        <w:tblInd w:w="1380" w:type="dxa"/>
        <w:tblCellMar>
          <w:top w:w="0" w:type="dxa"/>
          <w:left w:w="0" w:type="dxa"/>
          <w:bottom w:w="0" w:type="dxa"/>
          <w:right w:w="0" w:type="dxa"/>
        </w:tblCellMar>
      </w:tblPr>
      <w:tr>
        <w:trPr>
          <w:trHeight w:val="216"/>
        </w:trPr>
        <w:tc>
          <w:tcPr>
            <w:tcW w:w="7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color w:val="auto"/>
              </w:rPr>
              <w:t>As of</w:t>
            </w:r>
          </w:p>
        </w:tc>
      </w:tr>
      <w:tr>
        <w:trPr>
          <w:trHeight w:val="216"/>
        </w:trPr>
        <w:tc>
          <w:tcPr>
            <w:tcW w:w="7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ind w:right="190"/>
              <w:spacing w:after="0"/>
              <w:rPr>
                <w:sz w:val="20"/>
                <w:szCs w:val="20"/>
                <w:color w:val="auto"/>
              </w:rPr>
            </w:pPr>
            <w:r>
              <w:rPr>
                <w:rFonts w:ascii="Arial" w:cs="Arial" w:eastAsia="Arial" w:hAnsi="Arial"/>
                <w:sz w:val="18"/>
                <w:szCs w:val="18"/>
                <w:color w:val="auto"/>
                <w:w w:val="88"/>
              </w:rPr>
              <w:t>December 31,</w:t>
            </w:r>
          </w:p>
        </w:tc>
      </w:tr>
      <w:tr>
        <w:trPr>
          <w:trHeight w:val="237"/>
        </w:trPr>
        <w:tc>
          <w:tcPr>
            <w:tcW w:w="7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(Dollars in millions)</w:t>
            </w: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2007</w:t>
            </w:r>
          </w:p>
        </w:tc>
      </w:tr>
      <w:tr>
        <w:trPr>
          <w:trHeight w:val="230"/>
        </w:trPr>
        <w:tc>
          <w:tcPr>
            <w:tcW w:w="7160" w:type="dxa"/>
            <w:vAlign w:val="bottom"/>
          </w:tcPr>
          <w:p>
            <w:pPr>
              <w:spacing w:after="0"/>
              <w:rPr>
                <w:sz w:val="20"/>
                <w:szCs w:val="20"/>
                <w:color w:val="auto"/>
              </w:rPr>
            </w:pPr>
            <w:r>
              <w:rPr>
                <w:rFonts w:ascii="Arial" w:cs="Arial" w:eastAsia="Arial" w:hAnsi="Arial"/>
                <w:sz w:val="18"/>
                <w:szCs w:val="18"/>
                <w:color w:val="auto"/>
              </w:rPr>
              <w:t>Commodities owned:</w:t>
            </w: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42"/>
        </w:trPr>
        <w:tc>
          <w:tcPr>
            <w:tcW w:w="7160" w:type="dxa"/>
            <w:vAlign w:val="bottom"/>
          </w:tcPr>
          <w:p>
            <w:pPr>
              <w:spacing w:after="0"/>
              <w:rPr>
                <w:sz w:val="20"/>
                <w:szCs w:val="20"/>
                <w:color w:val="auto"/>
              </w:rPr>
            </w:pPr>
            <w:r>
              <w:rPr>
                <w:rFonts w:ascii="Arial" w:cs="Arial" w:eastAsia="Arial" w:hAnsi="Arial"/>
                <w:sz w:val="18"/>
                <w:szCs w:val="18"/>
                <w:color w:val="auto"/>
              </w:rPr>
              <w:t>Per Consolidated Balance Sheet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2,231</w:t>
            </w:r>
          </w:p>
        </w:tc>
      </w:tr>
      <w:tr>
        <w:trPr>
          <w:trHeight w:val="257"/>
        </w:trPr>
        <w:tc>
          <w:tcPr>
            <w:tcW w:w="7160" w:type="dxa"/>
            <w:vAlign w:val="bottom"/>
          </w:tcPr>
          <w:p>
            <w:pPr>
              <w:spacing w:after="0"/>
              <w:rPr>
                <w:sz w:val="20"/>
                <w:szCs w:val="20"/>
                <w:color w:val="auto"/>
              </w:rPr>
            </w:pPr>
            <w:r>
              <w:rPr>
                <w:rFonts w:ascii="Arial" w:cs="Arial" w:eastAsia="Arial" w:hAnsi="Arial"/>
                <w:sz w:val="18"/>
                <w:szCs w:val="18"/>
                <w:color w:val="auto"/>
              </w:rPr>
              <w:t>Less: Commodities owned, recorded at lower-of-cost-or-market</w:t>
            </w:r>
          </w:p>
        </w:tc>
        <w:tc>
          <w:tcPr>
            <w:tcW w:w="2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(54 )</w:t>
            </w:r>
          </w:p>
        </w:tc>
      </w:tr>
      <w:tr>
        <w:trPr>
          <w:trHeight w:val="257"/>
        </w:trPr>
        <w:tc>
          <w:tcPr>
            <w:tcW w:w="7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Per Recurring Fair Value Measures Table</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2,177</w:t>
            </w:r>
          </w:p>
        </w:tc>
      </w:tr>
    </w:tbl>
    <w:p>
      <w:pPr>
        <w:spacing w:after="0" w:line="226"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The determination of the fair values above incorporates various factors required under SFAS 157. These factors include not only the credit standing of the counterparties involved and the impact of credit enhancements (such as cash deposits, letters of credit and priority interests), but also the impact of the company’s nonperformance risk on its liabilities.</w:t>
      </w:r>
    </w:p>
    <w:p>
      <w:pPr>
        <w:spacing w:after="0" w:line="213" w:lineRule="exact"/>
        <w:rPr>
          <w:sz w:val="20"/>
          <w:szCs w:val="20"/>
          <w:color w:val="auto"/>
        </w:rPr>
      </w:pPr>
    </w:p>
    <w:p>
      <w:pPr>
        <w:ind w:right="180"/>
        <w:spacing w:after="0" w:line="260" w:lineRule="auto"/>
        <w:rPr>
          <w:sz w:val="20"/>
          <w:szCs w:val="20"/>
          <w:color w:val="auto"/>
        </w:rPr>
      </w:pPr>
      <w:r>
        <w:rPr>
          <w:rFonts w:ascii="Arial" w:cs="Arial" w:eastAsia="Arial" w:hAnsi="Arial"/>
          <w:sz w:val="19"/>
          <w:szCs w:val="19"/>
          <w:color w:val="auto"/>
        </w:rPr>
        <w:t>Trading derivatives and commodity trading inventories reflect positions held by Sempra Commodities. Trading derivatives include exchange-traded derivative contracts and OTC derivative contracts. Exchange-traded derivative contracts, which include futures and exchange-traded options, are generally based on unadjusted quoted prices in active markets and are classified within level 1. In addition, certain OTC-cleared options and swap contracts are included in level 1, as the fair values of these items are based on unadjusted quoted prices in active markets. Some exchange-traded derivatives are valued using broker</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0"/>
          <w:szCs w:val="20"/>
          <w:color w:val="auto"/>
        </w:rPr>
        <w:t>100</w:t>
      </w:r>
    </w:p>
    <w:p>
      <w:pPr>
        <w:sectPr>
          <w:pgSz w:w="11900" w:h="16838" w:orient="portrait"/>
          <w:cols w:equalWidth="0" w:num="1">
            <w:col w:w="11400"/>
          </w:cols>
          <w:pgMar w:left="240" w:top="409" w:right="259" w:bottom="1440" w:gutter="0" w:footer="0" w:header="0"/>
        </w:sectPr>
      </w:pPr>
    </w:p>
    <w:bookmarkStart w:id="168" w:name="page169"/>
    <w:bookmarkEnd w:id="168"/>
    <w:p>
      <w:pPr>
        <w:ind w:right="140"/>
        <w:spacing w:after="0" w:line="255" w:lineRule="auto"/>
        <w:rPr>
          <w:sz w:val="20"/>
          <w:szCs w:val="20"/>
          <w:color w:val="auto"/>
        </w:rPr>
      </w:pPr>
      <w:r>
        <w:rPr>
          <w:rFonts w:ascii="Arial" w:cs="Arial" w:eastAsia="Arial" w:hAnsi="Arial"/>
          <w:sz w:val="19"/>
          <w:szCs w:val="19"/>
          <w:color w:val="auto"/>
        </w:rPr>
        <w:t>or dealer quotations, or market transactions in either the listed or OTC markets. In such cases, these exchange-traded derivatives are classified within level 2. OTC derivative trading instruments include swaps, forwards, options and complex structures that are valued at fair value and may be offset with similar positions in exchange-traded markets. In certain instances, these instruments may utilize models to measure fair value. Generally, the company uses a similar model to value similar instruments. Valuation models utilize various inputs that include quoted prices for similar assets or liabilities in active markets, quoted prices for identical or similar assets or liabilities in markets that are not active, other observable inputs for the asset or liability, and market-corroborated inputs, i.e., inputs derived principally from or corroborated by observable market data by correlation or other means. Where observable inputs a re available for substantially the full term of the asset or liability, the instrument is categorized in level 2. Certain OTC derivatives trade in less active markets with a lower availability of pricing information. In addition, complex or structured transactions can introduce the need for internally-developed model inputs that might not be observable in or corroborated by the market. When such inputs have a significant impact on the measurement of fair value, the instrument is categorized in level 3.</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Nuclear decommissioning trusts reflect the assets of SDG&amp;E's nuclear decommissioning trusts, excluding cash balances, as discussed in Note</w:t>
      </w:r>
    </w:p>
    <w:p>
      <w:pPr>
        <w:spacing w:after="0" w:line="39" w:lineRule="exact"/>
        <w:rPr>
          <w:sz w:val="20"/>
          <w:szCs w:val="20"/>
          <w:color w:val="auto"/>
        </w:rPr>
      </w:pPr>
    </w:p>
    <w:p>
      <w:pPr>
        <w:ind w:right="100" w:firstLine="8"/>
        <w:spacing w:after="0" w:line="269" w:lineRule="auto"/>
        <w:tabs>
          <w:tab w:leader="none" w:pos="198" w:val="left"/>
        </w:tabs>
        <w:numPr>
          <w:ilvl w:val="0"/>
          <w:numId w:val="44"/>
        </w:numPr>
        <w:rPr>
          <w:rFonts w:ascii="Arial" w:cs="Arial" w:eastAsia="Arial" w:hAnsi="Arial"/>
          <w:sz w:val="19"/>
          <w:szCs w:val="19"/>
          <w:color w:val="auto"/>
        </w:rPr>
      </w:pPr>
      <w:r>
        <w:rPr>
          <w:rFonts w:ascii="Arial" w:cs="Arial" w:eastAsia="Arial" w:hAnsi="Arial"/>
          <w:sz w:val="19"/>
          <w:szCs w:val="19"/>
          <w:color w:val="auto"/>
        </w:rPr>
        <w:t>Other derivatives include commodity and other derivative positions entered into primarily by the Sempra Utilities to manage customer price exposures, as well as interest-rate management instruments. Other assets primarily represent marketable securities.</w:t>
      </w:r>
    </w:p>
    <w:p>
      <w:pPr>
        <w:spacing w:after="0" w:line="196" w:lineRule="exact"/>
        <w:rPr>
          <w:sz w:val="20"/>
          <w:szCs w:val="20"/>
          <w:color w:val="auto"/>
        </w:rPr>
      </w:pPr>
    </w:p>
    <w:p>
      <w:pPr>
        <w:ind w:right="340"/>
        <w:spacing w:after="0" w:line="260" w:lineRule="auto"/>
        <w:rPr>
          <w:sz w:val="20"/>
          <w:szCs w:val="20"/>
          <w:color w:val="auto"/>
        </w:rPr>
      </w:pPr>
      <w:r>
        <w:rPr>
          <w:rFonts w:ascii="Arial" w:cs="Arial" w:eastAsia="Arial" w:hAnsi="Arial"/>
          <w:sz w:val="20"/>
          <w:szCs w:val="20"/>
          <w:color w:val="auto"/>
        </w:rPr>
        <w:t>The following table sets forth a reconciliation primarily of changes in the fair value of net trading derivatives classified as level 3 in the fair value hierarchy:</w:t>
      </w:r>
    </w:p>
    <w:p>
      <w:pPr>
        <w:spacing w:after="0" w:line="247" w:lineRule="exact"/>
        <w:rPr>
          <w:sz w:val="20"/>
          <w:szCs w:val="20"/>
          <w:color w:val="auto"/>
        </w:rPr>
      </w:pPr>
    </w:p>
    <w:tbl>
      <w:tblPr>
        <w:tblLayout w:type="fixed"/>
        <w:tblInd w:w="2080" w:type="dxa"/>
        <w:tblCellMar>
          <w:top w:w="0" w:type="dxa"/>
          <w:left w:w="0" w:type="dxa"/>
          <w:bottom w:w="0" w:type="dxa"/>
          <w:right w:w="0" w:type="dxa"/>
        </w:tblCellMar>
      </w:tblPr>
      <w:tr>
        <w:trPr>
          <w:trHeight w:val="237"/>
        </w:trPr>
        <w:tc>
          <w:tcPr>
            <w:tcW w:w="6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(Dollars in millions)</w:t>
            </w: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2007</w:t>
            </w:r>
          </w:p>
        </w:tc>
      </w:tr>
      <w:tr>
        <w:trPr>
          <w:trHeight w:val="230"/>
        </w:trPr>
        <w:tc>
          <w:tcPr>
            <w:tcW w:w="6320" w:type="dxa"/>
            <w:vAlign w:val="bottom"/>
          </w:tcPr>
          <w:p>
            <w:pPr>
              <w:spacing w:after="0"/>
              <w:rPr>
                <w:sz w:val="20"/>
                <w:szCs w:val="20"/>
                <w:color w:val="auto"/>
              </w:rPr>
            </w:pPr>
            <w:r>
              <w:rPr>
                <w:rFonts w:ascii="Arial" w:cs="Arial" w:eastAsia="Arial" w:hAnsi="Arial"/>
                <w:sz w:val="18"/>
                <w:szCs w:val="18"/>
                <w:color w:val="auto"/>
              </w:rPr>
              <w:t>Balance as of January 1, 2007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10"/>
              <w:spacing w:after="0"/>
              <w:rPr>
                <w:sz w:val="20"/>
                <w:szCs w:val="20"/>
                <w:color w:val="auto"/>
              </w:rPr>
            </w:pPr>
            <w:r>
              <w:rPr>
                <w:rFonts w:ascii="Arial" w:cs="Arial" w:eastAsia="Arial" w:hAnsi="Arial"/>
                <w:sz w:val="18"/>
                <w:szCs w:val="18"/>
                <w:color w:val="auto"/>
              </w:rPr>
              <w:t>519</w:t>
            </w:r>
          </w:p>
        </w:tc>
      </w:tr>
      <w:tr>
        <w:trPr>
          <w:trHeight w:val="242"/>
        </w:trPr>
        <w:tc>
          <w:tcPr>
            <w:tcW w:w="6320" w:type="dxa"/>
            <w:vAlign w:val="bottom"/>
          </w:tcPr>
          <w:p>
            <w:pPr>
              <w:ind w:left="280"/>
              <w:spacing w:after="0"/>
              <w:rPr>
                <w:sz w:val="20"/>
                <w:szCs w:val="20"/>
                <w:color w:val="auto"/>
              </w:rPr>
            </w:pPr>
            <w:r>
              <w:rPr>
                <w:rFonts w:ascii="Arial" w:cs="Arial" w:eastAsia="Arial" w:hAnsi="Arial"/>
                <w:sz w:val="18"/>
                <w:szCs w:val="18"/>
                <w:color w:val="auto"/>
              </w:rPr>
              <w:t>Realized and unrealized gains (losses)</w:t>
            </w:r>
          </w:p>
        </w:tc>
        <w:tc>
          <w:tcPr>
            <w:tcW w:w="22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(272 )</w:t>
            </w:r>
          </w:p>
        </w:tc>
      </w:tr>
      <w:tr>
        <w:trPr>
          <w:trHeight w:val="250"/>
        </w:trPr>
        <w:tc>
          <w:tcPr>
            <w:tcW w:w="6320" w:type="dxa"/>
            <w:vAlign w:val="bottom"/>
          </w:tcPr>
          <w:p>
            <w:pPr>
              <w:ind w:left="280"/>
              <w:spacing w:after="0"/>
              <w:rPr>
                <w:sz w:val="20"/>
                <w:szCs w:val="20"/>
                <w:color w:val="auto"/>
              </w:rPr>
            </w:pPr>
            <w:r>
              <w:rPr>
                <w:rFonts w:ascii="Arial" w:cs="Arial" w:eastAsia="Arial" w:hAnsi="Arial"/>
                <w:sz w:val="18"/>
                <w:szCs w:val="18"/>
                <w:color w:val="auto"/>
              </w:rPr>
              <w:t>Purchases and issuances</w:t>
            </w:r>
          </w:p>
        </w:tc>
        <w:tc>
          <w:tcPr>
            <w:tcW w:w="2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154</w:t>
            </w:r>
          </w:p>
        </w:tc>
      </w:tr>
      <w:tr>
        <w:trPr>
          <w:trHeight w:val="264"/>
        </w:trPr>
        <w:tc>
          <w:tcPr>
            <w:tcW w:w="6320" w:type="dxa"/>
            <w:vAlign w:val="bottom"/>
          </w:tcPr>
          <w:p>
            <w:pPr>
              <w:spacing w:after="0"/>
              <w:rPr>
                <w:sz w:val="20"/>
                <w:szCs w:val="20"/>
                <w:color w:val="auto"/>
              </w:rPr>
            </w:pPr>
            <w:r>
              <w:rPr>
                <w:rFonts w:ascii="Arial" w:cs="Arial" w:eastAsia="Arial" w:hAnsi="Arial"/>
                <w:sz w:val="18"/>
                <w:szCs w:val="18"/>
                <w:color w:val="auto"/>
              </w:rPr>
              <w:t>Balance as of December 31, 2007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401</w:t>
            </w:r>
          </w:p>
        </w:tc>
      </w:tr>
      <w:tr>
        <w:trPr>
          <w:trHeight w:val="458"/>
        </w:trPr>
        <w:tc>
          <w:tcPr>
            <w:tcW w:w="6320" w:type="dxa"/>
            <w:vAlign w:val="bottom"/>
          </w:tcPr>
          <w:p>
            <w:pPr>
              <w:spacing w:after="0"/>
              <w:rPr>
                <w:sz w:val="20"/>
                <w:szCs w:val="20"/>
                <w:color w:val="auto"/>
              </w:rPr>
            </w:pPr>
            <w:r>
              <w:rPr>
                <w:rFonts w:ascii="Arial" w:cs="Arial" w:eastAsia="Arial" w:hAnsi="Arial"/>
                <w:sz w:val="18"/>
                <w:szCs w:val="18"/>
                <w:color w:val="auto"/>
              </w:rPr>
              <w:t>Change in unrealized gains (losses) relating to instruments</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64"/>
        </w:trPr>
        <w:tc>
          <w:tcPr>
            <w:tcW w:w="63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still held as of December 31, 2007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75</w:t>
            </w:r>
          </w:p>
        </w:tc>
      </w:tr>
    </w:tbl>
    <w:p>
      <w:pPr>
        <w:spacing w:after="0" w:line="226"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Gains and losses (realized and unrealized) for level 3 recurring items are included primarily in Operating Revenues for Sempra Global and Parent on the Statements of Consolidated Income. The company believes an analysis of instruments classified as level 3 should be undertaken with the understanding that these items are generally economically hedged as a portfolio with instruments that may be classified in levels 1 and</w:t>
      </w:r>
    </w:p>
    <w:p>
      <w:pPr>
        <w:spacing w:after="0" w:line="1" w:lineRule="exact"/>
        <w:rPr>
          <w:sz w:val="20"/>
          <w:szCs w:val="20"/>
          <w:color w:val="auto"/>
        </w:rPr>
      </w:pPr>
    </w:p>
    <w:p>
      <w:pPr>
        <w:ind w:right="20" w:firstLine="8"/>
        <w:spacing w:after="0" w:line="241" w:lineRule="auto"/>
        <w:tabs>
          <w:tab w:leader="none" w:pos="198" w:val="left"/>
        </w:tabs>
        <w:numPr>
          <w:ilvl w:val="0"/>
          <w:numId w:val="45"/>
        </w:numPr>
        <w:rPr>
          <w:rFonts w:ascii="Arial" w:cs="Arial" w:eastAsia="Arial" w:hAnsi="Arial"/>
          <w:sz w:val="20"/>
          <w:szCs w:val="20"/>
          <w:color w:val="auto"/>
        </w:rPr>
      </w:pPr>
      <w:r>
        <w:rPr>
          <w:rFonts w:ascii="Arial" w:cs="Arial" w:eastAsia="Arial" w:hAnsi="Arial"/>
          <w:sz w:val="20"/>
          <w:szCs w:val="20"/>
          <w:color w:val="auto"/>
        </w:rPr>
        <w:t>Accordingly, gains or losses associated with level 3 balances may not necessarily reflect trends occurring in the underlying business. Further, unrealized gains and losses for the period from level 3 items are often offset by unrealized gains and losses on positions classified in level 1 or 2, as well as positions that have been realized during the period.</w:t>
      </w:r>
    </w:p>
    <w:p>
      <w:pPr>
        <w:spacing w:after="0" w:line="223" w:lineRule="exact"/>
        <w:rPr>
          <w:sz w:val="20"/>
          <w:szCs w:val="20"/>
          <w:color w:val="auto"/>
        </w:rPr>
      </w:pPr>
    </w:p>
    <w:p>
      <w:pPr>
        <w:spacing w:after="0" w:line="269" w:lineRule="auto"/>
        <w:rPr>
          <w:sz w:val="20"/>
          <w:szCs w:val="20"/>
          <w:color w:val="auto"/>
        </w:rPr>
      </w:pPr>
      <w:r>
        <w:rPr>
          <w:rFonts w:ascii="Arial" w:cs="Arial" w:eastAsia="Arial" w:hAnsi="Arial"/>
          <w:sz w:val="19"/>
          <w:szCs w:val="19"/>
          <w:color w:val="auto"/>
        </w:rPr>
        <w:t>Transfers in and/or out of level 3 represent existing assets or liabilities that were either previously categorized as a higher level for which the inputs to the model became unobservable or assets and liabilities that were previously classified as level 3 for which the lowest significant input became observable during the period. There were no transfers in or out of level 3 during the period.</w:t>
      </w:r>
    </w:p>
    <w:p>
      <w:pPr>
        <w:spacing w:after="0" w:line="197" w:lineRule="exact"/>
        <w:rPr>
          <w:sz w:val="20"/>
          <w:szCs w:val="20"/>
          <w:color w:val="auto"/>
        </w:rPr>
      </w:pPr>
    </w:p>
    <w:p>
      <w:pPr>
        <w:ind w:right="160"/>
        <w:spacing w:after="0" w:line="291" w:lineRule="auto"/>
        <w:rPr>
          <w:sz w:val="20"/>
          <w:szCs w:val="20"/>
          <w:color w:val="auto"/>
        </w:rPr>
      </w:pPr>
      <w:r>
        <w:rPr>
          <w:rFonts w:ascii="Arial" w:cs="Arial" w:eastAsia="Arial" w:hAnsi="Arial"/>
          <w:sz w:val="18"/>
          <w:szCs w:val="18"/>
          <w:color w:val="auto"/>
        </w:rPr>
        <w:t>During the third quarter of 2007, the California Independent System Operator (ISO) began the process of allocating congestion revenue rights (CRRs) to load serving entities, including SDG&amp;E. These instruments are considered derivatives and are recorded at fair value based on discounted cash flows. They are classified as level 3 and reflected in the table above. As of December 31, 2007, changes in the</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101</w:t>
      </w:r>
    </w:p>
    <w:p>
      <w:pPr>
        <w:sectPr>
          <w:pgSz w:w="11900" w:h="16838" w:orient="portrait"/>
          <w:cols w:equalWidth="0" w:num="1">
            <w:col w:w="11400"/>
          </w:cols>
          <w:pgMar w:left="240" w:top="122" w:right="259" w:bottom="1440" w:gutter="0" w:footer="0" w:header="0"/>
        </w:sectPr>
      </w:pPr>
    </w:p>
    <w:bookmarkStart w:id="169" w:name="page170"/>
    <w:bookmarkEnd w:id="169"/>
    <w:p>
      <w:pPr>
        <w:ind w:right="500"/>
        <w:spacing w:after="0" w:line="262" w:lineRule="auto"/>
        <w:rPr>
          <w:sz w:val="20"/>
          <w:szCs w:val="20"/>
          <w:color w:val="auto"/>
        </w:rPr>
      </w:pPr>
      <w:r>
        <w:rPr>
          <w:rFonts w:ascii="Arial" w:cs="Arial" w:eastAsia="Arial" w:hAnsi="Arial"/>
          <w:sz w:val="20"/>
          <w:szCs w:val="20"/>
          <w:color w:val="auto"/>
        </w:rPr>
        <w:t>fair value of CRRs, which are valued at $7 million, will be deferred and recorded in regulatory accounts to the extent they are recoverable through rates.</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12. PREFERRED STOCK OF SUBSIDIARIES</w:t>
      </w:r>
    </w:p>
    <w:p>
      <w:pPr>
        <w:spacing w:after="0" w:line="292" w:lineRule="exact"/>
        <w:rPr>
          <w:sz w:val="20"/>
          <w:szCs w:val="20"/>
          <w:color w:val="auto"/>
        </w:rPr>
      </w:pPr>
    </w:p>
    <w:tbl>
      <w:tblPr>
        <w:tblLayout w:type="fixed"/>
        <w:tblInd w:w="1700" w:type="dxa"/>
        <w:tblCellMar>
          <w:top w:w="0" w:type="dxa"/>
          <w:left w:w="0" w:type="dxa"/>
          <w:bottom w:w="0" w:type="dxa"/>
          <w:right w:w="0" w:type="dxa"/>
        </w:tblCellMar>
      </w:tblPr>
      <w:tr>
        <w:trPr>
          <w:trHeight w:val="230"/>
        </w:trPr>
        <w:tc>
          <w:tcPr>
            <w:tcW w:w="5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Call/</w:t>
            </w: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257"/>
        </w:trPr>
        <w:tc>
          <w:tcPr>
            <w:tcW w:w="53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Redemption</w:t>
            </w: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8"/>
                <w:szCs w:val="18"/>
                <w:color w:val="auto"/>
                <w:w w:val="91"/>
              </w:rPr>
              <w:t>December 31,</w:t>
            </w:r>
          </w:p>
        </w:tc>
      </w:tr>
      <w:tr>
        <w:trPr>
          <w:trHeight w:val="230"/>
        </w:trPr>
        <w:tc>
          <w:tcPr>
            <w:tcW w:w="5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Price</w:t>
            </w:r>
          </w:p>
        </w:tc>
        <w:tc>
          <w:tcPr>
            <w:tcW w:w="84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8"/>
                <w:szCs w:val="18"/>
                <w:color w:val="auto"/>
              </w:rPr>
              <w:t>2007</w:t>
            </w:r>
          </w:p>
        </w:tc>
        <w:tc>
          <w:tcPr>
            <w:tcW w:w="1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84"/>
              </w:rPr>
              <w:t>2006</w:t>
            </w:r>
          </w:p>
        </w:tc>
      </w:tr>
      <w:tr>
        <w:trPr>
          <w:trHeight w:val="230"/>
        </w:trPr>
        <w:tc>
          <w:tcPr>
            <w:tcW w:w="5300" w:type="dxa"/>
            <w:vAlign w:val="bottom"/>
          </w:tcPr>
          <w:p>
            <w:pPr>
              <w:ind w:left="20"/>
              <w:spacing w:after="0"/>
              <w:rPr>
                <w:sz w:val="20"/>
                <w:szCs w:val="20"/>
                <w:color w:val="auto"/>
              </w:rPr>
            </w:pPr>
            <w:r>
              <w:rPr>
                <w:rFonts w:ascii="Arial" w:cs="Arial" w:eastAsia="Arial" w:hAnsi="Arial"/>
                <w:sz w:val="18"/>
                <w:szCs w:val="18"/>
                <w:color w:val="auto"/>
              </w:rPr>
              <w:t>Not subject to mandatory redemption:</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gridSpan w:val="3"/>
          </w:tcPr>
          <w:p>
            <w:pPr>
              <w:jc w:val="right"/>
              <w:ind w:right="150"/>
              <w:spacing w:after="0"/>
              <w:rPr>
                <w:sz w:val="20"/>
                <w:szCs w:val="20"/>
                <w:color w:val="auto"/>
              </w:rPr>
            </w:pPr>
            <w:r>
              <w:rPr>
                <w:rFonts w:ascii="Arial" w:cs="Arial" w:eastAsia="Arial" w:hAnsi="Arial"/>
                <w:sz w:val="18"/>
                <w:szCs w:val="18"/>
                <w:color w:val="auto"/>
              </w:rPr>
              <w:t>(in millions)</w:t>
            </w:r>
          </w:p>
        </w:tc>
      </w:tr>
      <w:tr>
        <w:trPr>
          <w:trHeight w:val="242"/>
        </w:trPr>
        <w:tc>
          <w:tcPr>
            <w:tcW w:w="5300" w:type="dxa"/>
            <w:vAlign w:val="bottom"/>
          </w:tcPr>
          <w:p>
            <w:pPr>
              <w:ind w:left="300"/>
              <w:spacing w:after="0"/>
              <w:rPr>
                <w:sz w:val="20"/>
                <w:szCs w:val="20"/>
                <w:color w:val="auto"/>
              </w:rPr>
            </w:pPr>
            <w:r>
              <w:rPr>
                <w:rFonts w:ascii="Arial" w:cs="Arial" w:eastAsia="Arial" w:hAnsi="Arial"/>
                <w:sz w:val="18"/>
                <w:szCs w:val="18"/>
                <w:color w:val="auto"/>
              </w:rPr>
              <w:t>Pacific Enterprises:</w:t>
            </w:r>
          </w:p>
        </w:tc>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r>
      <w:tr>
        <w:trPr>
          <w:trHeight w:val="243"/>
        </w:trPr>
        <w:tc>
          <w:tcPr>
            <w:tcW w:w="5300" w:type="dxa"/>
            <w:vAlign w:val="bottom"/>
          </w:tcPr>
          <w:p>
            <w:pPr>
              <w:ind w:left="520"/>
              <w:spacing w:after="0"/>
              <w:rPr>
                <w:sz w:val="20"/>
                <w:szCs w:val="20"/>
                <w:color w:val="auto"/>
              </w:rPr>
            </w:pPr>
            <w:r>
              <w:rPr>
                <w:rFonts w:ascii="Arial" w:cs="Arial" w:eastAsia="Arial" w:hAnsi="Arial"/>
                <w:sz w:val="18"/>
                <w:szCs w:val="18"/>
                <w:color w:val="auto"/>
              </w:rPr>
              <w:t>Without par value, authorized 15,000,000 shares:</w:t>
            </w:r>
          </w:p>
        </w:tc>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r>
      <w:tr>
        <w:trPr>
          <w:trHeight w:val="243"/>
        </w:trPr>
        <w:tc>
          <w:tcPr>
            <w:tcW w:w="5300" w:type="dxa"/>
            <w:vAlign w:val="bottom"/>
          </w:tcPr>
          <w:p>
            <w:pPr>
              <w:ind w:left="760"/>
              <w:spacing w:after="0"/>
              <w:rPr>
                <w:sz w:val="20"/>
                <w:szCs w:val="20"/>
                <w:color w:val="auto"/>
              </w:rPr>
            </w:pPr>
            <w:r>
              <w:rPr>
                <w:rFonts w:ascii="Arial" w:cs="Arial" w:eastAsia="Arial" w:hAnsi="Arial"/>
                <w:sz w:val="18"/>
                <w:szCs w:val="18"/>
                <w:color w:val="auto"/>
              </w:rPr>
              <w:t>$4.75 Dividend, 200,000 shares outstanding</w:t>
            </w:r>
          </w:p>
        </w:tc>
        <w:tc>
          <w:tcPr>
            <w:tcW w:w="1140" w:type="dxa"/>
            <w:vAlign w:val="bottom"/>
          </w:tcPr>
          <w:p>
            <w:pPr>
              <w:ind w:left="220"/>
              <w:spacing w:after="0"/>
              <w:rPr>
                <w:sz w:val="20"/>
                <w:szCs w:val="20"/>
                <w:color w:val="auto"/>
              </w:rPr>
            </w:pPr>
            <w:r>
              <w:rPr>
                <w:rFonts w:ascii="Arial" w:cs="Arial" w:eastAsia="Arial" w:hAnsi="Arial"/>
                <w:sz w:val="18"/>
                <w:szCs w:val="18"/>
                <w:color w:val="auto"/>
              </w:rPr>
              <w:t>$ 100.00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20</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43"/>
        </w:trPr>
        <w:tc>
          <w:tcPr>
            <w:tcW w:w="5300" w:type="dxa"/>
            <w:vAlign w:val="bottom"/>
          </w:tcPr>
          <w:p>
            <w:pPr>
              <w:ind w:left="760"/>
              <w:spacing w:after="0"/>
              <w:rPr>
                <w:sz w:val="20"/>
                <w:szCs w:val="20"/>
                <w:color w:val="auto"/>
              </w:rPr>
            </w:pPr>
            <w:r>
              <w:rPr>
                <w:rFonts w:ascii="Arial" w:cs="Arial" w:eastAsia="Arial" w:hAnsi="Arial"/>
                <w:sz w:val="18"/>
                <w:szCs w:val="18"/>
                <w:color w:val="auto"/>
              </w:rPr>
              <w:t>$4.50 Dividend, 300,000 shares outstanding</w:t>
            </w:r>
          </w:p>
        </w:tc>
        <w:tc>
          <w:tcPr>
            <w:tcW w:w="1140" w:type="dxa"/>
            <w:vAlign w:val="bottom"/>
          </w:tcPr>
          <w:p>
            <w:pPr>
              <w:ind w:left="220"/>
              <w:spacing w:after="0"/>
              <w:rPr>
                <w:sz w:val="20"/>
                <w:szCs w:val="20"/>
                <w:color w:val="auto"/>
              </w:rPr>
            </w:pPr>
            <w:r>
              <w:rPr>
                <w:rFonts w:ascii="Arial" w:cs="Arial" w:eastAsia="Arial" w:hAnsi="Arial"/>
                <w:sz w:val="18"/>
                <w:szCs w:val="18"/>
                <w:color w:val="auto"/>
              </w:rPr>
              <w:t>$ 100.00</w:t>
            </w:r>
          </w:p>
        </w:tc>
        <w:tc>
          <w:tcPr>
            <w:tcW w:w="2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43"/>
        </w:trPr>
        <w:tc>
          <w:tcPr>
            <w:tcW w:w="5300" w:type="dxa"/>
            <w:vAlign w:val="bottom"/>
          </w:tcPr>
          <w:p>
            <w:pPr>
              <w:ind w:left="760"/>
              <w:spacing w:after="0"/>
              <w:rPr>
                <w:sz w:val="20"/>
                <w:szCs w:val="20"/>
                <w:color w:val="auto"/>
              </w:rPr>
            </w:pPr>
            <w:r>
              <w:rPr>
                <w:rFonts w:ascii="Arial" w:cs="Arial" w:eastAsia="Arial" w:hAnsi="Arial"/>
                <w:sz w:val="18"/>
                <w:szCs w:val="18"/>
                <w:color w:val="auto"/>
              </w:rPr>
              <w:t>$4.40 Dividend, 100,000 shares outstanding</w:t>
            </w:r>
          </w:p>
        </w:tc>
        <w:tc>
          <w:tcPr>
            <w:tcW w:w="1140" w:type="dxa"/>
            <w:vAlign w:val="bottom"/>
          </w:tcPr>
          <w:p>
            <w:pPr>
              <w:ind w:left="220"/>
              <w:spacing w:after="0"/>
              <w:rPr>
                <w:sz w:val="20"/>
                <w:szCs w:val="20"/>
                <w:color w:val="auto"/>
              </w:rPr>
            </w:pPr>
            <w:r>
              <w:rPr>
                <w:rFonts w:ascii="Arial" w:cs="Arial" w:eastAsia="Arial" w:hAnsi="Arial"/>
                <w:sz w:val="18"/>
                <w:szCs w:val="18"/>
                <w:color w:val="auto"/>
              </w:rPr>
              <w:t>$ 101.50</w:t>
            </w:r>
          </w:p>
        </w:tc>
        <w:tc>
          <w:tcPr>
            <w:tcW w:w="2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5300" w:type="dxa"/>
            <w:vAlign w:val="bottom"/>
          </w:tcPr>
          <w:p>
            <w:pPr>
              <w:ind w:left="760"/>
              <w:spacing w:after="0"/>
              <w:rPr>
                <w:sz w:val="20"/>
                <w:szCs w:val="20"/>
                <w:color w:val="auto"/>
              </w:rPr>
            </w:pPr>
            <w:r>
              <w:rPr>
                <w:rFonts w:ascii="Arial" w:cs="Arial" w:eastAsia="Arial" w:hAnsi="Arial"/>
                <w:sz w:val="18"/>
                <w:szCs w:val="18"/>
                <w:color w:val="auto"/>
              </w:rPr>
              <w:t>$4.36 Dividend, 200,000 shares outstanding</w:t>
            </w:r>
          </w:p>
        </w:tc>
        <w:tc>
          <w:tcPr>
            <w:tcW w:w="1140" w:type="dxa"/>
            <w:vAlign w:val="bottom"/>
          </w:tcPr>
          <w:p>
            <w:pPr>
              <w:ind w:left="220"/>
              <w:spacing w:after="0"/>
              <w:rPr>
                <w:sz w:val="20"/>
                <w:szCs w:val="20"/>
                <w:color w:val="auto"/>
              </w:rPr>
            </w:pPr>
            <w:r>
              <w:rPr>
                <w:rFonts w:ascii="Arial" w:cs="Arial" w:eastAsia="Arial" w:hAnsi="Arial"/>
                <w:sz w:val="18"/>
                <w:szCs w:val="18"/>
                <w:color w:val="auto"/>
              </w:rPr>
              <w:t>$ 101.00</w:t>
            </w:r>
          </w:p>
        </w:tc>
        <w:tc>
          <w:tcPr>
            <w:tcW w:w="2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57"/>
        </w:trPr>
        <w:tc>
          <w:tcPr>
            <w:tcW w:w="5300" w:type="dxa"/>
            <w:vAlign w:val="bottom"/>
          </w:tcPr>
          <w:p>
            <w:pPr>
              <w:ind w:left="760"/>
              <w:spacing w:after="0"/>
              <w:rPr>
                <w:sz w:val="20"/>
                <w:szCs w:val="20"/>
                <w:color w:val="auto"/>
              </w:rPr>
            </w:pPr>
            <w:r>
              <w:rPr>
                <w:rFonts w:ascii="Arial" w:cs="Arial" w:eastAsia="Arial" w:hAnsi="Arial"/>
                <w:sz w:val="18"/>
                <w:szCs w:val="18"/>
                <w:color w:val="auto"/>
              </w:rPr>
              <w:t>$4.75 Dividend, 253 shares outstanding</w:t>
            </w:r>
          </w:p>
        </w:tc>
        <w:tc>
          <w:tcPr>
            <w:tcW w:w="1140" w:type="dxa"/>
            <w:vAlign w:val="bottom"/>
          </w:tcPr>
          <w:p>
            <w:pPr>
              <w:ind w:left="220"/>
              <w:spacing w:after="0"/>
              <w:rPr>
                <w:sz w:val="20"/>
                <w:szCs w:val="20"/>
                <w:color w:val="auto"/>
              </w:rPr>
            </w:pPr>
            <w:r>
              <w:rPr>
                <w:rFonts w:ascii="Arial" w:cs="Arial" w:eastAsia="Arial" w:hAnsi="Arial"/>
                <w:sz w:val="18"/>
                <w:szCs w:val="18"/>
                <w:color w:val="auto"/>
              </w:rPr>
              <w:t>$ 101.00</w:t>
            </w:r>
          </w:p>
        </w:tc>
        <w:tc>
          <w:tcPr>
            <w:tcW w:w="2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300" w:type="dxa"/>
            <w:vAlign w:val="bottom"/>
          </w:tcPr>
          <w:p>
            <w:pPr>
              <w:ind w:left="1060"/>
              <w:spacing w:after="0"/>
              <w:rPr>
                <w:sz w:val="20"/>
                <w:szCs w:val="20"/>
                <w:color w:val="auto"/>
              </w:rPr>
            </w:pPr>
            <w:r>
              <w:rPr>
                <w:rFonts w:ascii="Arial" w:cs="Arial" w:eastAsia="Arial" w:hAnsi="Arial"/>
                <w:sz w:val="18"/>
                <w:szCs w:val="18"/>
                <w:color w:val="auto"/>
              </w:rPr>
              <w:t>Total</w:t>
            </w:r>
          </w:p>
        </w:tc>
        <w:tc>
          <w:tcPr>
            <w:tcW w:w="1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r>
      <w:tr>
        <w:trPr>
          <w:trHeight w:val="473"/>
        </w:trPr>
        <w:tc>
          <w:tcPr>
            <w:tcW w:w="5300" w:type="dxa"/>
            <w:vAlign w:val="bottom"/>
          </w:tcPr>
          <w:p>
            <w:pPr>
              <w:ind w:left="300"/>
              <w:spacing w:after="0"/>
              <w:rPr>
                <w:sz w:val="20"/>
                <w:szCs w:val="20"/>
                <w:color w:val="auto"/>
              </w:rPr>
            </w:pPr>
            <w:r>
              <w:rPr>
                <w:rFonts w:ascii="Arial" w:cs="Arial" w:eastAsia="Arial" w:hAnsi="Arial"/>
                <w:sz w:val="18"/>
                <w:szCs w:val="18"/>
                <w:color w:val="auto"/>
              </w:rPr>
              <w:t>SoCalGas:</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43"/>
        </w:trPr>
        <w:tc>
          <w:tcPr>
            <w:tcW w:w="5300" w:type="dxa"/>
            <w:vAlign w:val="bottom"/>
          </w:tcPr>
          <w:p>
            <w:pPr>
              <w:ind w:left="520"/>
              <w:spacing w:after="0"/>
              <w:rPr>
                <w:sz w:val="20"/>
                <w:szCs w:val="20"/>
                <w:color w:val="auto"/>
              </w:rPr>
            </w:pPr>
            <w:r>
              <w:rPr>
                <w:rFonts w:ascii="Arial" w:cs="Arial" w:eastAsia="Arial" w:hAnsi="Arial"/>
                <w:sz w:val="18"/>
                <w:szCs w:val="18"/>
                <w:color w:val="auto"/>
              </w:rPr>
              <w:t>$25 par value, authorized 1,000,000 shares:</w:t>
            </w:r>
          </w:p>
        </w:tc>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r>
      <w:tr>
        <w:trPr>
          <w:trHeight w:val="243"/>
        </w:trPr>
        <w:tc>
          <w:tcPr>
            <w:tcW w:w="5300" w:type="dxa"/>
            <w:vAlign w:val="bottom"/>
          </w:tcPr>
          <w:p>
            <w:pPr>
              <w:ind w:left="760"/>
              <w:spacing w:after="0"/>
              <w:rPr>
                <w:sz w:val="20"/>
                <w:szCs w:val="20"/>
                <w:color w:val="auto"/>
              </w:rPr>
            </w:pPr>
            <w:r>
              <w:rPr>
                <w:rFonts w:ascii="Arial" w:cs="Arial" w:eastAsia="Arial" w:hAnsi="Arial"/>
                <w:sz w:val="18"/>
                <w:szCs w:val="18"/>
                <w:color w:val="auto"/>
              </w:rPr>
              <w:t>6% Series, 28,041 shares outstanding</w:t>
            </w:r>
          </w:p>
        </w:tc>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50"/>
        </w:trPr>
        <w:tc>
          <w:tcPr>
            <w:tcW w:w="5300" w:type="dxa"/>
            <w:vAlign w:val="bottom"/>
          </w:tcPr>
          <w:p>
            <w:pPr>
              <w:ind w:left="760"/>
              <w:spacing w:after="0"/>
              <w:rPr>
                <w:sz w:val="20"/>
                <w:szCs w:val="20"/>
                <w:color w:val="auto"/>
              </w:rPr>
            </w:pPr>
            <w:r>
              <w:rPr>
                <w:rFonts w:ascii="Arial" w:cs="Arial" w:eastAsia="Arial" w:hAnsi="Arial"/>
                <w:sz w:val="18"/>
                <w:szCs w:val="18"/>
                <w:color w:val="auto"/>
              </w:rPr>
              <w:t>6% Series A, 783,032 shares outstanding</w:t>
            </w:r>
          </w:p>
        </w:tc>
        <w:tc>
          <w:tcPr>
            <w:tcW w:w="11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r>
      <w:tr>
        <w:trPr>
          <w:trHeight w:val="237"/>
        </w:trPr>
        <w:tc>
          <w:tcPr>
            <w:tcW w:w="5300" w:type="dxa"/>
            <w:vAlign w:val="bottom"/>
          </w:tcPr>
          <w:p>
            <w:pPr>
              <w:ind w:left="1000"/>
              <w:spacing w:after="0"/>
              <w:rPr>
                <w:sz w:val="20"/>
                <w:szCs w:val="20"/>
                <w:color w:val="auto"/>
              </w:rPr>
            </w:pPr>
            <w:r>
              <w:rPr>
                <w:rFonts w:ascii="Arial" w:cs="Arial" w:eastAsia="Arial" w:hAnsi="Arial"/>
                <w:sz w:val="18"/>
                <w:szCs w:val="18"/>
                <w:color w:val="auto"/>
              </w:rPr>
              <w:t>Total</w:t>
            </w:r>
          </w:p>
        </w:tc>
        <w:tc>
          <w:tcPr>
            <w:tcW w:w="1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r>
      <w:tr>
        <w:trPr>
          <w:trHeight w:val="473"/>
        </w:trPr>
        <w:tc>
          <w:tcPr>
            <w:tcW w:w="5300" w:type="dxa"/>
            <w:vAlign w:val="bottom"/>
          </w:tcPr>
          <w:p>
            <w:pPr>
              <w:ind w:left="300"/>
              <w:spacing w:after="0"/>
              <w:rPr>
                <w:sz w:val="20"/>
                <w:szCs w:val="20"/>
                <w:color w:val="auto"/>
              </w:rPr>
            </w:pPr>
            <w:r>
              <w:rPr>
                <w:rFonts w:ascii="Arial" w:cs="Arial" w:eastAsia="Arial" w:hAnsi="Arial"/>
                <w:sz w:val="18"/>
                <w:szCs w:val="18"/>
                <w:color w:val="auto"/>
              </w:rPr>
              <w:t>SDG&amp;E:</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43"/>
        </w:trPr>
        <w:tc>
          <w:tcPr>
            <w:tcW w:w="5300" w:type="dxa"/>
            <w:vAlign w:val="bottom"/>
          </w:tcPr>
          <w:p>
            <w:pPr>
              <w:ind w:left="520"/>
              <w:spacing w:after="0"/>
              <w:rPr>
                <w:sz w:val="20"/>
                <w:szCs w:val="20"/>
                <w:color w:val="auto"/>
              </w:rPr>
            </w:pPr>
            <w:r>
              <w:rPr>
                <w:rFonts w:ascii="Arial" w:cs="Arial" w:eastAsia="Arial" w:hAnsi="Arial"/>
                <w:sz w:val="18"/>
                <w:szCs w:val="18"/>
                <w:color w:val="auto"/>
              </w:rPr>
              <w:t>$20 par value, authorized 1,375,000 shares:</w:t>
            </w:r>
          </w:p>
        </w:tc>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r>
      <w:tr>
        <w:trPr>
          <w:trHeight w:val="243"/>
        </w:trPr>
        <w:tc>
          <w:tcPr>
            <w:tcW w:w="5300" w:type="dxa"/>
            <w:vAlign w:val="bottom"/>
          </w:tcPr>
          <w:p>
            <w:pPr>
              <w:ind w:left="760"/>
              <w:spacing w:after="0"/>
              <w:rPr>
                <w:sz w:val="20"/>
                <w:szCs w:val="20"/>
                <w:color w:val="auto"/>
              </w:rPr>
            </w:pPr>
            <w:r>
              <w:rPr>
                <w:rFonts w:ascii="Arial" w:cs="Arial" w:eastAsia="Arial" w:hAnsi="Arial"/>
                <w:sz w:val="18"/>
                <w:szCs w:val="18"/>
                <w:color w:val="auto"/>
              </w:rPr>
              <w:t>5% Series, 375,000 shares outstanding</w:t>
            </w:r>
          </w:p>
        </w:tc>
        <w:tc>
          <w:tcPr>
            <w:tcW w:w="1140" w:type="dxa"/>
            <w:vAlign w:val="bottom"/>
          </w:tcPr>
          <w:p>
            <w:pPr>
              <w:ind w:left="220"/>
              <w:spacing w:after="0"/>
              <w:rPr>
                <w:sz w:val="20"/>
                <w:szCs w:val="20"/>
                <w:color w:val="auto"/>
              </w:rPr>
            </w:pPr>
            <w:r>
              <w:rPr>
                <w:rFonts w:ascii="Arial" w:cs="Arial" w:eastAsia="Arial" w:hAnsi="Arial"/>
                <w:sz w:val="18"/>
                <w:szCs w:val="18"/>
                <w:color w:val="auto"/>
              </w:rPr>
              <w:t>$ 24.00</w:t>
            </w:r>
          </w:p>
        </w:tc>
        <w:tc>
          <w:tcPr>
            <w:tcW w:w="2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43"/>
        </w:trPr>
        <w:tc>
          <w:tcPr>
            <w:tcW w:w="5300" w:type="dxa"/>
            <w:vAlign w:val="bottom"/>
          </w:tcPr>
          <w:p>
            <w:pPr>
              <w:ind w:left="760"/>
              <w:spacing w:after="0"/>
              <w:rPr>
                <w:sz w:val="20"/>
                <w:szCs w:val="20"/>
                <w:color w:val="auto"/>
              </w:rPr>
            </w:pPr>
            <w:r>
              <w:rPr>
                <w:rFonts w:ascii="Arial" w:cs="Arial" w:eastAsia="Arial" w:hAnsi="Arial"/>
                <w:sz w:val="18"/>
                <w:szCs w:val="18"/>
                <w:color w:val="auto"/>
              </w:rPr>
              <w:t>4.5% Series, 300,000 shares outstanding</w:t>
            </w:r>
          </w:p>
        </w:tc>
        <w:tc>
          <w:tcPr>
            <w:tcW w:w="1140" w:type="dxa"/>
            <w:vAlign w:val="bottom"/>
          </w:tcPr>
          <w:p>
            <w:pPr>
              <w:ind w:left="220"/>
              <w:spacing w:after="0"/>
              <w:rPr>
                <w:sz w:val="20"/>
                <w:szCs w:val="20"/>
                <w:color w:val="auto"/>
              </w:rPr>
            </w:pPr>
            <w:r>
              <w:rPr>
                <w:rFonts w:ascii="Arial" w:cs="Arial" w:eastAsia="Arial" w:hAnsi="Arial"/>
                <w:sz w:val="18"/>
                <w:szCs w:val="18"/>
                <w:color w:val="auto"/>
              </w:rPr>
              <w:t>$ 21.20</w:t>
            </w:r>
          </w:p>
        </w:tc>
        <w:tc>
          <w:tcPr>
            <w:tcW w:w="2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43"/>
        </w:trPr>
        <w:tc>
          <w:tcPr>
            <w:tcW w:w="5300" w:type="dxa"/>
            <w:vAlign w:val="bottom"/>
          </w:tcPr>
          <w:p>
            <w:pPr>
              <w:ind w:left="760"/>
              <w:spacing w:after="0"/>
              <w:rPr>
                <w:sz w:val="20"/>
                <w:szCs w:val="20"/>
                <w:color w:val="auto"/>
              </w:rPr>
            </w:pPr>
            <w:r>
              <w:rPr>
                <w:rFonts w:ascii="Arial" w:cs="Arial" w:eastAsia="Arial" w:hAnsi="Arial"/>
                <w:sz w:val="18"/>
                <w:szCs w:val="18"/>
                <w:color w:val="auto"/>
              </w:rPr>
              <w:t>4.4% Series, 325,000 shares outstanding</w:t>
            </w:r>
          </w:p>
        </w:tc>
        <w:tc>
          <w:tcPr>
            <w:tcW w:w="1140" w:type="dxa"/>
            <w:vAlign w:val="bottom"/>
          </w:tcPr>
          <w:p>
            <w:pPr>
              <w:ind w:left="220"/>
              <w:spacing w:after="0"/>
              <w:rPr>
                <w:sz w:val="20"/>
                <w:szCs w:val="20"/>
                <w:color w:val="auto"/>
              </w:rPr>
            </w:pPr>
            <w:r>
              <w:rPr>
                <w:rFonts w:ascii="Arial" w:cs="Arial" w:eastAsia="Arial" w:hAnsi="Arial"/>
                <w:sz w:val="18"/>
                <w:szCs w:val="18"/>
                <w:color w:val="auto"/>
              </w:rPr>
              <w:t>$ 21.00</w:t>
            </w:r>
          </w:p>
        </w:tc>
        <w:tc>
          <w:tcPr>
            <w:tcW w:w="2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43"/>
        </w:trPr>
        <w:tc>
          <w:tcPr>
            <w:tcW w:w="5300" w:type="dxa"/>
            <w:vAlign w:val="bottom"/>
          </w:tcPr>
          <w:p>
            <w:pPr>
              <w:ind w:left="760"/>
              <w:spacing w:after="0"/>
              <w:rPr>
                <w:sz w:val="20"/>
                <w:szCs w:val="20"/>
                <w:color w:val="auto"/>
              </w:rPr>
            </w:pPr>
            <w:r>
              <w:rPr>
                <w:rFonts w:ascii="Arial" w:cs="Arial" w:eastAsia="Arial" w:hAnsi="Arial"/>
                <w:sz w:val="18"/>
                <w:szCs w:val="18"/>
                <w:color w:val="auto"/>
              </w:rPr>
              <w:t>4.6% Series, 373,770 shares outstanding</w:t>
            </w:r>
          </w:p>
        </w:tc>
        <w:tc>
          <w:tcPr>
            <w:tcW w:w="1140" w:type="dxa"/>
            <w:vAlign w:val="bottom"/>
          </w:tcPr>
          <w:p>
            <w:pPr>
              <w:ind w:left="220"/>
              <w:spacing w:after="0"/>
              <w:rPr>
                <w:sz w:val="20"/>
                <w:szCs w:val="20"/>
                <w:color w:val="auto"/>
              </w:rPr>
            </w:pPr>
            <w:r>
              <w:rPr>
                <w:rFonts w:ascii="Arial" w:cs="Arial" w:eastAsia="Arial" w:hAnsi="Arial"/>
                <w:sz w:val="18"/>
                <w:szCs w:val="18"/>
                <w:color w:val="auto"/>
              </w:rPr>
              <w:t>$ 20.25</w:t>
            </w:r>
          </w:p>
        </w:tc>
        <w:tc>
          <w:tcPr>
            <w:tcW w:w="2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43"/>
        </w:trPr>
        <w:tc>
          <w:tcPr>
            <w:tcW w:w="5300" w:type="dxa"/>
            <w:vAlign w:val="bottom"/>
          </w:tcPr>
          <w:p>
            <w:pPr>
              <w:ind w:left="520"/>
              <w:spacing w:after="0"/>
              <w:rPr>
                <w:sz w:val="20"/>
                <w:szCs w:val="20"/>
                <w:color w:val="auto"/>
              </w:rPr>
            </w:pPr>
            <w:r>
              <w:rPr>
                <w:rFonts w:ascii="Arial" w:cs="Arial" w:eastAsia="Arial" w:hAnsi="Arial"/>
                <w:sz w:val="18"/>
                <w:szCs w:val="18"/>
                <w:color w:val="auto"/>
              </w:rPr>
              <w:t>Without par value:</w:t>
            </w:r>
          </w:p>
        </w:tc>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r>
      <w:tr>
        <w:trPr>
          <w:trHeight w:val="243"/>
        </w:trPr>
        <w:tc>
          <w:tcPr>
            <w:tcW w:w="5300" w:type="dxa"/>
            <w:vAlign w:val="bottom"/>
          </w:tcPr>
          <w:p>
            <w:pPr>
              <w:ind w:left="760"/>
              <w:spacing w:after="0"/>
              <w:rPr>
                <w:sz w:val="20"/>
                <w:szCs w:val="20"/>
                <w:color w:val="auto"/>
              </w:rPr>
            </w:pPr>
            <w:r>
              <w:rPr>
                <w:rFonts w:ascii="Arial" w:cs="Arial" w:eastAsia="Arial" w:hAnsi="Arial"/>
                <w:sz w:val="18"/>
                <w:szCs w:val="18"/>
                <w:color w:val="auto"/>
              </w:rPr>
              <w:t>$1.70 Series, 1,400,000 shares outstanding</w:t>
            </w:r>
          </w:p>
        </w:tc>
        <w:tc>
          <w:tcPr>
            <w:tcW w:w="1140" w:type="dxa"/>
            <w:vAlign w:val="bottom"/>
          </w:tcPr>
          <w:p>
            <w:pPr>
              <w:ind w:left="220"/>
              <w:spacing w:after="0"/>
              <w:rPr>
                <w:sz w:val="20"/>
                <w:szCs w:val="20"/>
                <w:color w:val="auto"/>
              </w:rPr>
            </w:pPr>
            <w:r>
              <w:rPr>
                <w:rFonts w:ascii="Arial" w:cs="Arial" w:eastAsia="Arial" w:hAnsi="Arial"/>
                <w:sz w:val="18"/>
                <w:szCs w:val="18"/>
                <w:color w:val="auto"/>
              </w:rPr>
              <w:t>$ 25.595</w:t>
            </w:r>
          </w:p>
        </w:tc>
        <w:tc>
          <w:tcPr>
            <w:tcW w:w="2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w:t>
            </w: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50"/>
        </w:trPr>
        <w:tc>
          <w:tcPr>
            <w:tcW w:w="5300" w:type="dxa"/>
            <w:vAlign w:val="bottom"/>
          </w:tcPr>
          <w:p>
            <w:pPr>
              <w:ind w:left="760"/>
              <w:spacing w:after="0"/>
              <w:rPr>
                <w:sz w:val="20"/>
                <w:szCs w:val="20"/>
                <w:color w:val="auto"/>
              </w:rPr>
            </w:pPr>
            <w:r>
              <w:rPr>
                <w:rFonts w:ascii="Arial" w:cs="Arial" w:eastAsia="Arial" w:hAnsi="Arial"/>
                <w:sz w:val="18"/>
                <w:szCs w:val="18"/>
                <w:color w:val="auto"/>
              </w:rPr>
              <w:t>$1.82 Series, 640,000 shares outstanding</w:t>
            </w:r>
          </w:p>
        </w:tc>
        <w:tc>
          <w:tcPr>
            <w:tcW w:w="1140" w:type="dxa"/>
            <w:vAlign w:val="bottom"/>
          </w:tcPr>
          <w:p>
            <w:pPr>
              <w:ind w:left="220"/>
              <w:spacing w:after="0"/>
              <w:rPr>
                <w:sz w:val="20"/>
                <w:szCs w:val="20"/>
                <w:color w:val="auto"/>
              </w:rPr>
            </w:pPr>
            <w:r>
              <w:rPr>
                <w:rFonts w:ascii="Arial" w:cs="Arial" w:eastAsia="Arial" w:hAnsi="Arial"/>
                <w:sz w:val="18"/>
                <w:szCs w:val="18"/>
                <w:color w:val="auto"/>
              </w:rPr>
              <w:t>$ 26.00</w:t>
            </w:r>
          </w:p>
        </w:tc>
        <w:tc>
          <w:tcPr>
            <w:tcW w:w="2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r>
      <w:tr>
        <w:trPr>
          <w:trHeight w:val="237"/>
        </w:trPr>
        <w:tc>
          <w:tcPr>
            <w:tcW w:w="5300" w:type="dxa"/>
            <w:vAlign w:val="bottom"/>
          </w:tcPr>
          <w:p>
            <w:pPr>
              <w:ind w:left="1060"/>
              <w:spacing w:after="0"/>
              <w:rPr>
                <w:sz w:val="20"/>
                <w:szCs w:val="20"/>
                <w:color w:val="auto"/>
              </w:rPr>
            </w:pPr>
            <w:r>
              <w:rPr>
                <w:rFonts w:ascii="Arial" w:cs="Arial" w:eastAsia="Arial" w:hAnsi="Arial"/>
                <w:sz w:val="18"/>
                <w:szCs w:val="18"/>
                <w:color w:val="auto"/>
              </w:rPr>
              <w:t>Total</w:t>
            </w:r>
          </w:p>
        </w:tc>
        <w:tc>
          <w:tcPr>
            <w:tcW w:w="1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r>
      <w:tr>
        <w:trPr>
          <w:trHeight w:val="230"/>
        </w:trPr>
        <w:tc>
          <w:tcPr>
            <w:tcW w:w="5300" w:type="dxa"/>
            <w:vAlign w:val="bottom"/>
          </w:tcPr>
          <w:p>
            <w:pPr>
              <w:ind w:left="1060"/>
              <w:spacing w:after="0"/>
              <w:rPr>
                <w:sz w:val="20"/>
                <w:szCs w:val="20"/>
                <w:color w:val="auto"/>
              </w:rPr>
            </w:pPr>
            <w:r>
              <w:rPr>
                <w:rFonts w:ascii="Arial" w:cs="Arial" w:eastAsia="Arial" w:hAnsi="Arial"/>
                <w:sz w:val="18"/>
                <w:szCs w:val="18"/>
                <w:color w:val="auto"/>
              </w:rPr>
              <w:t>Total not subject to mandatory redemption</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179</w:t>
            </w: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179</w:t>
            </w:r>
          </w:p>
        </w:tc>
      </w:tr>
      <w:tr>
        <w:trPr>
          <w:trHeight w:val="485"/>
        </w:trPr>
        <w:tc>
          <w:tcPr>
            <w:tcW w:w="5300" w:type="dxa"/>
            <w:vAlign w:val="bottom"/>
          </w:tcPr>
          <w:p>
            <w:pPr>
              <w:ind w:left="20"/>
              <w:spacing w:after="0"/>
              <w:rPr>
                <w:sz w:val="20"/>
                <w:szCs w:val="20"/>
                <w:color w:val="auto"/>
              </w:rPr>
            </w:pPr>
            <w:r>
              <w:rPr>
                <w:rFonts w:ascii="Arial" w:cs="Arial" w:eastAsia="Arial" w:hAnsi="Arial"/>
                <w:sz w:val="18"/>
                <w:szCs w:val="18"/>
                <w:color w:val="auto"/>
              </w:rPr>
              <w:t>Subject to mandatory redemption:</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43"/>
        </w:trPr>
        <w:tc>
          <w:tcPr>
            <w:tcW w:w="5300" w:type="dxa"/>
            <w:vAlign w:val="bottom"/>
          </w:tcPr>
          <w:p>
            <w:pPr>
              <w:ind w:left="300"/>
              <w:spacing w:after="0"/>
              <w:rPr>
                <w:sz w:val="20"/>
                <w:szCs w:val="20"/>
                <w:color w:val="auto"/>
              </w:rPr>
            </w:pPr>
            <w:r>
              <w:rPr>
                <w:rFonts w:ascii="Arial" w:cs="Arial" w:eastAsia="Arial" w:hAnsi="Arial"/>
                <w:sz w:val="18"/>
                <w:szCs w:val="18"/>
                <w:color w:val="auto"/>
              </w:rPr>
              <w:t>SDG&amp;E:</w:t>
            </w:r>
          </w:p>
        </w:tc>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r>
      <w:tr>
        <w:trPr>
          <w:trHeight w:val="229"/>
        </w:trPr>
        <w:tc>
          <w:tcPr>
            <w:tcW w:w="5300" w:type="dxa"/>
            <w:vAlign w:val="bottom"/>
          </w:tcPr>
          <w:p>
            <w:pPr>
              <w:ind w:left="520"/>
              <w:spacing w:after="0"/>
              <w:rPr>
                <w:sz w:val="20"/>
                <w:szCs w:val="20"/>
                <w:color w:val="auto"/>
              </w:rPr>
            </w:pPr>
            <w:r>
              <w:rPr>
                <w:rFonts w:ascii="Arial" w:cs="Arial" w:eastAsia="Arial" w:hAnsi="Arial"/>
                <w:sz w:val="18"/>
                <w:szCs w:val="18"/>
                <w:color w:val="auto"/>
                <w:w w:val="93"/>
              </w:rPr>
              <w:t>Without par value: $1.7625 Series, 550,000 and 650,000 shares</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37"/>
        </w:trPr>
        <w:tc>
          <w:tcPr>
            <w:tcW w:w="5300" w:type="dxa"/>
            <w:vAlign w:val="bottom"/>
          </w:tcPr>
          <w:p>
            <w:pPr>
              <w:ind w:left="640"/>
              <w:spacing w:after="0"/>
              <w:rPr>
                <w:sz w:val="20"/>
                <w:szCs w:val="20"/>
                <w:color w:val="auto"/>
              </w:rPr>
            </w:pPr>
            <w:r>
              <w:rPr>
                <w:rFonts w:ascii="Arial" w:cs="Arial" w:eastAsia="Arial" w:hAnsi="Arial"/>
                <w:sz w:val="18"/>
                <w:szCs w:val="18"/>
                <w:color w:val="auto"/>
                <w:w w:val="99"/>
              </w:rPr>
              <w:t>outstanding at December 31, 2007 and 2006, respectively*</w:t>
            </w:r>
          </w:p>
        </w:tc>
        <w:tc>
          <w:tcPr>
            <w:tcW w:w="1140" w:type="dxa"/>
            <w:vAlign w:val="bottom"/>
          </w:tcPr>
          <w:p>
            <w:pPr>
              <w:ind w:left="220"/>
              <w:spacing w:after="0"/>
              <w:rPr>
                <w:sz w:val="20"/>
                <w:szCs w:val="20"/>
                <w:color w:val="auto"/>
              </w:rPr>
            </w:pPr>
            <w:r>
              <w:rPr>
                <w:rFonts w:ascii="Arial" w:cs="Arial" w:eastAsia="Arial" w:hAnsi="Arial"/>
                <w:sz w:val="18"/>
                <w:szCs w:val="18"/>
                <w:color w:val="auto"/>
              </w:rPr>
              <w:t>$ 25.00</w:t>
            </w:r>
          </w:p>
        </w:tc>
        <w:tc>
          <w:tcPr>
            <w:tcW w:w="2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5300" w:type="dxa"/>
            <w:vAlign w:val="bottom"/>
          </w:tcPr>
          <w:p>
            <w:pPr>
              <w:ind w:left="1000"/>
              <w:spacing w:after="0"/>
              <w:rPr>
                <w:sz w:val="20"/>
                <w:szCs w:val="20"/>
                <w:color w:val="auto"/>
              </w:rPr>
            </w:pPr>
            <w:r>
              <w:rPr>
                <w:rFonts w:ascii="Arial" w:cs="Arial" w:eastAsia="Arial" w:hAnsi="Arial"/>
                <w:sz w:val="18"/>
                <w:szCs w:val="18"/>
                <w:color w:val="auto"/>
              </w:rPr>
              <w:t>Total preferred stock</w:t>
            </w:r>
          </w:p>
        </w:tc>
        <w:tc>
          <w:tcPr>
            <w:tcW w:w="114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193</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196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1085850</wp:posOffset>
            </wp:positionH>
            <wp:positionV relativeFrom="paragraph">
              <wp:posOffset>8255</wp:posOffset>
            </wp:positionV>
            <wp:extent cx="509397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093970" cy="26035"/>
                    </a:xfrm>
                    <a:prstGeom prst="rect">
                      <a:avLst/>
                    </a:prstGeom>
                    <a:noFill/>
                  </pic:spPr>
                </pic:pic>
              </a:graphicData>
            </a:graphic>
          </wp:anchor>
        </w:drawing>
      </w:r>
    </w:p>
    <w:p>
      <w:pPr>
        <w:spacing w:after="0" w:line="32" w:lineRule="exact"/>
        <w:rPr>
          <w:sz w:val="20"/>
          <w:szCs w:val="20"/>
          <w:color w:val="auto"/>
        </w:rPr>
      </w:pPr>
    </w:p>
    <w:p>
      <w:pPr>
        <w:jc w:val="both"/>
        <w:ind w:left="2000" w:right="1760" w:hanging="284"/>
        <w:spacing w:after="0" w:line="286" w:lineRule="auto"/>
        <w:tabs>
          <w:tab w:leader="none" w:pos="20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At December 31, 2007 and 2006, $14 million and $3 million, respectively, were included in Other Current Liabilities, and at December 31, 2006, $14 million was included in Deferred Credits and Other Liabilities on the Consolidated Balance Sheets. This series was redeemed on January 15, 2008.</w:t>
      </w:r>
    </w:p>
    <w:p>
      <w:pPr>
        <w:spacing w:after="0" w:line="204"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PE preferred stock is callable at the applicable redemption price of each series, plus any unpaid dividends. The preferred stock is subject to redemption at PE's option at any time upon at least 30 days' notice, at the applicable redemption price for each series plus any unpaid dividends. All series have one vote per share, cumulative preferences as to dividends, and a liquidation value of $100 per share plus any unpaid dividends.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color w:val="auto"/>
        </w:rPr>
        <w:t>102</w:t>
      </w:r>
    </w:p>
    <w:p>
      <w:pPr>
        <w:sectPr>
          <w:pgSz w:w="11900" w:h="16838" w:orient="portrait"/>
          <w:cols w:equalWidth="0" w:num="1">
            <w:col w:w="11420"/>
          </w:cols>
          <w:pgMar w:left="240" w:top="122" w:right="239" w:bottom="1440" w:gutter="0" w:footer="0" w:header="0"/>
        </w:sectPr>
      </w:pPr>
    </w:p>
    <w:bookmarkStart w:id="170" w:name="page171"/>
    <w:bookmarkEnd w:id="170"/>
    <w:p>
      <w:pPr>
        <w:spacing w:after="0" w:line="245" w:lineRule="auto"/>
        <w:rPr>
          <w:sz w:val="20"/>
          <w:szCs w:val="20"/>
          <w:color w:val="auto"/>
        </w:rPr>
      </w:pPr>
      <w:r>
        <w:rPr>
          <w:rFonts w:ascii="Arial" w:cs="Arial" w:eastAsia="Arial" w:hAnsi="Arial"/>
          <w:sz w:val="20"/>
          <w:szCs w:val="20"/>
          <w:color w:val="auto"/>
        </w:rPr>
        <w:t>None of SoCalGas' preferred stock is callable. All series have one vote per share, cumulative preferences as to dividends and liquidation values of $25 per share plus any unpaid dividends. SoCalGas is currently authorized to issue 5 million shares of series preferred stock and 5 million shares of preference stock, both without par value and with cumulative preferences as to dividends and with liquidation value (the preference stock would rank junior to all series of preferred stock), and other rights and privileges that would be established by the board of directors at the time of issuance.</w:t>
      </w:r>
    </w:p>
    <w:p>
      <w:pPr>
        <w:spacing w:after="0" w:line="218" w:lineRule="exact"/>
        <w:rPr>
          <w:sz w:val="20"/>
          <w:szCs w:val="20"/>
          <w:color w:val="auto"/>
        </w:rPr>
      </w:pPr>
    </w:p>
    <w:p>
      <w:pPr>
        <w:ind w:right="20"/>
        <w:spacing w:after="0" w:line="259" w:lineRule="auto"/>
        <w:rPr>
          <w:sz w:val="20"/>
          <w:szCs w:val="20"/>
          <w:color w:val="auto"/>
        </w:rPr>
      </w:pPr>
      <w:r>
        <w:rPr>
          <w:rFonts w:ascii="Arial" w:cs="Arial" w:eastAsia="Arial" w:hAnsi="Arial"/>
          <w:sz w:val="19"/>
          <w:szCs w:val="19"/>
          <w:color w:val="auto"/>
        </w:rPr>
        <w:t>All series of SDG&amp;E's preferred stock have cumulative preferences as to dividends. The $20 par value preferred stock has two votes per share on matters being voted upon by shareholders of SDG&amp;E and a liquidation value at par. The no-par-value preferred stock is nonvoting and has a liquidation value of $25 per share plus any unpaid dividends. SDG&amp;E is authorized to issue 10,000,000 shares of no-par-value preferred stock (both subject to and not subject to mandatory redemption). All series are callable. The $1.7625 Series has a sinking fund requirement to redeem 50,000 shares at $25 per share in 2007 and all remaining shares in 2008. On January 15, 2007 and January 15, 2008, SDG&amp;E redeemed 100,000 shares and 550,000 shares, respectively.</w:t>
      </w:r>
    </w:p>
    <w:p>
      <w:pPr>
        <w:spacing w:after="0" w:line="206"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color w:val="auto"/>
        </w:rPr>
        <w:t>SDG&amp;E is currently authorized to issue up to 25 million shares of an additional class of preference shares designated as "Series Preference Stock." The Series Preference Stock is in addition to the Cumulative Preferred Stock, Preference Stock (Cumulative) and Common Stock that SDG&amp;E was otherwise authorized to issue, and when issued would rank junior to the Cumulative Preferred Stock and Preference Stock (Cumulative) and have rights, preferences and privileges that would be established by the board at the time of issuance.</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20"/>
          <w:szCs w:val="20"/>
          <w:color w:val="auto"/>
        </w:rPr>
        <w:t>103</w:t>
      </w:r>
    </w:p>
    <w:p>
      <w:pPr>
        <w:sectPr>
          <w:pgSz w:w="11900" w:h="16838" w:orient="portrait"/>
          <w:cols w:equalWidth="0" w:num="1">
            <w:col w:w="11400"/>
          </w:cols>
          <w:pgMar w:left="240" w:top="122" w:right="259" w:bottom="1440" w:gutter="0" w:footer="0" w:header="0"/>
        </w:sectPr>
      </w:pPr>
    </w:p>
    <w:bookmarkStart w:id="171" w:name="page172"/>
    <w:bookmarkEnd w:id="171"/>
    <w:p>
      <w:pPr>
        <w:spacing w:after="0"/>
        <w:rPr>
          <w:sz w:val="20"/>
          <w:szCs w:val="20"/>
          <w:color w:val="auto"/>
        </w:rPr>
      </w:pPr>
      <w:r>
        <w:rPr>
          <w:rFonts w:ascii="Arial" w:cs="Arial" w:eastAsia="Arial" w:hAnsi="Arial"/>
          <w:sz w:val="20"/>
          <w:szCs w:val="20"/>
          <w:b w:val="1"/>
          <w:bCs w:val="1"/>
          <w:color w:val="auto"/>
        </w:rPr>
        <w:t>NOTE 13. SHAREHOLDERS' EQUITY AND EARNINGS PER SHARE (EPS)</w:t>
      </w:r>
    </w:p>
    <w:p>
      <w:pPr>
        <w:spacing w:after="0" w:line="250"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provides the per share computations for income from continuing operations for the years ended December 31:</w:t>
      </w:r>
    </w:p>
    <w:p>
      <w:pPr>
        <w:spacing w:after="0" w:line="297"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1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5"/>
          </w:tcPr>
          <w:p>
            <w:pPr>
              <w:jc w:val="center"/>
              <w:ind w:right="220"/>
              <w:spacing w:after="0"/>
              <w:rPr>
                <w:sz w:val="20"/>
                <w:szCs w:val="20"/>
                <w:color w:val="auto"/>
              </w:rPr>
            </w:pPr>
            <w:r>
              <w:rPr>
                <w:rFonts w:ascii="Arial" w:cs="Arial" w:eastAsia="Arial" w:hAnsi="Arial"/>
                <w:sz w:val="18"/>
                <w:szCs w:val="18"/>
                <w:color w:val="auto"/>
                <w:w w:val="91"/>
              </w:rPr>
              <w:t>Income</w:t>
            </w:r>
          </w:p>
        </w:tc>
        <w:tc>
          <w:tcPr>
            <w:tcW w:w="1500" w:type="dxa"/>
            <w:vAlign w:val="bottom"/>
            <w:gridSpan w:val="3"/>
          </w:tcPr>
          <w:p>
            <w:pPr>
              <w:jc w:val="center"/>
              <w:ind w:right="20"/>
              <w:spacing w:after="0"/>
              <w:rPr>
                <w:sz w:val="20"/>
                <w:szCs w:val="20"/>
                <w:color w:val="auto"/>
              </w:rPr>
            </w:pPr>
            <w:r>
              <w:rPr>
                <w:rFonts w:ascii="Arial" w:cs="Arial" w:eastAsia="Arial" w:hAnsi="Arial"/>
                <w:sz w:val="18"/>
                <w:szCs w:val="18"/>
                <w:color w:val="auto"/>
                <w:w w:val="84"/>
              </w:rPr>
              <w:t>Shares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center"/>
              <w:ind w:right="140"/>
              <w:spacing w:after="0"/>
              <w:rPr>
                <w:sz w:val="20"/>
                <w:szCs w:val="20"/>
                <w:color w:val="auto"/>
              </w:rPr>
            </w:pPr>
            <w:r>
              <w:rPr>
                <w:rFonts w:ascii="Arial" w:cs="Arial" w:eastAsia="Arial" w:hAnsi="Arial"/>
                <w:sz w:val="18"/>
                <w:szCs w:val="18"/>
                <w:color w:val="auto"/>
                <w:w w:val="85"/>
              </w:rPr>
              <w:t>Per</w:t>
            </w:r>
          </w:p>
        </w:tc>
      </w:tr>
      <w:tr>
        <w:trPr>
          <w:trHeight w:val="216"/>
        </w:trPr>
        <w:tc>
          <w:tcPr>
            <w:tcW w:w="1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5"/>
          </w:tcPr>
          <w:p>
            <w:pPr>
              <w:jc w:val="center"/>
              <w:ind w:right="200"/>
              <w:spacing w:after="0"/>
              <w:rPr>
                <w:sz w:val="20"/>
                <w:szCs w:val="20"/>
                <w:color w:val="auto"/>
              </w:rPr>
            </w:pPr>
            <w:r>
              <w:rPr>
                <w:rFonts w:ascii="Arial" w:cs="Arial" w:eastAsia="Arial" w:hAnsi="Arial"/>
                <w:sz w:val="18"/>
                <w:szCs w:val="18"/>
                <w:color w:val="auto"/>
                <w:w w:val="99"/>
              </w:rPr>
              <w:t>(millions)</w:t>
            </w:r>
          </w:p>
        </w:tc>
        <w:tc>
          <w:tcPr>
            <w:tcW w:w="1500" w:type="dxa"/>
            <w:vAlign w:val="bottom"/>
            <w:gridSpan w:val="3"/>
          </w:tcPr>
          <w:p>
            <w:pPr>
              <w:jc w:val="center"/>
              <w:ind w:right="20"/>
              <w:spacing w:after="0"/>
              <w:rPr>
                <w:sz w:val="20"/>
                <w:szCs w:val="20"/>
                <w:color w:val="auto"/>
              </w:rPr>
            </w:pPr>
            <w:r>
              <w:rPr>
                <w:rFonts w:ascii="Arial" w:cs="Arial" w:eastAsia="Arial" w:hAnsi="Arial"/>
                <w:sz w:val="18"/>
                <w:szCs w:val="18"/>
                <w:color w:val="auto"/>
                <w:w w:val="88"/>
              </w:rPr>
              <w:t>(thousands)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center"/>
              <w:ind w:right="140"/>
              <w:spacing w:after="0"/>
              <w:rPr>
                <w:sz w:val="20"/>
                <w:szCs w:val="20"/>
                <w:color w:val="auto"/>
              </w:rPr>
            </w:pPr>
            <w:r>
              <w:rPr>
                <w:rFonts w:ascii="Arial" w:cs="Arial" w:eastAsia="Arial" w:hAnsi="Arial"/>
                <w:sz w:val="18"/>
                <w:szCs w:val="18"/>
                <w:color w:val="auto"/>
                <w:w w:val="83"/>
              </w:rPr>
              <w:t>Share</w:t>
            </w:r>
          </w:p>
        </w:tc>
      </w:tr>
      <w:tr>
        <w:trPr>
          <w:trHeight w:val="291"/>
        </w:trPr>
        <w:tc>
          <w:tcPr>
            <w:tcW w:w="186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rPr>
              <w:t>2007</w:t>
            </w: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5"/>
          </w:tcPr>
          <w:p>
            <w:pPr>
              <w:jc w:val="center"/>
              <w:ind w:right="220"/>
              <w:spacing w:after="0"/>
              <w:rPr>
                <w:sz w:val="20"/>
                <w:szCs w:val="20"/>
                <w:color w:val="auto"/>
              </w:rPr>
            </w:pPr>
            <w:r>
              <w:rPr>
                <w:rFonts w:ascii="Arial" w:cs="Arial" w:eastAsia="Arial" w:hAnsi="Arial"/>
                <w:sz w:val="18"/>
                <w:szCs w:val="18"/>
                <w:color w:val="auto"/>
                <w:w w:val="91"/>
              </w:rPr>
              <w:t>(numerator)</w:t>
            </w:r>
          </w:p>
        </w:tc>
        <w:tc>
          <w:tcPr>
            <w:tcW w:w="15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(denominator)</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8"/>
                <w:szCs w:val="18"/>
                <w:color w:val="auto"/>
                <w:w w:val="92"/>
              </w:rPr>
              <w:t>Amounts</w:t>
            </w:r>
          </w:p>
        </w:tc>
      </w:tr>
      <w:tr>
        <w:trPr>
          <w:trHeight w:val="507"/>
        </w:trPr>
        <w:tc>
          <w:tcPr>
            <w:tcW w:w="2980" w:type="dxa"/>
            <w:vAlign w:val="bottom"/>
            <w:gridSpan w:val="4"/>
          </w:tcPr>
          <w:p>
            <w:pPr>
              <w:spacing w:after="0"/>
              <w:rPr>
                <w:sz w:val="20"/>
                <w:szCs w:val="20"/>
                <w:color w:val="auto"/>
              </w:rPr>
            </w:pPr>
            <w:r>
              <w:rPr>
                <w:rFonts w:ascii="Arial" w:cs="Arial" w:eastAsia="Arial" w:hAnsi="Arial"/>
                <w:sz w:val="18"/>
                <w:szCs w:val="18"/>
                <w:color w:val="auto"/>
              </w:rPr>
              <w:t>Basic EPS</w:t>
            </w:r>
          </w:p>
        </w:tc>
        <w:tc>
          <w:tcPr>
            <w:tcW w:w="2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1,125</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259,269</w:t>
            </w:r>
          </w:p>
        </w:tc>
        <w:tc>
          <w:tcPr>
            <w:tcW w:w="340" w:type="dxa"/>
            <w:vAlign w:val="bottom"/>
          </w:tcPr>
          <w:p>
            <w:pPr>
              <w:spacing w:after="0"/>
              <w:rPr>
                <w:sz w:val="24"/>
                <w:szCs w:val="24"/>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4.34</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73"/>
        </w:trPr>
        <w:tc>
          <w:tcPr>
            <w:tcW w:w="2980" w:type="dxa"/>
            <w:vAlign w:val="bottom"/>
            <w:gridSpan w:val="4"/>
          </w:tcPr>
          <w:p>
            <w:pPr>
              <w:spacing w:after="0"/>
              <w:rPr>
                <w:sz w:val="20"/>
                <w:szCs w:val="20"/>
                <w:color w:val="auto"/>
              </w:rPr>
            </w:pPr>
            <w:r>
              <w:rPr>
                <w:rFonts w:ascii="Arial" w:cs="Arial" w:eastAsia="Arial" w:hAnsi="Arial"/>
                <w:sz w:val="18"/>
                <w:szCs w:val="18"/>
                <w:color w:val="auto"/>
              </w:rPr>
              <w:t>Effect of dilutive securities:</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r>
      <w:tr>
        <w:trPr>
          <w:trHeight w:val="243"/>
        </w:trPr>
        <w:tc>
          <w:tcPr>
            <w:tcW w:w="2980" w:type="dxa"/>
            <w:vAlign w:val="bottom"/>
            <w:gridSpan w:val="4"/>
          </w:tcPr>
          <w:p>
            <w:pPr>
              <w:ind w:left="180"/>
              <w:spacing w:after="0"/>
              <w:rPr>
                <w:sz w:val="20"/>
                <w:szCs w:val="20"/>
                <w:color w:val="auto"/>
              </w:rPr>
            </w:pPr>
            <w:r>
              <w:rPr>
                <w:rFonts w:ascii="Arial" w:cs="Arial" w:eastAsia="Arial" w:hAnsi="Arial"/>
                <w:sz w:val="18"/>
                <w:szCs w:val="18"/>
                <w:color w:val="auto"/>
              </w:rPr>
              <w:t>Stock options and</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2980" w:type="dxa"/>
            <w:vAlign w:val="bottom"/>
            <w:gridSpan w:val="4"/>
          </w:tcPr>
          <w:p>
            <w:pPr>
              <w:ind w:left="380"/>
              <w:spacing w:after="0"/>
              <w:rPr>
                <w:sz w:val="20"/>
                <w:szCs w:val="20"/>
                <w:color w:val="auto"/>
              </w:rPr>
            </w:pPr>
            <w:r>
              <w:rPr>
                <w:rFonts w:ascii="Arial" w:cs="Arial" w:eastAsia="Arial" w:hAnsi="Arial"/>
                <w:sz w:val="18"/>
                <w:szCs w:val="18"/>
                <w:color w:val="auto"/>
              </w:rPr>
              <w:t>restricted stock awards</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4,735</w:t>
            </w: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507"/>
        </w:trPr>
        <w:tc>
          <w:tcPr>
            <w:tcW w:w="2980" w:type="dxa"/>
            <w:vAlign w:val="bottom"/>
            <w:gridSpan w:val="4"/>
          </w:tcPr>
          <w:p>
            <w:pPr>
              <w:spacing w:after="0"/>
              <w:rPr>
                <w:sz w:val="20"/>
                <w:szCs w:val="20"/>
                <w:color w:val="auto"/>
              </w:rPr>
            </w:pPr>
            <w:r>
              <w:rPr>
                <w:rFonts w:ascii="Arial" w:cs="Arial" w:eastAsia="Arial" w:hAnsi="Arial"/>
                <w:sz w:val="18"/>
                <w:szCs w:val="18"/>
                <w:color w:val="auto"/>
              </w:rPr>
              <w:t>Diluted EPS</w:t>
            </w:r>
          </w:p>
        </w:tc>
        <w:tc>
          <w:tcPr>
            <w:tcW w:w="2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1,125</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264,004</w:t>
            </w:r>
          </w:p>
        </w:tc>
        <w:tc>
          <w:tcPr>
            <w:tcW w:w="340" w:type="dxa"/>
            <w:vAlign w:val="bottom"/>
          </w:tcPr>
          <w:p>
            <w:pPr>
              <w:spacing w:after="0"/>
              <w:rPr>
                <w:sz w:val="24"/>
                <w:szCs w:val="24"/>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4.26</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07"/>
        </w:trPr>
        <w:tc>
          <w:tcPr>
            <w:tcW w:w="186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rPr>
              <w:t>2006</w:t>
            </w:r>
          </w:p>
        </w:tc>
        <w:tc>
          <w:tcPr>
            <w:tcW w:w="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r>
      <w:tr>
        <w:trPr>
          <w:trHeight w:val="507"/>
        </w:trPr>
        <w:tc>
          <w:tcPr>
            <w:tcW w:w="2980" w:type="dxa"/>
            <w:vAlign w:val="bottom"/>
            <w:gridSpan w:val="4"/>
          </w:tcPr>
          <w:p>
            <w:pPr>
              <w:spacing w:after="0"/>
              <w:rPr>
                <w:sz w:val="20"/>
                <w:szCs w:val="20"/>
                <w:color w:val="auto"/>
              </w:rPr>
            </w:pPr>
            <w:r>
              <w:rPr>
                <w:rFonts w:ascii="Arial" w:cs="Arial" w:eastAsia="Arial" w:hAnsi="Arial"/>
                <w:sz w:val="18"/>
                <w:szCs w:val="18"/>
                <w:color w:val="auto"/>
              </w:rPr>
              <w:t>Basic EPS</w:t>
            </w:r>
          </w:p>
        </w:tc>
        <w:tc>
          <w:tcPr>
            <w:tcW w:w="220" w:type="dxa"/>
            <w:vAlign w:val="bottom"/>
            <w:gridSpan w:val="3"/>
          </w:tcPr>
          <w:p>
            <w:pPr>
              <w:jc w:val="right"/>
              <w:ind w:right="10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1,091</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256,477</w:t>
            </w:r>
          </w:p>
        </w:tc>
        <w:tc>
          <w:tcPr>
            <w:tcW w:w="340" w:type="dxa"/>
            <w:vAlign w:val="bottom"/>
          </w:tcPr>
          <w:p>
            <w:pPr>
              <w:spacing w:after="0"/>
              <w:rPr>
                <w:sz w:val="24"/>
                <w:szCs w:val="24"/>
                <w:color w:val="auto"/>
              </w:rPr>
            </w:pPr>
          </w:p>
        </w:tc>
        <w:tc>
          <w:tcPr>
            <w:tcW w:w="1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4.25</w:t>
            </w:r>
          </w:p>
        </w:tc>
        <w:tc>
          <w:tcPr>
            <w:tcW w:w="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473"/>
        </w:trPr>
        <w:tc>
          <w:tcPr>
            <w:tcW w:w="2980" w:type="dxa"/>
            <w:vAlign w:val="bottom"/>
            <w:gridSpan w:val="4"/>
          </w:tcPr>
          <w:p>
            <w:pPr>
              <w:spacing w:after="0"/>
              <w:rPr>
                <w:sz w:val="20"/>
                <w:szCs w:val="20"/>
                <w:color w:val="auto"/>
              </w:rPr>
            </w:pPr>
            <w:r>
              <w:rPr>
                <w:rFonts w:ascii="Arial" w:cs="Arial" w:eastAsia="Arial" w:hAnsi="Arial"/>
                <w:sz w:val="18"/>
                <w:szCs w:val="18"/>
                <w:color w:val="auto"/>
              </w:rPr>
              <w:t>Effect of dilutive securities:</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3"/>
        </w:trPr>
        <w:tc>
          <w:tcPr>
            <w:tcW w:w="2980" w:type="dxa"/>
            <w:vAlign w:val="bottom"/>
            <w:gridSpan w:val="4"/>
          </w:tcPr>
          <w:p>
            <w:pPr>
              <w:ind w:left="180"/>
              <w:spacing w:after="0"/>
              <w:rPr>
                <w:sz w:val="20"/>
                <w:szCs w:val="20"/>
                <w:color w:val="auto"/>
              </w:rPr>
            </w:pPr>
            <w:r>
              <w:rPr>
                <w:rFonts w:ascii="Arial" w:cs="Arial" w:eastAsia="Arial" w:hAnsi="Arial"/>
                <w:sz w:val="18"/>
                <w:szCs w:val="18"/>
                <w:color w:val="auto"/>
              </w:rPr>
              <w:t>Stock options and</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2980" w:type="dxa"/>
            <w:vAlign w:val="bottom"/>
            <w:gridSpan w:val="4"/>
          </w:tcPr>
          <w:p>
            <w:pPr>
              <w:ind w:left="360"/>
              <w:spacing w:after="0"/>
              <w:rPr>
                <w:sz w:val="20"/>
                <w:szCs w:val="20"/>
                <w:color w:val="auto"/>
              </w:rPr>
            </w:pPr>
            <w:r>
              <w:rPr>
                <w:rFonts w:ascii="Arial" w:cs="Arial" w:eastAsia="Arial" w:hAnsi="Arial"/>
                <w:sz w:val="18"/>
                <w:szCs w:val="18"/>
                <w:color w:val="auto"/>
              </w:rPr>
              <w:t>restricted stock awards</w:t>
            </w:r>
          </w:p>
        </w:tc>
        <w:tc>
          <w:tcPr>
            <w:tcW w:w="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4,891</w:t>
            </w: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507"/>
        </w:trPr>
        <w:tc>
          <w:tcPr>
            <w:tcW w:w="2980" w:type="dxa"/>
            <w:vAlign w:val="bottom"/>
            <w:gridSpan w:val="4"/>
          </w:tcPr>
          <w:p>
            <w:pPr>
              <w:spacing w:after="0"/>
              <w:rPr>
                <w:sz w:val="20"/>
                <w:szCs w:val="20"/>
                <w:color w:val="auto"/>
              </w:rPr>
            </w:pPr>
            <w:r>
              <w:rPr>
                <w:rFonts w:ascii="Arial" w:cs="Arial" w:eastAsia="Arial" w:hAnsi="Arial"/>
                <w:sz w:val="18"/>
                <w:szCs w:val="18"/>
                <w:color w:val="auto"/>
              </w:rPr>
              <w:t>Diluted EPS</w:t>
            </w:r>
          </w:p>
        </w:tc>
        <w:tc>
          <w:tcPr>
            <w:tcW w:w="220" w:type="dxa"/>
            <w:vAlign w:val="bottom"/>
            <w:gridSpan w:val="3"/>
          </w:tcPr>
          <w:p>
            <w:pPr>
              <w:jc w:val="right"/>
              <w:ind w:right="10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1,091</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261,368</w:t>
            </w:r>
          </w:p>
        </w:tc>
        <w:tc>
          <w:tcPr>
            <w:tcW w:w="340" w:type="dxa"/>
            <w:vAlign w:val="bottom"/>
          </w:tcPr>
          <w:p>
            <w:pPr>
              <w:spacing w:after="0"/>
              <w:rPr>
                <w:sz w:val="24"/>
                <w:szCs w:val="24"/>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4.17</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07"/>
        </w:trPr>
        <w:tc>
          <w:tcPr>
            <w:tcW w:w="186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rPr>
              <w:t>2005</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507"/>
        </w:trPr>
        <w:tc>
          <w:tcPr>
            <w:tcW w:w="2980" w:type="dxa"/>
            <w:vAlign w:val="bottom"/>
            <w:gridSpan w:val="4"/>
          </w:tcPr>
          <w:p>
            <w:pPr>
              <w:ind w:left="20"/>
              <w:spacing w:after="0"/>
              <w:rPr>
                <w:sz w:val="20"/>
                <w:szCs w:val="20"/>
                <w:color w:val="auto"/>
              </w:rPr>
            </w:pPr>
            <w:r>
              <w:rPr>
                <w:rFonts w:ascii="Arial" w:cs="Arial" w:eastAsia="Arial" w:hAnsi="Arial"/>
                <w:sz w:val="18"/>
                <w:szCs w:val="18"/>
                <w:color w:val="auto"/>
              </w:rPr>
              <w:t>Basic EPS</w:t>
            </w:r>
          </w:p>
        </w:tc>
        <w:tc>
          <w:tcPr>
            <w:tcW w:w="220" w:type="dxa"/>
            <w:vAlign w:val="bottom"/>
            <w:gridSpan w:val="3"/>
          </w:tcPr>
          <w:p>
            <w:pPr>
              <w:jc w:val="right"/>
              <w:ind w:right="10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913</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245,906</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3.71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73"/>
        </w:trPr>
        <w:tc>
          <w:tcPr>
            <w:tcW w:w="2980" w:type="dxa"/>
            <w:vAlign w:val="bottom"/>
            <w:gridSpan w:val="4"/>
          </w:tcPr>
          <w:p>
            <w:pPr>
              <w:ind w:left="20"/>
              <w:spacing w:after="0"/>
              <w:rPr>
                <w:sz w:val="20"/>
                <w:szCs w:val="20"/>
                <w:color w:val="auto"/>
              </w:rPr>
            </w:pPr>
            <w:r>
              <w:rPr>
                <w:rFonts w:ascii="Arial" w:cs="Arial" w:eastAsia="Arial" w:hAnsi="Arial"/>
                <w:sz w:val="18"/>
                <w:szCs w:val="18"/>
                <w:color w:val="auto"/>
              </w:rPr>
              <w:t>Effect of dilutive securities:</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3"/>
        </w:trPr>
        <w:tc>
          <w:tcPr>
            <w:tcW w:w="2980" w:type="dxa"/>
            <w:vAlign w:val="bottom"/>
            <w:gridSpan w:val="4"/>
          </w:tcPr>
          <w:p>
            <w:pPr>
              <w:ind w:left="180"/>
              <w:spacing w:after="0"/>
              <w:rPr>
                <w:sz w:val="20"/>
                <w:szCs w:val="20"/>
                <w:color w:val="auto"/>
              </w:rPr>
            </w:pPr>
            <w:r>
              <w:rPr>
                <w:rFonts w:ascii="Arial" w:cs="Arial" w:eastAsia="Arial" w:hAnsi="Arial"/>
                <w:sz w:val="18"/>
                <w:szCs w:val="18"/>
                <w:color w:val="auto"/>
              </w:rPr>
              <w:t>Stock options and</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2980" w:type="dxa"/>
            <w:vAlign w:val="bottom"/>
            <w:gridSpan w:val="4"/>
          </w:tcPr>
          <w:p>
            <w:pPr>
              <w:ind w:left="360"/>
              <w:spacing w:after="0"/>
              <w:rPr>
                <w:sz w:val="20"/>
                <w:szCs w:val="20"/>
                <w:color w:val="auto"/>
              </w:rPr>
            </w:pPr>
            <w:r>
              <w:rPr>
                <w:rFonts w:ascii="Arial" w:cs="Arial" w:eastAsia="Arial" w:hAnsi="Arial"/>
                <w:sz w:val="18"/>
                <w:szCs w:val="18"/>
                <w:color w:val="auto"/>
              </w:rPr>
              <w:t>restricted stock awards</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4,308</w:t>
            </w: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2980" w:type="dxa"/>
            <w:vAlign w:val="bottom"/>
            <w:gridSpan w:val="4"/>
          </w:tcPr>
          <w:p>
            <w:pPr>
              <w:ind w:left="180"/>
              <w:spacing w:after="0"/>
              <w:rPr>
                <w:sz w:val="20"/>
                <w:szCs w:val="20"/>
                <w:color w:val="auto"/>
              </w:rPr>
            </w:pPr>
            <w:r>
              <w:rPr>
                <w:rFonts w:ascii="Arial" w:cs="Arial" w:eastAsia="Arial" w:hAnsi="Arial"/>
                <w:sz w:val="18"/>
                <w:szCs w:val="18"/>
                <w:color w:val="auto"/>
              </w:rPr>
              <w:t>Equity Units</w:t>
            </w: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1,874</w:t>
            </w: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507"/>
        </w:trPr>
        <w:tc>
          <w:tcPr>
            <w:tcW w:w="2980" w:type="dxa"/>
            <w:vAlign w:val="bottom"/>
            <w:tcBorders>
              <w:bottom w:val="single" w:sz="8" w:color="auto"/>
            </w:tcBorders>
            <w:gridSpan w:val="4"/>
          </w:tcPr>
          <w:p>
            <w:pPr>
              <w:ind w:left="20"/>
              <w:spacing w:after="0"/>
              <w:rPr>
                <w:sz w:val="20"/>
                <w:szCs w:val="20"/>
                <w:color w:val="auto"/>
              </w:rPr>
            </w:pPr>
            <w:r>
              <w:rPr>
                <w:rFonts w:ascii="Arial" w:cs="Arial" w:eastAsia="Arial" w:hAnsi="Arial"/>
                <w:sz w:val="18"/>
                <w:szCs w:val="18"/>
                <w:color w:val="auto"/>
              </w:rPr>
              <w:t>Diluted EPS</w:t>
            </w:r>
          </w:p>
        </w:tc>
        <w:tc>
          <w:tcPr>
            <w:tcW w:w="2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913</w:t>
            </w: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252,088</w:t>
            </w: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3.62</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26" w:lineRule="exact"/>
        <w:rPr>
          <w:sz w:val="20"/>
          <w:szCs w:val="20"/>
          <w:color w:val="auto"/>
        </w:rPr>
      </w:pPr>
    </w:p>
    <w:p>
      <w:pPr>
        <w:spacing w:after="0" w:line="278" w:lineRule="auto"/>
        <w:rPr>
          <w:sz w:val="20"/>
          <w:szCs w:val="20"/>
          <w:color w:val="auto"/>
        </w:rPr>
      </w:pPr>
      <w:r>
        <w:rPr>
          <w:rFonts w:ascii="Arial" w:cs="Arial" w:eastAsia="Arial" w:hAnsi="Arial"/>
          <w:sz w:val="18"/>
          <w:szCs w:val="18"/>
          <w:color w:val="auto"/>
        </w:rPr>
        <w:t>The dilution from common stock options is based on the treasury stock method, whereby the proceeds from the exercise price and unearned compensation as defined by SFAS 123(R) are assumed to be used to repurchase shares on the open market at the average market price for the year. The calculation excludes options for which the exercise price was greater than the average market price for common stock during the year. The company had 733,711 and 789,830 stock options outstanding during 2007 and 2006, respectively, that were antidilutive due to the inclusion of unearned compensation in the assumed proceeds under the treasury stock method. There were no such options in 2005.</w:t>
      </w:r>
    </w:p>
    <w:p>
      <w:pPr>
        <w:spacing w:after="0" w:line="192" w:lineRule="exact"/>
        <w:rPr>
          <w:sz w:val="20"/>
          <w:szCs w:val="20"/>
          <w:color w:val="auto"/>
        </w:rPr>
      </w:pPr>
    </w:p>
    <w:p>
      <w:pPr>
        <w:ind w:right="20"/>
        <w:spacing w:after="0" w:line="263" w:lineRule="auto"/>
        <w:rPr>
          <w:sz w:val="20"/>
          <w:szCs w:val="20"/>
          <w:color w:val="auto"/>
        </w:rPr>
      </w:pPr>
      <w:r>
        <w:rPr>
          <w:rFonts w:ascii="Arial" w:cs="Arial" w:eastAsia="Arial" w:hAnsi="Arial"/>
          <w:sz w:val="19"/>
          <w:szCs w:val="19"/>
          <w:color w:val="auto"/>
        </w:rPr>
        <w:t>The dilution from unvested restricted stock awards is based on the treasury stock method, whereby assumed proceeds equivalent to the unearned compensation as defined by SFAS 123(R) related to the awards are assumed to be used to repurchase shares on the open market at the average market price for the year. The company had 850 and 1,566 restricted stock awards outstanding during 2006 and 2005, respectively, that were antidilutive. There were no such restricted stock awards in 2007.</w:t>
      </w:r>
    </w:p>
    <w:p>
      <w:pPr>
        <w:spacing w:after="0" w:line="204" w:lineRule="exact"/>
        <w:rPr>
          <w:sz w:val="20"/>
          <w:szCs w:val="20"/>
          <w:color w:val="auto"/>
        </w:rPr>
      </w:pPr>
    </w:p>
    <w:p>
      <w:pPr>
        <w:jc w:val="both"/>
        <w:ind w:right="660"/>
        <w:spacing w:after="0" w:line="250" w:lineRule="auto"/>
        <w:rPr>
          <w:sz w:val="20"/>
          <w:szCs w:val="20"/>
          <w:color w:val="auto"/>
        </w:rPr>
      </w:pPr>
      <w:r>
        <w:rPr>
          <w:rFonts w:ascii="Arial" w:cs="Arial" w:eastAsia="Arial" w:hAnsi="Arial"/>
          <w:sz w:val="20"/>
          <w:szCs w:val="20"/>
          <w:color w:val="auto"/>
        </w:rPr>
        <w:t>The company is authorized to issue 750,000,000 shares of no-par-value common stock. In addition, the company is authorized to issue 50,000,000 shares of preferred stock having rights, preferences and privileges that would be established by the Sempra Energy board of directors at the time of issuance.</w:t>
      </w:r>
    </w:p>
    <w:p>
      <w:pPr>
        <w:sectPr>
          <w:pgSz w:w="11900" w:h="16838" w:orient="portrait"/>
          <w:cols w:equalWidth="0" w:num="1">
            <w:col w:w="11400"/>
          </w:cols>
          <w:pgMar w:left="240" w:top="116"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6"/>
          <w:szCs w:val="16"/>
          <w:color w:val="auto"/>
        </w:rPr>
        <w:t>104</w:t>
      </w:r>
    </w:p>
    <w:p>
      <w:pPr>
        <w:sectPr>
          <w:pgSz w:w="11900" w:h="16838" w:orient="portrait"/>
          <w:cols w:equalWidth="0" w:num="1">
            <w:col w:w="11400"/>
          </w:cols>
          <w:pgMar w:left="240" w:top="116" w:right="259" w:bottom="1440" w:gutter="0" w:footer="0" w:header="0"/>
          <w:type w:val="continuous"/>
        </w:sectPr>
      </w:pPr>
    </w:p>
    <w:bookmarkStart w:id="172" w:name="page173"/>
    <w:bookmarkEnd w:id="172"/>
    <w:p>
      <w:pPr>
        <w:spacing w:after="0"/>
        <w:rPr>
          <w:sz w:val="20"/>
          <w:szCs w:val="20"/>
          <w:color w:val="auto"/>
        </w:rPr>
      </w:pPr>
      <w:r>
        <w:rPr>
          <w:rFonts w:ascii="Arial" w:cs="Arial" w:eastAsia="Arial" w:hAnsi="Arial"/>
          <w:sz w:val="20"/>
          <w:szCs w:val="20"/>
          <w:color w:val="auto"/>
        </w:rPr>
        <w:t>Excluding shares held by the ESOP, common stock activity consisted of the following:</w:t>
      </w:r>
    </w:p>
    <w:p>
      <w:pPr>
        <w:spacing w:after="0" w:line="287" w:lineRule="exact"/>
        <w:rPr>
          <w:sz w:val="20"/>
          <w:szCs w:val="20"/>
          <w:color w:val="auto"/>
        </w:rPr>
      </w:pPr>
    </w:p>
    <w:tbl>
      <w:tblPr>
        <w:tblLayout w:type="fixed"/>
        <w:tblInd w:w="1400" w:type="dxa"/>
        <w:tblCellMar>
          <w:top w:w="0" w:type="dxa"/>
          <w:left w:w="0" w:type="dxa"/>
          <w:bottom w:w="0" w:type="dxa"/>
          <w:right w:w="0" w:type="dxa"/>
        </w:tblCellMar>
      </w:tblPr>
      <w:tr>
        <w:trPr>
          <w:trHeight w:val="237"/>
        </w:trPr>
        <w:tc>
          <w:tcPr>
            <w:tcW w:w="46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2007</w:t>
            </w:r>
          </w:p>
        </w:tc>
        <w:tc>
          <w:tcPr>
            <w:tcW w:w="13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2006</w:t>
            </w:r>
          </w:p>
        </w:tc>
        <w:tc>
          <w:tcPr>
            <w:tcW w:w="12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2005</w:t>
            </w:r>
          </w:p>
        </w:tc>
      </w:tr>
      <w:tr>
        <w:trPr>
          <w:trHeight w:val="230"/>
        </w:trPr>
        <w:tc>
          <w:tcPr>
            <w:tcW w:w="4640" w:type="dxa"/>
            <w:vAlign w:val="bottom"/>
          </w:tcPr>
          <w:p>
            <w:pPr>
              <w:spacing w:after="0"/>
              <w:rPr>
                <w:sz w:val="20"/>
                <w:szCs w:val="20"/>
                <w:color w:val="auto"/>
              </w:rPr>
            </w:pPr>
            <w:r>
              <w:rPr>
                <w:rFonts w:ascii="Arial" w:cs="Arial" w:eastAsia="Arial" w:hAnsi="Arial"/>
                <w:sz w:val="18"/>
                <w:szCs w:val="18"/>
                <w:color w:val="auto"/>
              </w:rPr>
              <w:t>Common shares outstanding, January 1</w:t>
            </w:r>
          </w:p>
        </w:tc>
        <w:tc>
          <w:tcPr>
            <w:tcW w:w="1400" w:type="dxa"/>
            <w:vAlign w:val="bottom"/>
          </w:tcPr>
          <w:p>
            <w:pPr>
              <w:jc w:val="right"/>
              <w:ind w:right="190"/>
              <w:spacing w:after="0"/>
              <w:rPr>
                <w:sz w:val="20"/>
                <w:szCs w:val="20"/>
                <w:color w:val="auto"/>
              </w:rPr>
            </w:pPr>
            <w:r>
              <w:rPr>
                <w:rFonts w:ascii="Arial" w:cs="Arial" w:eastAsia="Arial" w:hAnsi="Arial"/>
                <w:sz w:val="18"/>
                <w:szCs w:val="18"/>
                <w:color w:val="auto"/>
              </w:rPr>
              <w:t>262,005,690</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257,187,943</w:t>
            </w: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234,175,980</w:t>
            </w:r>
          </w:p>
        </w:tc>
      </w:tr>
      <w:tr>
        <w:trPr>
          <w:trHeight w:val="242"/>
        </w:trPr>
        <w:tc>
          <w:tcPr>
            <w:tcW w:w="4640" w:type="dxa"/>
            <w:vAlign w:val="bottom"/>
          </w:tcPr>
          <w:p>
            <w:pPr>
              <w:ind w:left="320"/>
              <w:spacing w:after="0"/>
              <w:rPr>
                <w:sz w:val="20"/>
                <w:szCs w:val="20"/>
                <w:color w:val="auto"/>
              </w:rPr>
            </w:pPr>
            <w:r>
              <w:rPr>
                <w:rFonts w:ascii="Arial" w:cs="Arial" w:eastAsia="Arial" w:hAnsi="Arial"/>
                <w:sz w:val="18"/>
                <w:szCs w:val="18"/>
                <w:color w:val="auto"/>
              </w:rPr>
              <w:t>Equity Units</w:t>
            </w:r>
          </w:p>
        </w:tc>
        <w:tc>
          <w:tcPr>
            <w:tcW w:w="14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19,655,999</w:t>
            </w:r>
          </w:p>
        </w:tc>
      </w:tr>
      <w:tr>
        <w:trPr>
          <w:trHeight w:val="243"/>
        </w:trPr>
        <w:tc>
          <w:tcPr>
            <w:tcW w:w="4640" w:type="dxa"/>
            <w:vAlign w:val="bottom"/>
          </w:tcPr>
          <w:p>
            <w:pPr>
              <w:ind w:left="320"/>
              <w:spacing w:after="0"/>
              <w:rPr>
                <w:sz w:val="20"/>
                <w:szCs w:val="20"/>
                <w:color w:val="auto"/>
              </w:rPr>
            </w:pPr>
            <w:r>
              <w:rPr>
                <w:rFonts w:ascii="Arial" w:cs="Arial" w:eastAsia="Arial" w:hAnsi="Arial"/>
                <w:sz w:val="18"/>
                <w:szCs w:val="18"/>
                <w:color w:val="auto"/>
              </w:rPr>
              <w:t>Savings plan issuance</w:t>
            </w:r>
          </w:p>
        </w:tc>
        <w:tc>
          <w:tcPr>
            <w:tcW w:w="1400" w:type="dxa"/>
            <w:vAlign w:val="bottom"/>
          </w:tcPr>
          <w:p>
            <w:pPr>
              <w:jc w:val="right"/>
              <w:ind w:right="190"/>
              <w:spacing w:after="0"/>
              <w:rPr>
                <w:sz w:val="20"/>
                <w:szCs w:val="20"/>
                <w:color w:val="auto"/>
              </w:rPr>
            </w:pPr>
            <w:r>
              <w:rPr>
                <w:rFonts w:ascii="Arial" w:cs="Arial" w:eastAsia="Arial" w:hAnsi="Arial"/>
                <w:sz w:val="18"/>
                <w:szCs w:val="18"/>
                <w:color w:val="auto"/>
              </w:rPr>
              <w:t>268,178</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807,258</w:t>
            </w: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376,418</w:t>
            </w:r>
          </w:p>
        </w:tc>
      </w:tr>
      <w:tr>
        <w:trPr>
          <w:trHeight w:val="243"/>
        </w:trPr>
        <w:tc>
          <w:tcPr>
            <w:tcW w:w="4640" w:type="dxa"/>
            <w:vAlign w:val="bottom"/>
          </w:tcPr>
          <w:p>
            <w:pPr>
              <w:ind w:left="320"/>
              <w:spacing w:after="0"/>
              <w:rPr>
                <w:sz w:val="20"/>
                <w:szCs w:val="20"/>
                <w:color w:val="auto"/>
              </w:rPr>
            </w:pPr>
            <w:r>
              <w:rPr>
                <w:rFonts w:ascii="Arial" w:cs="Arial" w:eastAsia="Arial" w:hAnsi="Arial"/>
                <w:sz w:val="18"/>
                <w:szCs w:val="18"/>
                <w:color w:val="auto"/>
              </w:rPr>
              <w:t>Shares released from ESOP</w:t>
            </w:r>
          </w:p>
        </w:tc>
        <w:tc>
          <w:tcPr>
            <w:tcW w:w="1400" w:type="dxa"/>
            <w:vAlign w:val="bottom"/>
          </w:tcPr>
          <w:p>
            <w:pPr>
              <w:jc w:val="right"/>
              <w:ind w:right="190"/>
              <w:spacing w:after="0"/>
              <w:rPr>
                <w:sz w:val="20"/>
                <w:szCs w:val="20"/>
                <w:color w:val="auto"/>
              </w:rPr>
            </w:pPr>
            <w:r>
              <w:rPr>
                <w:rFonts w:ascii="Arial" w:cs="Arial" w:eastAsia="Arial" w:hAnsi="Arial"/>
                <w:sz w:val="18"/>
                <w:szCs w:val="18"/>
                <w:color w:val="auto"/>
              </w:rPr>
              <w:t>195,720</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232,650</w:t>
            </w: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228,407</w:t>
            </w:r>
          </w:p>
        </w:tc>
      </w:tr>
      <w:tr>
        <w:trPr>
          <w:trHeight w:val="243"/>
        </w:trPr>
        <w:tc>
          <w:tcPr>
            <w:tcW w:w="4640" w:type="dxa"/>
            <w:vAlign w:val="bottom"/>
          </w:tcPr>
          <w:p>
            <w:pPr>
              <w:ind w:left="320"/>
              <w:spacing w:after="0"/>
              <w:rPr>
                <w:sz w:val="20"/>
                <w:szCs w:val="20"/>
                <w:color w:val="auto"/>
              </w:rPr>
            </w:pPr>
            <w:r>
              <w:rPr>
                <w:rFonts w:ascii="Arial" w:cs="Arial" w:eastAsia="Arial" w:hAnsi="Arial"/>
                <w:sz w:val="18"/>
                <w:szCs w:val="18"/>
                <w:color w:val="auto"/>
              </w:rPr>
              <w:t>Stock options exercised</w:t>
            </w:r>
          </w:p>
        </w:tc>
        <w:tc>
          <w:tcPr>
            <w:tcW w:w="1400" w:type="dxa"/>
            <w:vAlign w:val="bottom"/>
          </w:tcPr>
          <w:p>
            <w:pPr>
              <w:jc w:val="right"/>
              <w:ind w:right="190"/>
              <w:spacing w:after="0"/>
              <w:rPr>
                <w:sz w:val="20"/>
                <w:szCs w:val="20"/>
                <w:color w:val="auto"/>
              </w:rPr>
            </w:pPr>
            <w:r>
              <w:rPr>
                <w:rFonts w:ascii="Arial" w:cs="Arial" w:eastAsia="Arial" w:hAnsi="Arial"/>
                <w:sz w:val="18"/>
                <w:szCs w:val="18"/>
                <w:color w:val="auto"/>
              </w:rPr>
              <w:t>1,245,696</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3,306,937</w:t>
            </w: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4,023,167</w:t>
            </w:r>
          </w:p>
        </w:tc>
      </w:tr>
      <w:tr>
        <w:trPr>
          <w:trHeight w:val="243"/>
        </w:trPr>
        <w:tc>
          <w:tcPr>
            <w:tcW w:w="4640" w:type="dxa"/>
            <w:vAlign w:val="bottom"/>
          </w:tcPr>
          <w:p>
            <w:pPr>
              <w:ind w:left="320"/>
              <w:spacing w:after="0"/>
              <w:rPr>
                <w:sz w:val="20"/>
                <w:szCs w:val="20"/>
                <w:color w:val="auto"/>
              </w:rPr>
            </w:pPr>
            <w:r>
              <w:rPr>
                <w:rFonts w:ascii="Arial" w:cs="Arial" w:eastAsia="Arial" w:hAnsi="Arial"/>
                <w:sz w:val="18"/>
                <w:szCs w:val="18"/>
                <w:color w:val="auto"/>
              </w:rPr>
              <w:t>Restricted stock issuances</w:t>
            </w:r>
          </w:p>
        </w:tc>
        <w:tc>
          <w:tcPr>
            <w:tcW w:w="1400" w:type="dxa"/>
            <w:vAlign w:val="bottom"/>
          </w:tcPr>
          <w:p>
            <w:pPr>
              <w:jc w:val="right"/>
              <w:ind w:right="190"/>
              <w:spacing w:after="0"/>
              <w:rPr>
                <w:sz w:val="20"/>
                <w:szCs w:val="20"/>
                <w:color w:val="auto"/>
              </w:rPr>
            </w:pPr>
            <w:r>
              <w:rPr>
                <w:rFonts w:ascii="Arial" w:cs="Arial" w:eastAsia="Arial" w:hAnsi="Arial"/>
                <w:sz w:val="18"/>
                <w:szCs w:val="18"/>
                <w:color w:val="auto"/>
              </w:rPr>
              <w:t>803,706</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920,900</w:t>
            </w: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1,170,800</w:t>
            </w:r>
          </w:p>
        </w:tc>
      </w:tr>
      <w:tr>
        <w:trPr>
          <w:trHeight w:val="243"/>
        </w:trPr>
        <w:tc>
          <w:tcPr>
            <w:tcW w:w="4640" w:type="dxa"/>
            <w:vAlign w:val="bottom"/>
          </w:tcPr>
          <w:p>
            <w:pPr>
              <w:ind w:left="320"/>
              <w:spacing w:after="0"/>
              <w:rPr>
                <w:sz w:val="20"/>
                <w:szCs w:val="20"/>
                <w:color w:val="auto"/>
              </w:rPr>
            </w:pPr>
            <w:r>
              <w:rPr>
                <w:rFonts w:ascii="Arial" w:cs="Arial" w:eastAsia="Arial" w:hAnsi="Arial"/>
                <w:sz w:val="18"/>
                <w:szCs w:val="18"/>
                <w:color w:val="auto"/>
              </w:rPr>
              <w:t>Common stock investment plan*</w:t>
            </w:r>
          </w:p>
        </w:tc>
        <w:tc>
          <w:tcPr>
            <w:tcW w:w="1400" w:type="dxa"/>
            <w:vAlign w:val="bottom"/>
          </w:tcPr>
          <w:p>
            <w:pPr>
              <w:jc w:val="right"/>
              <w:ind w:right="190"/>
              <w:spacing w:after="0"/>
              <w:rPr>
                <w:sz w:val="20"/>
                <w:szCs w:val="20"/>
                <w:color w:val="auto"/>
              </w:rPr>
            </w:pPr>
            <w:r>
              <w:rPr>
                <w:rFonts w:ascii="Arial" w:cs="Arial" w:eastAsia="Arial" w:hAnsi="Arial"/>
                <w:sz w:val="18"/>
                <w:szCs w:val="18"/>
                <w:color w:val="auto"/>
              </w:rPr>
              <w:t>95,499</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352,736</w:t>
            </w: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127,983</w:t>
            </w:r>
          </w:p>
        </w:tc>
      </w:tr>
      <w:tr>
        <w:trPr>
          <w:trHeight w:val="261"/>
        </w:trPr>
        <w:tc>
          <w:tcPr>
            <w:tcW w:w="4640" w:type="dxa"/>
            <w:vAlign w:val="bottom"/>
          </w:tcPr>
          <w:p>
            <w:pPr>
              <w:ind w:left="320"/>
              <w:spacing w:after="0"/>
              <w:rPr>
                <w:sz w:val="20"/>
                <w:szCs w:val="20"/>
                <w:color w:val="auto"/>
              </w:rPr>
            </w:pPr>
            <w:r>
              <w:rPr>
                <w:rFonts w:ascii="Arial" w:cs="Arial" w:eastAsia="Arial" w:hAnsi="Arial"/>
                <w:sz w:val="18"/>
                <w:szCs w:val="18"/>
                <w:color w:val="auto"/>
              </w:rPr>
              <w:t>Shares repurchased</w:t>
            </w:r>
          </w:p>
        </w:tc>
        <w:tc>
          <w:tcPr>
            <w:tcW w:w="1400" w:type="dxa"/>
            <w:vAlign w:val="bottom"/>
          </w:tcPr>
          <w:p>
            <w:pPr>
              <w:jc w:val="right"/>
              <w:ind w:right="110"/>
              <w:spacing w:after="0"/>
              <w:rPr>
                <w:sz w:val="20"/>
                <w:szCs w:val="20"/>
                <w:color w:val="auto"/>
              </w:rPr>
            </w:pPr>
            <w:r>
              <w:rPr>
                <w:rFonts w:ascii="Arial" w:cs="Arial" w:eastAsia="Arial" w:hAnsi="Arial"/>
                <w:sz w:val="18"/>
                <w:szCs w:val="18"/>
                <w:color w:val="auto"/>
              </w:rPr>
              <w:t>(3,349,771 )</w:t>
            </w: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(706,554 )</w:t>
            </w:r>
          </w:p>
        </w:tc>
        <w:tc>
          <w:tcPr>
            <w:tcW w:w="1240" w:type="dxa"/>
            <w:vAlign w:val="bottom"/>
          </w:tcPr>
          <w:p>
            <w:pPr>
              <w:jc w:val="right"/>
              <w:spacing w:after="0"/>
              <w:rPr>
                <w:sz w:val="20"/>
                <w:szCs w:val="20"/>
                <w:color w:val="auto"/>
              </w:rPr>
            </w:pPr>
            <w:r>
              <w:rPr>
                <w:rFonts w:ascii="Arial" w:cs="Arial" w:eastAsia="Arial" w:hAnsi="Arial"/>
                <w:sz w:val="18"/>
                <w:szCs w:val="18"/>
                <w:color w:val="auto"/>
              </w:rPr>
              <w:t xml:space="preserve">(2,453,346 </w:t>
            </w:r>
            <w:r>
              <w:rPr>
                <w:rFonts w:ascii="Arial" w:cs="Arial" w:eastAsia="Arial" w:hAnsi="Arial"/>
                <w:sz w:val="19"/>
                <w:szCs w:val="19"/>
                <w:color w:val="auto"/>
              </w:rPr>
              <w:t>)</w:t>
            </w:r>
          </w:p>
        </w:tc>
      </w:tr>
      <w:tr>
        <w:trPr>
          <w:trHeight w:val="260"/>
        </w:trPr>
        <w:tc>
          <w:tcPr>
            <w:tcW w:w="4640" w:type="dxa"/>
            <w:vAlign w:val="bottom"/>
          </w:tcPr>
          <w:p>
            <w:pPr>
              <w:ind w:left="320"/>
              <w:spacing w:after="0"/>
              <w:rPr>
                <w:sz w:val="20"/>
                <w:szCs w:val="20"/>
                <w:color w:val="auto"/>
              </w:rPr>
            </w:pPr>
            <w:r>
              <w:rPr>
                <w:rFonts w:ascii="Arial" w:cs="Arial" w:eastAsia="Arial" w:hAnsi="Arial"/>
                <w:sz w:val="18"/>
                <w:szCs w:val="18"/>
                <w:color w:val="auto"/>
              </w:rPr>
              <w:t>Shares forfeited and other</w:t>
            </w:r>
          </w:p>
        </w:tc>
        <w:tc>
          <w:tcPr>
            <w:tcW w:w="14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(50,709 )</w:t>
            </w:r>
          </w:p>
        </w:tc>
        <w:tc>
          <w:tcPr>
            <w:tcW w:w="1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(96,180 )</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xml:space="preserve">(117,465 </w:t>
            </w:r>
            <w:r>
              <w:rPr>
                <w:rFonts w:ascii="Arial" w:cs="Arial" w:eastAsia="Arial" w:hAnsi="Arial"/>
                <w:sz w:val="19"/>
                <w:szCs w:val="19"/>
                <w:color w:val="auto"/>
              </w:rPr>
              <w:t>)</w:t>
            </w:r>
          </w:p>
        </w:tc>
      </w:tr>
      <w:tr>
        <w:trPr>
          <w:trHeight w:val="230"/>
        </w:trPr>
        <w:tc>
          <w:tcPr>
            <w:tcW w:w="4640" w:type="dxa"/>
            <w:vAlign w:val="bottom"/>
          </w:tcPr>
          <w:p>
            <w:pPr>
              <w:spacing w:after="0"/>
              <w:rPr>
                <w:sz w:val="20"/>
                <w:szCs w:val="20"/>
                <w:color w:val="auto"/>
              </w:rPr>
            </w:pPr>
            <w:r>
              <w:rPr>
                <w:rFonts w:ascii="Arial" w:cs="Arial" w:eastAsia="Arial" w:hAnsi="Arial"/>
                <w:sz w:val="18"/>
                <w:szCs w:val="18"/>
                <w:color w:val="auto"/>
              </w:rPr>
              <w:t>Common shares outstanding, December 31</w:t>
            </w:r>
          </w:p>
        </w:tc>
        <w:tc>
          <w:tcPr>
            <w:tcW w:w="1400" w:type="dxa"/>
            <w:vAlign w:val="bottom"/>
          </w:tcPr>
          <w:p>
            <w:pPr>
              <w:jc w:val="right"/>
              <w:ind w:right="190"/>
              <w:spacing w:after="0"/>
              <w:rPr>
                <w:sz w:val="20"/>
                <w:szCs w:val="20"/>
                <w:color w:val="auto"/>
              </w:rPr>
            </w:pPr>
            <w:r>
              <w:rPr>
                <w:rFonts w:ascii="Arial" w:cs="Arial" w:eastAsia="Arial" w:hAnsi="Arial"/>
                <w:sz w:val="18"/>
                <w:szCs w:val="18"/>
                <w:color w:val="auto"/>
              </w:rPr>
              <w:t>261,214,009</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262,005,690</w:t>
            </w: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257,187,943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888365</wp:posOffset>
            </wp:positionH>
            <wp:positionV relativeFrom="paragraph">
              <wp:posOffset>8255</wp:posOffset>
            </wp:positionV>
            <wp:extent cx="548830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488305" cy="26035"/>
                    </a:xfrm>
                    <a:prstGeom prst="rect">
                      <a:avLst/>
                    </a:prstGeom>
                    <a:noFill/>
                  </pic:spPr>
                </pic:pic>
              </a:graphicData>
            </a:graphic>
          </wp:anchor>
        </w:drawing>
      </w:r>
    </w:p>
    <w:p>
      <w:pPr>
        <w:spacing w:after="0" w:line="32" w:lineRule="exact"/>
        <w:rPr>
          <w:sz w:val="20"/>
          <w:szCs w:val="20"/>
          <w:color w:val="auto"/>
        </w:rPr>
      </w:pPr>
    </w:p>
    <w:p>
      <w:pPr>
        <w:ind w:left="1720" w:hanging="314"/>
        <w:spacing w:after="0"/>
        <w:tabs>
          <w:tab w:leader="none" w:pos="17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Participants in the Direct Stock Purchase Plan may reinvest dividends to purchase newly issued shares.</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Shares of common stock held by the ESOP were 1,488,046, 1,683,766 and 1,916,416 at December 31, 2007, 2006 and 2005, respectively.</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These shares are unallocated and therefore excluded from the computation of EPS.</w:t>
      </w:r>
    </w:p>
    <w:p>
      <w:pPr>
        <w:spacing w:after="0" w:line="227"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The payment of future dividends and the amount thereof are within the discretion of the company's board of directors. The CPUC's regulation of the Sempra Utilities' capital structure limits the amounts that are available for dividends and loans to the company from the Sempra Utilities. At December 31, 2007, SoCalGas and SDG&amp;E could have provided a total of $30 million and $29 million, respectively, to Sempra Energy, through dividends and loans.</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Equity Units</w:t>
      </w:r>
    </w:p>
    <w:p>
      <w:pPr>
        <w:spacing w:after="0" w:line="249" w:lineRule="exact"/>
        <w:rPr>
          <w:sz w:val="20"/>
          <w:szCs w:val="20"/>
          <w:color w:val="auto"/>
        </w:rPr>
      </w:pPr>
    </w:p>
    <w:p>
      <w:pPr>
        <w:ind w:right="40"/>
        <w:spacing w:after="0" w:line="246" w:lineRule="auto"/>
        <w:rPr>
          <w:sz w:val="20"/>
          <w:szCs w:val="20"/>
          <w:color w:val="auto"/>
        </w:rPr>
      </w:pPr>
      <w:r>
        <w:rPr>
          <w:rFonts w:ascii="Arial" w:cs="Arial" w:eastAsia="Arial" w:hAnsi="Arial"/>
          <w:sz w:val="20"/>
          <w:szCs w:val="20"/>
          <w:color w:val="auto"/>
        </w:rPr>
        <w:t>In 2002, the company issued $600 million of Equity Units. The units included $600 million of the company's 5.60-percent senior notes due May 17, 2007 and a contract to purchase shares of the company stock on May 17, 2005 at a price per share determined by the then-prevailing market price. In 2005, 19,655,999 shares of common stock were issued in settlement of the contracts to purchase the company's common stock for $600 million.</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Common Stock Repurchase Programs</w:t>
      </w:r>
    </w:p>
    <w:p>
      <w:pPr>
        <w:spacing w:after="0" w:line="249" w:lineRule="exact"/>
        <w:rPr>
          <w:sz w:val="20"/>
          <w:szCs w:val="20"/>
          <w:color w:val="auto"/>
        </w:rPr>
      </w:pPr>
    </w:p>
    <w:p>
      <w:pPr>
        <w:spacing w:after="0" w:line="291" w:lineRule="auto"/>
        <w:rPr>
          <w:sz w:val="20"/>
          <w:szCs w:val="20"/>
          <w:color w:val="auto"/>
        </w:rPr>
      </w:pPr>
      <w:r>
        <w:rPr>
          <w:rFonts w:ascii="Arial" w:cs="Arial" w:eastAsia="Arial" w:hAnsi="Arial"/>
          <w:sz w:val="18"/>
          <w:szCs w:val="18"/>
          <w:color w:val="auto"/>
        </w:rPr>
        <w:t>On September 11, 2007, the board of directors authorized the repurchase of additional shares of the company's common stock provided that the amounts expended for such purposes do not exceed the greater of $2 billion or amounts expended to purchase no more than 40 million shares. Purchases may include open-market and negotiated transactions, structured purchase arrangements and tender offers.</w:t>
      </w:r>
    </w:p>
    <w:p>
      <w:pPr>
        <w:spacing w:after="0" w:line="179" w:lineRule="exact"/>
        <w:rPr>
          <w:sz w:val="20"/>
          <w:szCs w:val="20"/>
          <w:color w:val="auto"/>
        </w:rPr>
      </w:pPr>
    </w:p>
    <w:p>
      <w:pPr>
        <w:ind w:right="20"/>
        <w:spacing w:after="0" w:line="250" w:lineRule="auto"/>
        <w:rPr>
          <w:sz w:val="20"/>
          <w:szCs w:val="20"/>
          <w:color w:val="auto"/>
        </w:rPr>
      </w:pPr>
      <w:r>
        <w:rPr>
          <w:rFonts w:ascii="Arial" w:cs="Arial" w:eastAsia="Arial" w:hAnsi="Arial"/>
          <w:sz w:val="20"/>
          <w:szCs w:val="20"/>
          <w:color w:val="auto"/>
        </w:rPr>
        <w:t>On April 6, 2005, the board of directors authorized the expenditure of up to $250 million for the purchase of shares of common stock, substantially all of which has been utilized through September 2007, for the repurchase of 5,232,630 shares. Under the program, 2,966,130 and 2,266,500 shares were repurchased for $161 million and $88 million in 2007 and 2005, respectively.</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These share repurchase programs are unrelated to share-based compensation as described in Note 10.</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20"/>
          <w:szCs w:val="20"/>
          <w:color w:val="auto"/>
        </w:rPr>
        <w:t>105</w:t>
      </w:r>
    </w:p>
    <w:p>
      <w:pPr>
        <w:sectPr>
          <w:pgSz w:w="11900" w:h="16838" w:orient="portrait"/>
          <w:cols w:equalWidth="0" w:num="1">
            <w:col w:w="11360"/>
          </w:cols>
          <w:pgMar w:left="240" w:top="122" w:right="299" w:bottom="1440" w:gutter="0" w:footer="0" w:header="0"/>
        </w:sectPr>
      </w:pPr>
    </w:p>
    <w:bookmarkStart w:id="173" w:name="page174"/>
    <w:bookmarkEnd w:id="173"/>
    <w:p>
      <w:pPr>
        <w:spacing w:after="0"/>
        <w:rPr>
          <w:sz w:val="20"/>
          <w:szCs w:val="20"/>
          <w:color w:val="auto"/>
        </w:rPr>
      </w:pPr>
      <w:r>
        <w:rPr>
          <w:rFonts w:ascii="Arial" w:cs="Arial" w:eastAsia="Arial" w:hAnsi="Arial"/>
          <w:sz w:val="20"/>
          <w:szCs w:val="20"/>
          <w:b w:val="1"/>
          <w:bCs w:val="1"/>
          <w:color w:val="auto"/>
        </w:rPr>
        <w:t>NOTE 14. ELECTRIC INDUSTRY REGULATION</w:t>
      </w: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Background</w:t>
      </w:r>
    </w:p>
    <w:p>
      <w:pPr>
        <w:spacing w:after="0" w:line="249" w:lineRule="exact"/>
        <w:rPr>
          <w:sz w:val="20"/>
          <w:szCs w:val="20"/>
          <w:color w:val="auto"/>
        </w:rPr>
      </w:pPr>
    </w:p>
    <w:p>
      <w:pPr>
        <w:ind w:right="280"/>
        <w:spacing w:after="0" w:line="243" w:lineRule="auto"/>
        <w:rPr>
          <w:sz w:val="20"/>
          <w:szCs w:val="20"/>
          <w:color w:val="auto"/>
        </w:rPr>
      </w:pPr>
      <w:r>
        <w:rPr>
          <w:rFonts w:ascii="Arial" w:cs="Arial" w:eastAsia="Arial" w:hAnsi="Arial"/>
          <w:sz w:val="20"/>
          <w:szCs w:val="20"/>
          <w:color w:val="auto"/>
        </w:rPr>
        <w:t>One legislative response to the 2000 - 2001 energy crisis resulted in the purchase by the DWR of a substantial portion of the power requirements of California's electricity users. In 2001, the DWR entered into long-term contracts with suppliers, including Sempra Generation, to provide power for the utility procurement customers of each of the California investor-owned utilities (IOUs). The CPUC has established the allocation among the IOUs of the power and its administrative responsibility, including collection of power contract costs from utility customers. Beginning on January 1, 2003, the IOUs resumed responsibility for electric commodity procurement above their allocated share of the DWR's long-term contracts.</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Department of Water Resources</w:t>
      </w:r>
    </w:p>
    <w:p>
      <w:pPr>
        <w:spacing w:after="0" w:line="249" w:lineRule="exact"/>
        <w:rPr>
          <w:sz w:val="20"/>
          <w:szCs w:val="20"/>
          <w:color w:val="auto"/>
        </w:rPr>
      </w:pPr>
    </w:p>
    <w:p>
      <w:pPr>
        <w:ind w:right="40"/>
        <w:spacing w:after="0" w:line="244" w:lineRule="auto"/>
        <w:rPr>
          <w:sz w:val="20"/>
          <w:szCs w:val="20"/>
          <w:color w:val="auto"/>
        </w:rPr>
      </w:pPr>
      <w:r>
        <w:rPr>
          <w:rFonts w:ascii="Arial" w:cs="Arial" w:eastAsia="Arial" w:hAnsi="Arial"/>
          <w:sz w:val="20"/>
          <w:szCs w:val="20"/>
          <w:color w:val="auto"/>
        </w:rPr>
        <w:t>The DWR operating agreement with SDG&amp;E, approved by the CPUC, provides that SDG&amp;E is acting as a limited agent on behalf of the DWR in undertaking energy sales and natural gas procurement functions under the DWR contracts allocated to SDG&amp;E's customers. Legal and financial responsibility associated with these activities continues to reside with the DWR. Therefore, commodity costs associated with long-term contracts allocated to SDG&amp;E from the DWR (and the revenues to recover those costs) are not included in the Statements of Consolidated Income.</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Power Procurement and Resource Planning</w:t>
      </w:r>
    </w:p>
    <w:p>
      <w:pPr>
        <w:spacing w:after="0" w:line="249"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Effective in 2003, the CPUC directed the IOUs to resume electric commodity procurement to cover their net short energy requirements and also implemented legislation regarding procurement and renewable energy portfolio standards. In addition, the CPUC established a process for review and approval of the utilities' long-term resource and procurement plans, which is intended to identify forecasted needs for generation and transmission resources within a utility's service territory to support transmission grid reliability and to serve customers.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Sunrise Powerlink Electric Transmission Line</w:t>
      </w:r>
    </w:p>
    <w:p>
      <w:pPr>
        <w:spacing w:after="0" w:line="243" w:lineRule="exact"/>
        <w:rPr>
          <w:sz w:val="20"/>
          <w:szCs w:val="20"/>
          <w:color w:val="auto"/>
        </w:rPr>
      </w:pPr>
    </w:p>
    <w:p>
      <w:pPr>
        <w:ind w:right="60"/>
        <w:spacing w:after="0" w:line="244" w:lineRule="auto"/>
        <w:rPr>
          <w:sz w:val="20"/>
          <w:szCs w:val="20"/>
          <w:color w:val="auto"/>
        </w:rPr>
      </w:pPr>
      <w:r>
        <w:rPr>
          <w:rFonts w:ascii="Arial" w:cs="Arial" w:eastAsia="Arial" w:hAnsi="Arial"/>
          <w:sz w:val="20"/>
          <w:szCs w:val="20"/>
          <w:color w:val="auto"/>
        </w:rPr>
        <w:t>SDG&amp;E has applied to the CPUC for authorization to construct the Sunrise Powerlink, a 500-kV electric transmission line between the Imperial Valley and the San Diego region that will be able to deliver 1,000 MW. The project, as proposed, is estimated to cost $1.3 billion, which includes AFUDC related to both debt and equity. In November 2007, the Imperial Irrigation District, which had entered into a Memorandum of Agreement with SDG&amp;E to cooperatively build the project subject to the negotiation of a definitive agreement, decided not to participate in the project.</w:t>
      </w:r>
    </w:p>
    <w:p>
      <w:pPr>
        <w:spacing w:after="0" w:line="222" w:lineRule="exact"/>
        <w:rPr>
          <w:sz w:val="20"/>
          <w:szCs w:val="20"/>
          <w:color w:val="auto"/>
        </w:rPr>
      </w:pPr>
    </w:p>
    <w:p>
      <w:pPr>
        <w:ind w:right="160"/>
        <w:spacing w:after="0" w:line="287" w:lineRule="auto"/>
        <w:rPr>
          <w:sz w:val="20"/>
          <w:szCs w:val="20"/>
          <w:color w:val="auto"/>
        </w:rPr>
      </w:pPr>
      <w:r>
        <w:rPr>
          <w:rFonts w:ascii="Arial" w:cs="Arial" w:eastAsia="Arial" w:hAnsi="Arial"/>
          <w:sz w:val="19"/>
          <w:szCs w:val="19"/>
          <w:color w:val="auto"/>
        </w:rPr>
        <w:t>Phase I evidentiary hearings covering project need were completed in October 2007, and the Administrative Law Judge (ALJ) directed parties to submit Phase I opening and reply briefs, which were filed on November 9, 2007 and November 30, 2007, respectively.</w:t>
      </w:r>
    </w:p>
    <w:p>
      <w:pPr>
        <w:spacing w:after="0" w:line="180" w:lineRule="exact"/>
        <w:rPr>
          <w:sz w:val="20"/>
          <w:szCs w:val="20"/>
          <w:color w:val="auto"/>
        </w:rPr>
      </w:pPr>
    </w:p>
    <w:p>
      <w:pPr>
        <w:ind w:right="40"/>
        <w:spacing w:after="0" w:line="243" w:lineRule="auto"/>
        <w:rPr>
          <w:sz w:val="20"/>
          <w:szCs w:val="20"/>
          <w:color w:val="auto"/>
        </w:rPr>
      </w:pPr>
      <w:r>
        <w:rPr>
          <w:rFonts w:ascii="Arial" w:cs="Arial" w:eastAsia="Arial" w:hAnsi="Arial"/>
          <w:sz w:val="20"/>
          <w:szCs w:val="20"/>
          <w:color w:val="auto"/>
        </w:rPr>
        <w:t>In January 2008, the CPUC issued a draft Environmental Impact Report (EIR) and Environmental Impact Study (EIS) for public comment and will hold additional workshops and public participation hearings in response to their findings. Comments on the draft EIR/EIS are due in April 2008. Among other things, the draft EIR/EIS finds that a combination of in-basin conventional fossil fuel generation and renewable generation is the environmentally superior alternative when analyzed entirely from an environmental impact standpoint. The environmental analysis is one of many studies the CPUC will evaluate in its overall project assessment. Phase II evidentiary hearings have been scheduled for April 2008 to address</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20"/>
          <w:szCs w:val="20"/>
          <w:color w:val="auto"/>
        </w:rPr>
        <w:t>106</w:t>
      </w:r>
    </w:p>
    <w:p>
      <w:pPr>
        <w:sectPr>
          <w:pgSz w:w="11900" w:h="16838" w:orient="portrait"/>
          <w:cols w:equalWidth="0" w:num="1">
            <w:col w:w="11420"/>
          </w:cols>
          <w:pgMar w:left="240" w:top="118" w:right="239" w:bottom="1440" w:gutter="0" w:footer="0" w:header="0"/>
        </w:sectPr>
      </w:pPr>
    </w:p>
    <w:bookmarkStart w:id="174" w:name="page175"/>
    <w:bookmarkEnd w:id="174"/>
    <w:p>
      <w:pPr>
        <w:ind w:right="100"/>
        <w:spacing w:after="0" w:line="250" w:lineRule="auto"/>
        <w:rPr>
          <w:sz w:val="20"/>
          <w:szCs w:val="20"/>
          <w:color w:val="auto"/>
        </w:rPr>
      </w:pPr>
      <w:r>
        <w:rPr>
          <w:rFonts w:ascii="Arial" w:cs="Arial" w:eastAsia="Arial" w:hAnsi="Arial"/>
          <w:sz w:val="20"/>
          <w:szCs w:val="20"/>
          <w:color w:val="auto"/>
        </w:rPr>
        <w:t>environmental issues associated with the project, including alternative project and route proposals. The final EIR/EIS is scheduled to be issued by June 2008. A final CPUC decision on the project, which will consider the environmental, technical and economic attributes of the various alternatives, is expected in the second half of 2008.</w:t>
      </w:r>
    </w:p>
    <w:p>
      <w:pPr>
        <w:spacing w:after="0" w:line="214" w:lineRule="exact"/>
        <w:rPr>
          <w:sz w:val="20"/>
          <w:szCs w:val="20"/>
          <w:color w:val="auto"/>
        </w:rPr>
      </w:pPr>
    </w:p>
    <w:p>
      <w:pPr>
        <w:ind w:right="100"/>
        <w:spacing w:after="0" w:line="260" w:lineRule="auto"/>
        <w:rPr>
          <w:sz w:val="20"/>
          <w:szCs w:val="20"/>
          <w:color w:val="auto"/>
        </w:rPr>
      </w:pPr>
      <w:r>
        <w:rPr>
          <w:rFonts w:ascii="Arial" w:cs="Arial" w:eastAsia="Arial" w:hAnsi="Arial"/>
          <w:sz w:val="20"/>
          <w:szCs w:val="20"/>
          <w:color w:val="auto"/>
        </w:rPr>
        <w:t>Given this timeline, if the project is approved by the CPUC as proposed in the company’s original filings, the earliest management projects the Sunrise Powerlink would be in commercial operation would be in the first half of 2011.</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Renewable Energy</w:t>
      </w:r>
    </w:p>
    <w:p>
      <w:pPr>
        <w:spacing w:after="0" w:line="243"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California Senate Bill 107 (SB 107), enacted in September 2006, requires certain California electric retail sellers, including SDG&amp;E, to achieve a 20-percent renewable energy portfolio by 2010. The rules governing this requirement, administered by both the CPUC and the California Energy Commission, are generally known as the Renewable Portfolio Standards (RPS).</w:t>
      </w:r>
    </w:p>
    <w:p>
      <w:pPr>
        <w:spacing w:after="0" w:line="213" w:lineRule="exact"/>
        <w:rPr>
          <w:sz w:val="20"/>
          <w:szCs w:val="20"/>
          <w:color w:val="auto"/>
        </w:rPr>
      </w:pPr>
    </w:p>
    <w:p>
      <w:pPr>
        <w:ind w:right="140"/>
        <w:spacing w:after="0" w:line="244" w:lineRule="auto"/>
        <w:rPr>
          <w:sz w:val="20"/>
          <w:szCs w:val="20"/>
          <w:color w:val="auto"/>
        </w:rPr>
      </w:pPr>
      <w:r>
        <w:rPr>
          <w:rFonts w:ascii="Arial" w:cs="Arial" w:eastAsia="Arial" w:hAnsi="Arial"/>
          <w:sz w:val="20"/>
          <w:szCs w:val="20"/>
          <w:color w:val="auto"/>
        </w:rPr>
        <w:t>At the end of December 2007, SDG&amp;E has renewable energy supply under contract of approximately 13 percent of its projected 2010 retail demand. A substantial portion of these contracts, however, are contingent upon many factors, including access to electric transmission infrastructure (including SDG&amp;E's proposed Sunrise Powerlink transmission line), timely regulatory approval of contracted renewable energy projects, the renewable energy project developers' ability to obtain project financing, and successful development and implementation of the renewable energy technologies.</w:t>
      </w:r>
    </w:p>
    <w:p>
      <w:pPr>
        <w:spacing w:after="0" w:line="222" w:lineRule="exact"/>
        <w:rPr>
          <w:sz w:val="20"/>
          <w:szCs w:val="20"/>
          <w:color w:val="auto"/>
        </w:rPr>
      </w:pPr>
    </w:p>
    <w:p>
      <w:pPr>
        <w:ind w:right="40"/>
        <w:spacing w:after="0" w:line="272" w:lineRule="auto"/>
        <w:rPr>
          <w:sz w:val="20"/>
          <w:szCs w:val="20"/>
          <w:color w:val="auto"/>
        </w:rPr>
      </w:pPr>
      <w:r>
        <w:rPr>
          <w:rFonts w:ascii="Arial" w:cs="Arial" w:eastAsia="Arial" w:hAnsi="Arial"/>
          <w:sz w:val="18"/>
          <w:szCs w:val="18"/>
          <w:color w:val="auto"/>
        </w:rPr>
        <w:t>Given the revised Sunrise Powerlink EIR/EIS timeline, as discussed above, the Sunrise Powerlink transmission line, if approved, will not be in operation to provide transmission capability to meet the RPS requirements by the 2010 deadline. Consequently, SDG&amp;E believes it is unlikely that it will be able to meet the 2010 delivered-energy goal as contained in the RPS. SDG&amp;E's failure to attain the 20-percent goal in 2010, or in any subsequent year, could subject it to a CPUC-imposed penalty, subject to flexible compliance measures, of 5 cents per kilowatt hour of renewable energy under-delivery up to a maximum penalty of $25 million per year under the current rules. In January 2008, the CPUC issued a proposed decision defining the flexible compliance mechanisms that can be used in meeting the RPS goals in 2010 and beyond, including clarifying rules within which insufficient transmission is a permissible reason for failing to sa tisfy the RPS goals. While SDG&amp;E believes it will be able to comply with the RPS requirements based on its contracting activity and application of the flexible compliance mechanisms, SDG&amp;E is unable to predict whether it will be penalized or the amount that would be imposed.</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Greenhouse Gas Regulation</w:t>
      </w:r>
    </w:p>
    <w:p>
      <w:pPr>
        <w:spacing w:after="0" w:line="243" w:lineRule="exact"/>
        <w:rPr>
          <w:sz w:val="20"/>
          <w:szCs w:val="20"/>
          <w:color w:val="auto"/>
        </w:rPr>
      </w:pPr>
    </w:p>
    <w:p>
      <w:pPr>
        <w:ind w:right="140"/>
        <w:spacing w:after="0" w:line="278" w:lineRule="auto"/>
        <w:rPr>
          <w:sz w:val="20"/>
          <w:szCs w:val="20"/>
          <w:color w:val="auto"/>
        </w:rPr>
      </w:pPr>
      <w:r>
        <w:rPr>
          <w:rFonts w:ascii="Arial" w:cs="Arial" w:eastAsia="Arial" w:hAnsi="Arial"/>
          <w:sz w:val="18"/>
          <w:szCs w:val="18"/>
          <w:color w:val="auto"/>
        </w:rPr>
        <w:t>Legislation was enacted in 2006, including California Assembly Bill 32 (AB 32) and California Senate Bill 1368 (SB 1368), mandating reductions in greenhouse gas emissions, which could affect costs and growth at the Sempra Utilities and at Sempra Generation's power plants. Any cost impact at the Sempra Utilities is expected to be recoverable through rates. As discussed in Note 16 under "Environmental Issues," compliance with this and similar legislation could adversely affect Sempra Generation. However, such legislation may also present growth opportunities for Sempra Generation due to increased preferability of natural gas for electric generation, as opposed to other sources.</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Long-Term Procurement Plan</w:t>
      </w:r>
    </w:p>
    <w:p>
      <w:pPr>
        <w:spacing w:after="0" w:line="243" w:lineRule="exact"/>
        <w:rPr>
          <w:sz w:val="20"/>
          <w:szCs w:val="20"/>
          <w:color w:val="auto"/>
        </w:rPr>
      </w:pPr>
    </w:p>
    <w:p>
      <w:pPr>
        <w:ind w:right="120"/>
        <w:spacing w:after="0" w:line="250" w:lineRule="auto"/>
        <w:rPr>
          <w:sz w:val="20"/>
          <w:szCs w:val="20"/>
          <w:color w:val="auto"/>
        </w:rPr>
      </w:pPr>
      <w:r>
        <w:rPr>
          <w:rFonts w:ascii="Arial" w:cs="Arial" w:eastAsia="Arial" w:hAnsi="Arial"/>
          <w:sz w:val="20"/>
          <w:szCs w:val="20"/>
          <w:color w:val="auto"/>
        </w:rPr>
        <w:t>SDG&amp;E filed its long-term procurement plan (LTPP) with the CPUC in December 2006, including a ten-year energy resource plan that details its expected portfolio of energy resources over the planning horizon of 2007 - 2016. The LTPP incorporates the renewable energy and greenhouse gas emissions performance</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color w:val="auto"/>
        </w:rPr>
        <w:t>107</w:t>
      </w:r>
    </w:p>
    <w:p>
      <w:pPr>
        <w:sectPr>
          <w:pgSz w:w="11900" w:h="16838" w:orient="portrait"/>
          <w:cols w:equalWidth="0" w:num="1">
            <w:col w:w="11400"/>
          </w:cols>
          <w:pgMar w:left="240" w:top="122" w:right="259" w:bottom="1440" w:gutter="0" w:footer="0" w:header="0"/>
        </w:sectPr>
      </w:pPr>
    </w:p>
    <w:bookmarkStart w:id="175" w:name="page176"/>
    <w:bookmarkEnd w:id="175"/>
    <w:p>
      <w:pPr>
        <w:spacing w:after="0" w:line="258" w:lineRule="auto"/>
        <w:rPr>
          <w:sz w:val="20"/>
          <w:szCs w:val="20"/>
          <w:color w:val="auto"/>
        </w:rPr>
      </w:pPr>
      <w:r>
        <w:rPr>
          <w:rFonts w:ascii="Arial" w:cs="Arial" w:eastAsia="Arial" w:hAnsi="Arial"/>
          <w:sz w:val="19"/>
          <w:szCs w:val="19"/>
          <w:color w:val="auto"/>
        </w:rPr>
        <w:t>standards established by the CPUC and by AB 32, SB 107 and SB 1368. SDG&amp;E's LTPP identifies, among other details, the need for additional system generation resources beginning in 2010, including a baseload plant in 2012. A final CPUC decision was issued in December 2007 adopting the various elements of the SDG&amp;E LTPP. Consistent with its LTPP, SDG&amp;E separately filed an application with the CPUC in August 2007 seeking authority to exercise its option to acquire, in 2011, the El Dorado power plant from Sempra Generation at Sempra Generation’s net book value on the date of acquisition, estimated to be $189 million, as part of a settlement described in Note 16 under "Other Natural Gas Cases." The CPUC and the FERC approved SDG&amp;E’s request to exercise its option to acquire the El Dorado power plant in 2011 in November 2007 and February 2008, respectively.</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San Onofre Nuclear Generating Station (SONGS)</w:t>
      </w:r>
    </w:p>
    <w:p>
      <w:pPr>
        <w:spacing w:after="0" w:line="249" w:lineRule="exact"/>
        <w:rPr>
          <w:sz w:val="20"/>
          <w:szCs w:val="20"/>
          <w:color w:val="auto"/>
        </w:rPr>
      </w:pPr>
    </w:p>
    <w:p>
      <w:pPr>
        <w:ind w:right="160"/>
        <w:spacing w:after="0" w:line="291" w:lineRule="auto"/>
        <w:rPr>
          <w:sz w:val="20"/>
          <w:szCs w:val="20"/>
          <w:color w:val="auto"/>
        </w:rPr>
      </w:pPr>
      <w:r>
        <w:rPr>
          <w:rFonts w:ascii="Arial" w:cs="Arial" w:eastAsia="Arial" w:hAnsi="Arial"/>
          <w:sz w:val="18"/>
          <w:szCs w:val="18"/>
          <w:color w:val="auto"/>
        </w:rPr>
        <w:t>In June 2006, the CPUC adopted a decision granting SDG&amp;E an increase in SONGS' electric rate revenues for 2004 and 2005, which resulted in a $13.2 million increase in pretax income in the second quarter of 2006. This decision resolved a computational error in the CPUC's 2004 Cost of Service decision which established the revenue requirement for SDG&amp;E's share of the operating costs of SONGS.</w:t>
      </w:r>
    </w:p>
    <w:p>
      <w:pPr>
        <w:spacing w:after="0" w:line="179" w:lineRule="exact"/>
        <w:rPr>
          <w:sz w:val="20"/>
          <w:szCs w:val="20"/>
          <w:color w:val="auto"/>
        </w:rPr>
      </w:pPr>
    </w:p>
    <w:p>
      <w:pPr>
        <w:ind w:right="260"/>
        <w:spacing w:after="0" w:line="260" w:lineRule="auto"/>
        <w:rPr>
          <w:sz w:val="20"/>
          <w:szCs w:val="20"/>
          <w:color w:val="auto"/>
        </w:rPr>
      </w:pPr>
      <w:r>
        <w:rPr>
          <w:rFonts w:ascii="Arial" w:cs="Arial" w:eastAsia="Arial" w:hAnsi="Arial"/>
          <w:sz w:val="20"/>
          <w:szCs w:val="20"/>
          <w:color w:val="auto"/>
        </w:rPr>
        <w:t>In May 2006, the CPUC adopted a decision in the 2006 General Rate Case for Southern California Edison (Edison), the operator of SONGS, which authorized for SDG&amp;E a $21.8 million increase in its revenue requirement for 2006.</w:t>
      </w:r>
    </w:p>
    <w:p>
      <w:pPr>
        <w:spacing w:after="0" w:line="204" w:lineRule="exact"/>
        <w:rPr>
          <w:sz w:val="20"/>
          <w:szCs w:val="20"/>
          <w:color w:val="auto"/>
        </w:rPr>
      </w:pPr>
    </w:p>
    <w:p>
      <w:pPr>
        <w:ind w:right="60"/>
        <w:spacing w:after="0" w:line="243" w:lineRule="auto"/>
        <w:rPr>
          <w:sz w:val="20"/>
          <w:szCs w:val="20"/>
          <w:color w:val="auto"/>
        </w:rPr>
      </w:pPr>
      <w:r>
        <w:rPr>
          <w:rFonts w:ascii="Arial" w:cs="Arial" w:eastAsia="Arial" w:hAnsi="Arial"/>
          <w:sz w:val="20"/>
          <w:szCs w:val="20"/>
          <w:color w:val="auto"/>
        </w:rPr>
        <w:t>In 2004, Edison applied for CPUC approval to replace the steam generators at SONGS, stating that the work needed to be done in 2009 and 2010 for Units 2 and 3, respectively, and would require an estimated capital expenditure of $680 million (in 2004 dollars). SDG&amp;E’s share of the estimated capital investment, in 2004 dollars, is $136 million. During 2006, SDG&amp;E, Edison and the CPUC's Division of Ratepayer Advocates (DRA) reached a settlement, which was subsequently approved by the CPUC, supporting SDG&amp;E's participation in the replacement project as well as providing SDG&amp;E with full recovery of current operating and maintenance costs via balancing account treatment effective January 1, 2007.</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Spent Nuclear Fuel</w:t>
      </w:r>
    </w:p>
    <w:p>
      <w:pPr>
        <w:spacing w:after="0" w:line="249" w:lineRule="exact"/>
        <w:rPr>
          <w:sz w:val="20"/>
          <w:szCs w:val="20"/>
          <w:color w:val="auto"/>
        </w:rPr>
      </w:pPr>
    </w:p>
    <w:p>
      <w:pPr>
        <w:spacing w:after="0" w:line="260" w:lineRule="auto"/>
        <w:rPr>
          <w:sz w:val="20"/>
          <w:szCs w:val="20"/>
          <w:color w:val="auto"/>
        </w:rPr>
      </w:pPr>
      <w:r>
        <w:rPr>
          <w:rFonts w:ascii="Arial" w:cs="Arial" w:eastAsia="Arial" w:hAnsi="Arial"/>
          <w:sz w:val="19"/>
          <w:szCs w:val="19"/>
          <w:color w:val="auto"/>
        </w:rPr>
        <w:t>SONGS owners have responsibility for the interim storage of spent nuclear fuel generated at SONGS until it is accepted by the DOE for final disposal. Spent nuclear fuel has been stored in the SONGS Units 1, 2 and 3 spent fuel pools and in the ISFSI. Movement of all Unit 1 spent fuel to the ISFSI was completed as of December 31, 2005. Spent fuel for Unit 2 is being stored in both the Unit 2 spent fuel pool and the ISFSI. Spent fuel for Unit 3 is being stored in the spent fuel pool, with storage in the ISFSI scheduled to begin in 2008. Construction of a second ISFSI pad was initiated in the second half of 2007 and will provide sufficient storage capacity through 2022.</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Electric Transmission Formula Rate</w:t>
      </w:r>
    </w:p>
    <w:p>
      <w:pPr>
        <w:spacing w:after="0" w:line="249"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Effective July 1, 2007, SDG&amp;E will recover its annual transmission capital investment at a return on equity (ROE) of 11.35 percent, an increase from the previous authorized ROE of 11.25 percent, which equates to an estimated annualized revenue increase in 2008 of $18 million. SDG&amp;E also renewed its annual transmission formula rate, with only slight modifications from the previous formula, for six years from July 1, 2007 through August 31, 2013.</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Advanced Metering Infrastructure</w:t>
      </w:r>
    </w:p>
    <w:p>
      <w:pPr>
        <w:spacing w:after="0" w:line="249" w:lineRule="exact"/>
        <w:rPr>
          <w:sz w:val="20"/>
          <w:szCs w:val="20"/>
          <w:color w:val="auto"/>
        </w:rPr>
      </w:pPr>
    </w:p>
    <w:p>
      <w:pPr>
        <w:ind w:right="500"/>
        <w:spacing w:after="0" w:line="260" w:lineRule="auto"/>
        <w:rPr>
          <w:sz w:val="20"/>
          <w:szCs w:val="20"/>
          <w:color w:val="auto"/>
        </w:rPr>
      </w:pPr>
      <w:r>
        <w:rPr>
          <w:rFonts w:ascii="Arial" w:cs="Arial" w:eastAsia="Arial" w:hAnsi="Arial"/>
          <w:sz w:val="20"/>
          <w:szCs w:val="20"/>
          <w:color w:val="auto"/>
        </w:rPr>
        <w:t>In April 2007, the CPUC approved SDG&amp;E's initiative to install advanced meters with integrated two-way communications functionality, providing for remote disconnect and a home area network for all customers.</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color w:val="auto"/>
        </w:rPr>
        <w:t>108</w:t>
      </w:r>
    </w:p>
    <w:p>
      <w:pPr>
        <w:sectPr>
          <w:pgSz w:w="11900" w:h="16838" w:orient="portrait"/>
          <w:cols w:equalWidth="0" w:num="1">
            <w:col w:w="11420"/>
          </w:cols>
          <w:pgMar w:left="240" w:top="122" w:right="239" w:bottom="1440" w:gutter="0" w:footer="0" w:header="0"/>
        </w:sectPr>
      </w:pPr>
    </w:p>
    <w:bookmarkStart w:id="176" w:name="page177"/>
    <w:bookmarkEnd w:id="176"/>
    <w:p>
      <w:pPr>
        <w:ind w:right="160"/>
        <w:spacing w:after="0" w:line="250" w:lineRule="auto"/>
        <w:rPr>
          <w:sz w:val="20"/>
          <w:szCs w:val="20"/>
          <w:color w:val="auto"/>
        </w:rPr>
      </w:pPr>
      <w:r>
        <w:rPr>
          <w:rFonts w:ascii="Arial" w:cs="Arial" w:eastAsia="Arial" w:hAnsi="Arial"/>
          <w:sz w:val="20"/>
          <w:szCs w:val="20"/>
          <w:color w:val="auto"/>
        </w:rPr>
        <w:t>SDG&amp;E estimates expenditures for this project of $572 million (including approximately $500 million in capital investment), which involves the replacement of 1.4 million electric and 900,000 natural gas meters throughout SDG&amp;E’s service territory. The meter replacements are anticipated to commence in the fourth quarter of 2008 and be completed by early 2011.</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15. OTHER REGULATORY MATTERS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General Rate Case (GRC)</w:t>
      </w:r>
    </w:p>
    <w:p>
      <w:pPr>
        <w:spacing w:after="0" w:line="249" w:lineRule="exact"/>
        <w:rPr>
          <w:sz w:val="20"/>
          <w:szCs w:val="20"/>
          <w:color w:val="auto"/>
        </w:rPr>
      </w:pPr>
    </w:p>
    <w:p>
      <w:pPr>
        <w:ind w:right="140"/>
        <w:spacing w:after="0" w:line="291" w:lineRule="auto"/>
        <w:rPr>
          <w:sz w:val="20"/>
          <w:szCs w:val="20"/>
          <w:color w:val="auto"/>
        </w:rPr>
      </w:pPr>
      <w:r>
        <w:rPr>
          <w:rFonts w:ascii="Arial" w:cs="Arial" w:eastAsia="Arial" w:hAnsi="Arial"/>
          <w:sz w:val="18"/>
          <w:szCs w:val="18"/>
          <w:color w:val="auto"/>
        </w:rPr>
        <w:t>In April 2007, SoCalGas and SDG&amp;E each filed an amendment to their original 2008 General Rate Case applications (2008 GRC) as filed in December 2006 with the CPUC. The 2008 GRC applications, as amended, establish the 2008 authorized margin requirements and the ratemaking mechanisms by which those margin requirements would change annually effective in 2009 through 2013 (2008 GRC rate period).</w:t>
      </w:r>
    </w:p>
    <w:p>
      <w:pPr>
        <w:spacing w:after="0" w:line="179"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As part of the General Rate Case process, applications are subject to review and testimony by various groups representing the interests of ratepayers and other constituents. In December 2007, SoCalGas and SDG&amp;E filed with the CPUC a settlement agreement reached in principle with the DRA, The Utility Reform Network (TURN) and Aglet Consumer Alliance for SoCalGas, and the DRA and Aglet Consumer Alliance for SDG&amp;E. If approved, the settlements would provide a 2008 revenue requirement of $1.685 billion for SoCalGas and $1.349 billion for SDG&amp;E and would resolve all 2008 revenue requirement issues. Comments were submitted in January 2008. If adopted, the settlements represent an increase in the annual authorized margin in 2008 of $29 million for SoCalGas, and $138 million for SDG&amp;E, as compared to 2007 authorized margins. The Sempra Utilities also reached a settlement agreement with the DRA, TURN and Aglet Consumer Alliance regarding post tes t-year provisions including the term of the GRC period, earnings sharing and the year-to-year attrition allowances during the GRC period. As part of the settlement, the parties agreed to a GRC term of four years (2008 through 2011) with the DRA separately agreeing to a term of five years (through 2012). The parties also agreed to post test-year revenue requirement increases in fixed dollar amounts (i.e., no escalation, true-up or after-the-fact modification) as follows: $41 million for 2009, $44 million for 2010 and $44 million for 2011 for SDG&amp;E and $52 million for 2009, $51 million for 2010 and $53 million for 2011 for SoCalGas. The DRA separately agreed to revenue requirement increases of $45 million for SDG&amp;E and $52 million for SoCalGas for 2012. These amounts exclude any CPUC-approved revenue requirements or rate base changes that are outside the scope of the GRC (e.g., Cost of Capital). The parties also agreed that there would be no earnings sharing between the company and ratepayers should th e company exceed the authorized return on equity for any year in the post test-year period. The settlement was filed with the CPUC on January 18, 2008, and parties have an opportunity to comment on the filing.</w:t>
      </w:r>
    </w:p>
    <w:p>
      <w:pPr>
        <w:spacing w:after="0" w:line="205"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Both SoCalGas and SDG&amp;E have filed requests with the CPUC to make any decision on the 2008 GRC effective retroactive to January 1, 2008. In December 2007, the CPUC issued a decision allowing SoCalGas and SDG&amp;E to establish regulatory memorandum accounts to record any difference between their current and future adopted revenue requirements on and after January 1, 2008 until a final decision is issued. This would enable the utilities to recover or refund these amounts in the future. However, the decision asks parties to comment on the extent to which SoCalGas and SDG&amp;E may have improperly caused a delay in the proceeding and to what extent, if any, these recorded amounts should be reduced as a result. A final CPUC decision on all GRC Phase I issues is expected in the second quarter of 2008.</w:t>
      </w:r>
    </w:p>
    <w:p>
      <w:pPr>
        <w:spacing w:after="0" w:line="192" w:lineRule="exact"/>
        <w:rPr>
          <w:sz w:val="20"/>
          <w:szCs w:val="20"/>
          <w:color w:val="auto"/>
        </w:rPr>
      </w:pPr>
    </w:p>
    <w:p>
      <w:pPr>
        <w:ind w:right="20"/>
        <w:spacing w:after="0" w:line="291" w:lineRule="auto"/>
        <w:rPr>
          <w:sz w:val="20"/>
          <w:szCs w:val="20"/>
          <w:color w:val="auto"/>
        </w:rPr>
      </w:pPr>
      <w:r>
        <w:rPr>
          <w:rFonts w:ascii="Arial" w:cs="Arial" w:eastAsia="Arial" w:hAnsi="Arial"/>
          <w:sz w:val="18"/>
          <w:szCs w:val="18"/>
          <w:color w:val="auto"/>
        </w:rPr>
        <w:t>Phase II of this proceeding, which deals with cost allocation among customer classes, began with public hearings in early September 2007. The GRC Phase II filing proposes a number of demand response and energy conservation initiatives for all customer classes, with incentives for reduced electricity usage. The filing also proposes the gradual elimination of residential rate caps that have been required by state</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109</w:t>
      </w:r>
    </w:p>
    <w:p>
      <w:pPr>
        <w:sectPr>
          <w:pgSz w:w="11900" w:h="16838" w:orient="portrait"/>
          <w:cols w:equalWidth="0" w:num="1">
            <w:col w:w="11380"/>
          </w:cols>
          <w:pgMar w:left="240" w:top="121" w:right="279" w:bottom="1440" w:gutter="0" w:footer="0" w:header="0"/>
        </w:sectPr>
      </w:pPr>
    </w:p>
    <w:bookmarkStart w:id="177" w:name="page178"/>
    <w:bookmarkEnd w:id="177"/>
    <w:p>
      <w:pPr>
        <w:ind w:right="40"/>
        <w:spacing w:after="0" w:line="279" w:lineRule="auto"/>
        <w:rPr>
          <w:sz w:val="20"/>
          <w:szCs w:val="20"/>
          <w:color w:val="auto"/>
        </w:rPr>
      </w:pPr>
      <w:r>
        <w:rPr>
          <w:rFonts w:ascii="Arial" w:cs="Arial" w:eastAsia="Arial" w:hAnsi="Arial"/>
          <w:sz w:val="18"/>
          <w:szCs w:val="18"/>
          <w:color w:val="auto"/>
        </w:rPr>
        <w:t>legislation since the California energy crisis in 2001. An all-party settlement agreement was reached and filed with the CPUC in October 2007. The settlement agreement resolves all issues in the proceeding, except SDG&amp;E's proposal to gradually eliminate residential rate caps. On January 29, 2008, the ALJ issued a proposed decision adopting the settlement agreement. A final decision on the settlement agreement is expected to be issued in early 2008. Opening briefs on the proposal to gradually eliminate residential rate caps were filed in December 2007 and reply briefs in January 2008. A CPUC decision on that proposal is expected to be issued by mid-2008.</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Cost of Capital Proceeding</w:t>
      </w:r>
    </w:p>
    <w:p>
      <w:pPr>
        <w:spacing w:after="0" w:line="249"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color w:val="auto"/>
        </w:rPr>
        <w:t>SDG&amp;E filed an application with the CPUC in May 2007 seeking to update its cost of capital, authorized ROE and debt/equity ratios. In December 2007, the CPUC issued a final decision increasing the company’s authorized ROE from 10.7 percent to 11.1 percent effective January 1, 2008, and maintaining the company’s current capital structure of 49 percent common equity, 5.75 percent preferred equity and 45.25 percent long-term debt. As a result, SDG&amp;E’s authorized return on rate base will be 8.40 percent effective January 1, 2008.</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Utility Ratemaking Incentive Awards</w:t>
      </w:r>
    </w:p>
    <w:p>
      <w:pPr>
        <w:spacing w:after="0" w:line="249"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Performance-Based Regulation (PBR) consists of a series of measures of utility performance. Generally, if performance is outside of a band around specified benchmarks, the utility is rewarded or penalized certain dollar amounts. The three areas that are eligible for incentive awards or penalties are PBR operational incentives, which measure safety, reliability and customer service; energy efficiency (sometimes referred to as demand-side management, or DSM or EE) awards based on the effectiveness of the energy efficiency programs; and natural gas procurement awards or penalties. The operational PBR incentives and the associated benchmarks are determined as a component of a general rate case or cost of service decision. The operational PBR incentives to be in effect for fiscal year 2008 through the end of the 2008 GRC rate period are under consideration as part of the 2008 GRC. The company has recommended continuing the PBR measures i n effect through 2007 with slight modifications to the benchmarks. The company expects a final CPUC decision on this issue in the second quarter of 2008.</w:t>
      </w:r>
    </w:p>
    <w:p>
      <w:pPr>
        <w:spacing w:after="0" w:line="172" w:lineRule="exact"/>
        <w:rPr>
          <w:sz w:val="20"/>
          <w:szCs w:val="20"/>
          <w:color w:val="auto"/>
        </w:rPr>
      </w:pPr>
    </w:p>
    <w:p>
      <w:pPr>
        <w:ind w:right="40"/>
        <w:spacing w:after="0" w:line="260" w:lineRule="auto"/>
        <w:rPr>
          <w:sz w:val="20"/>
          <w:szCs w:val="20"/>
          <w:color w:val="auto"/>
        </w:rPr>
      </w:pPr>
      <w:r>
        <w:rPr>
          <w:rFonts w:ascii="Arial" w:cs="Arial" w:eastAsia="Arial" w:hAnsi="Arial"/>
          <w:sz w:val="20"/>
          <w:szCs w:val="20"/>
          <w:color w:val="auto"/>
        </w:rPr>
        <w:t>SDG&amp;E’s PBR for natural gas procurement awards or penalties will end on the effective date of the combination of the core natural gas supply portfolios as discussed below under "Omnibus Gas Settlements."</w:t>
      </w:r>
    </w:p>
    <w:p>
      <w:pPr>
        <w:spacing w:after="0" w:line="204"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PBR, DSM and Gas Cost Incentive Mechanism (GCIM) awards are not included in the company's earnings until CPUC approval of each award is received. All awards discussed below are on a pretax basis.</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Operational PBR and Natural Gas Procurement</w:t>
      </w:r>
    </w:p>
    <w:p>
      <w:pPr>
        <w:spacing w:after="0" w:line="243" w:lineRule="exact"/>
        <w:rPr>
          <w:sz w:val="20"/>
          <w:szCs w:val="20"/>
          <w:color w:val="auto"/>
        </w:rPr>
      </w:pPr>
    </w:p>
    <w:p>
      <w:pPr>
        <w:ind w:right="380"/>
        <w:spacing w:after="0" w:line="250" w:lineRule="auto"/>
        <w:rPr>
          <w:sz w:val="20"/>
          <w:szCs w:val="20"/>
          <w:color w:val="auto"/>
        </w:rPr>
      </w:pPr>
      <w:r>
        <w:rPr>
          <w:rFonts w:ascii="Arial" w:cs="Arial" w:eastAsia="Arial" w:hAnsi="Arial"/>
          <w:sz w:val="20"/>
          <w:szCs w:val="20"/>
          <w:color w:val="auto"/>
        </w:rPr>
        <w:t>During the year ended December 31, 2007, SDG&amp;E’s pretax earnings included $11 million related to PBR awards, and SoCalGas’ pretax earnings included $1 million related to PBR awards and $10 million related to GCIM awards. In January 2008, the CPUC approved GCIM awards for SoCalGas of $9 million, which will be recorded in the first quarter of 2008.</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Energy Efficiency</w:t>
      </w:r>
    </w:p>
    <w:p>
      <w:pPr>
        <w:spacing w:after="0" w:line="243" w:lineRule="exact"/>
        <w:rPr>
          <w:sz w:val="20"/>
          <w:szCs w:val="20"/>
          <w:color w:val="auto"/>
        </w:rPr>
      </w:pPr>
    </w:p>
    <w:p>
      <w:pPr>
        <w:ind w:right="60"/>
        <w:spacing w:after="0" w:line="263" w:lineRule="auto"/>
        <w:rPr>
          <w:sz w:val="20"/>
          <w:szCs w:val="20"/>
          <w:color w:val="auto"/>
        </w:rPr>
      </w:pPr>
      <w:r>
        <w:rPr>
          <w:rFonts w:ascii="Arial" w:cs="Arial" w:eastAsia="Arial" w:hAnsi="Arial"/>
          <w:sz w:val="19"/>
          <w:szCs w:val="19"/>
          <w:color w:val="auto"/>
        </w:rPr>
        <w:t>In September 2007, the CPUC established a mechanism to financially reward or penalize the IOUs for their performance on post-2005 energy-efficiency programs. The mechanism rewards or penalizes the IOUs based upon specific portfolio performance goals to reduce energy consumption by its customers. The program provides for three-year cycles, with the first three-year cycle covering 2006 through 2008. The company's maximum rewards and penalties for the three-year program period, on a pretax basis, are $50</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color w:val="auto"/>
        </w:rPr>
        <w:t>110</w:t>
      </w:r>
    </w:p>
    <w:p>
      <w:pPr>
        <w:sectPr>
          <w:pgSz w:w="11900" w:h="16838" w:orient="portrait"/>
          <w:cols w:equalWidth="0" w:num="1">
            <w:col w:w="11380"/>
          </w:cols>
          <w:pgMar w:left="240" w:top="122" w:right="279" w:bottom="1440" w:gutter="0" w:footer="0" w:header="0"/>
        </w:sectPr>
      </w:pPr>
    </w:p>
    <w:bookmarkStart w:id="178" w:name="page179"/>
    <w:bookmarkEnd w:id="178"/>
    <w:p>
      <w:pPr>
        <w:spacing w:after="0" w:line="283" w:lineRule="auto"/>
        <w:rPr>
          <w:sz w:val="20"/>
          <w:szCs w:val="20"/>
          <w:color w:val="auto"/>
        </w:rPr>
      </w:pPr>
      <w:r>
        <w:rPr>
          <w:rFonts w:ascii="Arial" w:cs="Arial" w:eastAsia="Arial" w:hAnsi="Arial"/>
          <w:sz w:val="18"/>
          <w:szCs w:val="18"/>
          <w:color w:val="auto"/>
        </w:rPr>
        <w:t>million and $20 million for SDG&amp;E and SoCalGas, respectively. Generally, the company will be entitled to rewards when the energy cost savings are 85-125 percent of goal for SDG&amp;E and 80-110 percent of goal for SoCalGas. The company is subject to penalties when the savings are less than 65 percent of goal, with the maximum penalty reached when savings are 35 percent of goal for SDG&amp;E and 55 percent of goal for SoCalGas. No incentive or penalty applies for performance between 65-85 percent for SDG&amp;E and 65-80 percent for SoCalGas.</w:t>
      </w:r>
    </w:p>
    <w:p>
      <w:pPr>
        <w:spacing w:after="0" w:line="186" w:lineRule="exact"/>
        <w:rPr>
          <w:sz w:val="20"/>
          <w:szCs w:val="20"/>
          <w:color w:val="auto"/>
        </w:rPr>
      </w:pPr>
    </w:p>
    <w:p>
      <w:pPr>
        <w:ind w:right="80"/>
        <w:spacing w:after="0" w:line="246" w:lineRule="auto"/>
        <w:rPr>
          <w:sz w:val="20"/>
          <w:szCs w:val="20"/>
          <w:color w:val="auto"/>
        </w:rPr>
      </w:pPr>
      <w:r>
        <w:rPr>
          <w:rFonts w:ascii="Arial" w:cs="Arial" w:eastAsia="Arial" w:hAnsi="Arial"/>
          <w:sz w:val="20"/>
          <w:szCs w:val="20"/>
          <w:color w:val="auto"/>
        </w:rPr>
        <w:t>In January 2008, the CPUC issued a decision modifying the measurement and verification process of this earnings mechanism, which will enhance the predictability of earnings (or penalties) from energy efficiency programs. SDG&amp;E and SoCalGas expect to file their initial reports on their 2006 and 2007 energy efficiency results as compared to goal with the CPUC in the second quarter of 2008, with a decision anticipated by the end of 2008.</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Omnibus Gas Settlements</w:t>
      </w:r>
    </w:p>
    <w:p>
      <w:pPr>
        <w:spacing w:after="0" w:line="249"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In August 2006, SoCalGas, SDG&amp;E and Edison jointly filed an application with the CPUC seeking its approval of a series of revisions to the natural gas operations and service offerings of the Sempra Utilities. The proposals resulted from the successful resolution of various litigation matters related to the 2000 - 2001 energy crisis. The CPUC issued a final decision in December 2007 approving some, but not all, of the proposals and deferring a number of issues to the Sempra Utilities’ next Biennial Cost Allocation Proceeding (BCAP), which is scheduled to begin in February 2008. As part of the decision, the natural gas supply portfolios for SDG&amp;E’s and SoCalGas’ core customers will be combined into a single natural gas supply portfolio to be administered by SoCalGas effective April 1, 2008. All SDG&amp;E assets associated with its core natural gas supply portfolio will be transferred or assigned to SoCalGas, which will be responsibl e for meeting the needs of both SDG&amp;E’s and SoCalGas’ core natural gas customers at the same core gas monthly price. As a result, effective April 1, 2008, SDG&amp;E will no longer be subject to its own gas procurement PBR mechanism, and SoCalGas’ GCIM will apply to the natural gas procured for the combined portfolio. Regarding SoCalGas’ natural gas storage program, the CPUC concluded there was an insufficient record to decide matters related to the revenue sharing between SoCalGas’ shareholders and ratepayers. The CPUC directed that the issue of sharing the revenues and costs from the non-core storage program be deferred and that the mechanism to determine the amount of revenue sharing between SoCalGas’ shareholders and ratepayers be addressed more fully in the current BCAP. SoCalGas has been recognizing annual pretax shareholder benefits from the natural gas storage revenue sharing mechanism ranging from $14 million to $29 million in recent years. Until such time as a resolution is achieved, the revenues and costs that would have been shared associated with this mechanism will be deferred in a regulatory account effective January 1, 2008. In January 2008, SoCalGas filed a petition for modification asking the CPUC to revise its December 2007 decision so that the storage revenue sharing would remain at 50 percent ratepayer and 50 percent shareholder, as it was prior to the decision, until the issue is decided in the current BCAP. The CPUC is expected to act on the petition in mid-2008. SDG&amp;E and SoCalGas filed a joint BCAP application with the CPUC in February 2008, seeking a decision by year-end 2008.</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Natural Gas Market OIR</w:t>
      </w:r>
    </w:p>
    <w:p>
      <w:pPr>
        <w:spacing w:after="0" w:line="249" w:lineRule="exact"/>
        <w:rPr>
          <w:sz w:val="20"/>
          <w:szCs w:val="20"/>
          <w:color w:val="auto"/>
        </w:rPr>
      </w:pPr>
    </w:p>
    <w:p>
      <w:pPr>
        <w:ind w:right="20"/>
        <w:spacing w:after="0" w:line="243" w:lineRule="auto"/>
        <w:rPr>
          <w:sz w:val="20"/>
          <w:szCs w:val="20"/>
          <w:color w:val="auto"/>
        </w:rPr>
      </w:pPr>
      <w:r>
        <w:rPr>
          <w:rFonts w:ascii="Arial" w:cs="Arial" w:eastAsia="Arial" w:hAnsi="Arial"/>
          <w:sz w:val="20"/>
          <w:szCs w:val="20"/>
          <w:color w:val="auto"/>
        </w:rPr>
        <w:t>The CPUC considered natural gas market issues, including market design and infrastructure requirements, as part of its Natural Gas Market Order Instituting Rulemaking (OIR). A final decision in Phase II of this proceeding was issued in September 2006, reaffirming the adequacy of the capacity of the SoCalGas and SDG&amp;E systems to meet current demand. In particular, this decision established natural gas quality standards that would permit the introduction of regasified liquefied natural gas (LNG) supplies into California’s natural gas distribution system. The South Coast Air Quality Management District and the City of San Diego (jointly with Ratepayers for Affordable Clean Energy) have filed petitions for review</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20"/>
          <w:szCs w:val="20"/>
          <w:color w:val="auto"/>
        </w:rPr>
        <w:t>111</w:t>
      </w:r>
    </w:p>
    <w:p>
      <w:pPr>
        <w:sectPr>
          <w:pgSz w:w="11900" w:h="16838" w:orient="portrait"/>
          <w:cols w:equalWidth="0" w:num="1">
            <w:col w:w="11380"/>
          </w:cols>
          <w:pgMar w:left="240" w:top="122" w:right="279" w:bottom="1440" w:gutter="0" w:footer="0" w:header="0"/>
        </w:sectPr>
      </w:pPr>
    </w:p>
    <w:bookmarkStart w:id="179" w:name="page180"/>
    <w:bookmarkEnd w:id="179"/>
    <w:p>
      <w:pPr>
        <w:ind w:right="20"/>
        <w:spacing w:after="0" w:line="245" w:lineRule="auto"/>
        <w:rPr>
          <w:sz w:val="20"/>
          <w:szCs w:val="20"/>
          <w:color w:val="auto"/>
        </w:rPr>
      </w:pPr>
      <w:r>
        <w:rPr>
          <w:rFonts w:ascii="Arial" w:cs="Arial" w:eastAsia="Arial" w:hAnsi="Arial"/>
          <w:sz w:val="20"/>
          <w:szCs w:val="20"/>
          <w:color w:val="auto"/>
        </w:rPr>
        <w:t>in the California Court of Appeal and the California Supreme Court challenging the CPUC's September 2006 decision and contending that the California Environmental Quality Act (CEQA) applies to the changes in natural gas quality standards approved by the CPUC, and that impacts on the environment should be fully considered. In November 2007, the Court of Appeal determined that the California Supreme Court has exclusive jurisdiction to consider a CEQA challenge to a CPUC decision. A decision by the California Supreme Court is expected by the end of 2008.</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Gain On Sale Rulemaking</w:t>
      </w:r>
    </w:p>
    <w:p>
      <w:pPr>
        <w:spacing w:after="0" w:line="249" w:lineRule="exact"/>
        <w:rPr>
          <w:sz w:val="20"/>
          <w:szCs w:val="20"/>
          <w:color w:val="auto"/>
        </w:rPr>
      </w:pPr>
    </w:p>
    <w:p>
      <w:pPr>
        <w:ind w:right="20"/>
        <w:spacing w:after="0" w:line="257" w:lineRule="auto"/>
        <w:rPr>
          <w:sz w:val="20"/>
          <w:szCs w:val="20"/>
          <w:color w:val="auto"/>
        </w:rPr>
      </w:pPr>
      <w:r>
        <w:rPr>
          <w:rFonts w:ascii="Arial" w:cs="Arial" w:eastAsia="Arial" w:hAnsi="Arial"/>
          <w:sz w:val="19"/>
          <w:szCs w:val="19"/>
          <w:color w:val="auto"/>
        </w:rPr>
        <w:t>In May 2006, the CPUC adopted a decision standardizing the treatment of gains and losses on future sales of utility property. It provided for an allocation of 100 percent of the gains and losses from depreciable property to ratepayers and a 50/50 allocation of gains and losses from non-depreciable property between ratepayers and shareholders. Under certain circumstances, the CPUC would be able to depart from the standard allocation. The DRA and TURN filed a joint request for rehearing of the decision requesting, among other things, that the CPUC adopt a 90/10 allocation of gains from non-depreciable assets between ratepayers and shareholders. In December 2006, the CPUC denied the request for rehearing, but modified its prior decision revising the allocation between ratepayers and shareholders to 67/33. In July 2007, the CPUC issued a resolution which adopted a gross-up formula for calculating the ratepayers’ allocation o f taxes associated with any gains or losses from the sale of utility assets.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Southern California Wildfires</w:t>
      </w:r>
    </w:p>
    <w:p>
      <w:pPr>
        <w:spacing w:after="0" w:line="249"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In October 2007, major wildfires throughout Southern California destroyed many homes, damaged utility infrastructure and disrupted utility services. On October 21, 2007, Governor Arnold Schwarzenegger declared a state of emergency for seven California counties, including the county of San Diego and six counties within SoCalGas' service territory. With a declaration of a state of emergency, the Sempra Utilities can request recovery of any material incremental costs of restoring utility services and utility facilities damaged by the wildfires in cost recovery proceedings applicable to disaster events. In January 2008, SoCalGas informed the CPUC that it would not seek recovery of its incremental costs estimated at approximately $1 million. In December 2007, SDG&amp;E notified the CPUC of its intent to request recovery of the incremental costs incurred by SDG&amp;E in response to the wildfires and has established the necessary regulatory accounts to record these costs. SDG&amp;E currently estimates that the total incremental costs incurred associated with the CPUC and FERC regulated operations, primarily capital-related, will range from $45 million to $55 million and $15 million to $25 million, respectively. The application for cost recovery is expected to be filed with the CPUC in the second quarter of 2008. Additional information regarding the Southern California Wildfires is provided in Note 16.</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16. COMMITMENTS AND CONTINGENCIES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Legal Proceedings</w:t>
      </w:r>
    </w:p>
    <w:p>
      <w:pPr>
        <w:spacing w:after="0" w:line="249" w:lineRule="exact"/>
        <w:rPr>
          <w:sz w:val="20"/>
          <w:szCs w:val="20"/>
          <w:color w:val="auto"/>
        </w:rPr>
      </w:pPr>
    </w:p>
    <w:p>
      <w:pPr>
        <w:ind w:right="120"/>
        <w:spacing w:after="0" w:line="278" w:lineRule="auto"/>
        <w:rPr>
          <w:sz w:val="20"/>
          <w:szCs w:val="20"/>
          <w:color w:val="auto"/>
        </w:rPr>
      </w:pPr>
      <w:r>
        <w:rPr>
          <w:rFonts w:ascii="Arial" w:cs="Arial" w:eastAsia="Arial" w:hAnsi="Arial"/>
          <w:sz w:val="18"/>
          <w:szCs w:val="18"/>
          <w:color w:val="auto"/>
        </w:rPr>
        <w:t>At December 31, 2007, the company's reserves for unresolved litigation matters were $149 million, which includes an increase in 2007 of $59 million related to California energy crisis matters. An additional $452 million was reserved for settlements reached to resolve certain litigation arising out of the 2000 - 2001 California energy crisis. The uncertainties inherent in complex legal proceedings make it difficult to estimate with any degree of certainty the costs and effects of resolving legal matters. Accordingly, costs ultimately incurred may differ materially from estimated costs and could materially adversely affect the company's business, cash flows,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20"/>
          <w:szCs w:val="20"/>
          <w:color w:val="auto"/>
        </w:rPr>
        <w:t>112</w:t>
      </w:r>
    </w:p>
    <w:p>
      <w:pPr>
        <w:sectPr>
          <w:pgSz w:w="11900" w:h="16838" w:orient="portrait"/>
          <w:cols w:equalWidth="0" w:num="1">
            <w:col w:w="11420"/>
          </w:cols>
          <w:pgMar w:left="240" w:top="122" w:right="239" w:bottom="1440" w:gutter="0" w:footer="0" w:header="0"/>
        </w:sectPr>
      </w:pPr>
    </w:p>
    <w:bookmarkStart w:id="180" w:name="page181"/>
    <w:bookmarkEnd w:id="180"/>
    <w:p>
      <w:pPr>
        <w:spacing w:after="0"/>
        <w:rPr>
          <w:sz w:val="20"/>
          <w:szCs w:val="20"/>
          <w:color w:val="auto"/>
        </w:rPr>
      </w:pPr>
      <w:r>
        <w:rPr>
          <w:rFonts w:ascii="Arial" w:cs="Arial" w:eastAsia="Arial" w:hAnsi="Arial"/>
          <w:sz w:val="20"/>
          <w:szCs w:val="20"/>
          <w:i w:val="1"/>
          <w:iCs w:val="1"/>
          <w:color w:val="auto"/>
        </w:rPr>
        <w:t>Continental Forge Settlement</w:t>
      </w:r>
    </w:p>
    <w:p>
      <w:pPr>
        <w:spacing w:after="0" w:line="244"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The litigation that is the subject of the settlements and $452 million of reserves is frequently referred to as the Continental Forge litigation, although the settlements also include other cases. The Continental Forge class-action and individual antitrust and unfair competition lawsuits in California and Nevada alleged that Sempra Energy and the Sempra Utilities unlawfully sought to control natural gas and electricity markets and claimed damages in excess of $23 billion after applicable trebling.</w:t>
      </w:r>
    </w:p>
    <w:p>
      <w:pPr>
        <w:spacing w:after="0" w:line="219" w:lineRule="exact"/>
        <w:rPr>
          <w:sz w:val="20"/>
          <w:szCs w:val="20"/>
          <w:color w:val="auto"/>
        </w:rPr>
      </w:pPr>
    </w:p>
    <w:p>
      <w:pPr>
        <w:jc w:val="both"/>
        <w:ind w:right="80"/>
        <w:spacing w:after="0" w:line="278" w:lineRule="auto"/>
        <w:rPr>
          <w:sz w:val="20"/>
          <w:szCs w:val="20"/>
          <w:color w:val="auto"/>
        </w:rPr>
      </w:pPr>
      <w:r>
        <w:rPr>
          <w:rFonts w:ascii="Arial" w:cs="Arial" w:eastAsia="Arial" w:hAnsi="Arial"/>
          <w:sz w:val="18"/>
          <w:szCs w:val="18"/>
          <w:color w:val="auto"/>
        </w:rPr>
        <w:t>The San Diego County Superior Court entered a final order approving the settlement of the Continental Forge class-action litigation as fair and reasonable in July 2006. The California Attorney General and the DWR have appealed the final order. Oral argument is expected to take place in 2008. The Nevada Clark County District Court entered an order approving the Nevada class-action settlement in September 2006. Both the California and Nevada settlements must be approved for either settlement to take effect, but the company is permitted to waive this condition. The settlements are not conditioned upon approval by the CPUC, the DWR, or any other governmental or regulatory agency.</w:t>
      </w:r>
    </w:p>
    <w:p>
      <w:pPr>
        <w:spacing w:after="0" w:line="192" w:lineRule="exact"/>
        <w:rPr>
          <w:sz w:val="20"/>
          <w:szCs w:val="20"/>
          <w:color w:val="auto"/>
        </w:rPr>
      </w:pPr>
    </w:p>
    <w:p>
      <w:pPr>
        <w:spacing w:after="0" w:line="258" w:lineRule="auto"/>
        <w:rPr>
          <w:sz w:val="20"/>
          <w:szCs w:val="20"/>
          <w:color w:val="auto"/>
        </w:rPr>
      </w:pPr>
      <w:r>
        <w:rPr>
          <w:rFonts w:ascii="Arial" w:cs="Arial" w:eastAsia="Arial" w:hAnsi="Arial"/>
          <w:sz w:val="19"/>
          <w:szCs w:val="19"/>
          <w:color w:val="auto"/>
        </w:rPr>
        <w:t>To settle the California and Nevada litigation, in January 2006, the company agreed to make cash payments in installments aggregating $377 million, of which $347 million relates to the Continental Forge and California class action price reporting litigation and $30 million relates to the Nevada antitrust litigation. The Los Angeles City Council had not previously voted to approve the City of Los Angeles' participation in the January 2006 California settlement. In March 2007, Sempra Energy and the Sempra Utilities entered into a separate settlement agreement with the City of Los Angeles resolving all of its claims in the Continental Forge litigation in return for the payment of $8.5 million in April 2007. This payment was made in lieu of the $12 million payable in eight annual installments that the City of Los Angeles was to receive as part of the January 2006 California settlement.</w:t>
      </w:r>
    </w:p>
    <w:p>
      <w:pPr>
        <w:spacing w:after="0" w:line="206" w:lineRule="exact"/>
        <w:rPr>
          <w:sz w:val="20"/>
          <w:szCs w:val="20"/>
          <w:color w:val="auto"/>
        </w:rPr>
      </w:pPr>
    </w:p>
    <w:p>
      <w:pPr>
        <w:spacing w:after="0" w:line="272" w:lineRule="auto"/>
        <w:rPr>
          <w:sz w:val="20"/>
          <w:szCs w:val="20"/>
          <w:color w:val="auto"/>
        </w:rPr>
      </w:pPr>
      <w:r>
        <w:rPr>
          <w:rFonts w:ascii="Arial" w:cs="Arial" w:eastAsia="Arial" w:hAnsi="Arial"/>
          <w:sz w:val="18"/>
          <w:szCs w:val="18"/>
          <w:color w:val="auto"/>
        </w:rPr>
        <w:t>Additional consideration for the January 2006 California settlement includes an agreement that Sempra LNG would sell to the Sempra Utilities, subject to CPUC approval, regasified LNG from its LNG terminal being constructed in Baja California, Mexico, for a period of 18 years at the California border index price minus $0.02 per million British thermal units (MMBtu). Also, Sempra Generation voluntarily would reduce the price that it charges for power and limit the locations at which it would deliver power under its DWR contract. Based on the expected contractual power deliveries, this discount would have potential value aggregating $300 million over the contract's then remaining six-year term. As a result of recording the price discount of the DWR contract in 2005, subsequent earnings reported on the DWR contract reflect original rather than discounted power prices. The price reductions would be offset by any amounts in excess of a $150 million threshold up to the full amount of the price reduction that Sempra Generation is ordered to pay or incurs as a monetary award, any reduction in future revenues or profits, or any increase in future costs in connection with arbitration proceedings involving the DWR contract.</w:t>
      </w:r>
    </w:p>
    <w:p>
      <w:pPr>
        <w:spacing w:after="0" w:line="198" w:lineRule="exact"/>
        <w:rPr>
          <w:sz w:val="20"/>
          <w:szCs w:val="20"/>
          <w:color w:val="auto"/>
        </w:rPr>
      </w:pPr>
    </w:p>
    <w:p>
      <w:pPr>
        <w:ind w:right="40"/>
        <w:spacing w:after="0" w:line="256" w:lineRule="auto"/>
        <w:rPr>
          <w:sz w:val="20"/>
          <w:szCs w:val="20"/>
          <w:color w:val="auto"/>
        </w:rPr>
      </w:pPr>
      <w:r>
        <w:rPr>
          <w:rFonts w:ascii="Arial" w:cs="Arial" w:eastAsia="Arial" w:hAnsi="Arial"/>
          <w:sz w:val="19"/>
          <w:szCs w:val="19"/>
          <w:color w:val="auto"/>
        </w:rPr>
        <w:t>Under the terms of the January 2006 settlements, $83 million was paid in August 2006 and an additional $83 million was paid in August 2007. Of the remaining amounts, $25.8 million is to be paid on the closing date of the January 2006 settlements, which will take place after the resolution of all appeals, and $24.8 million will be paid on each successive anniversary of the closing date through the seventh anniversary of the closing date, as adjusted for the City of Los Angeles settlement. Under the terms of the City of Los Angeles settlement, $8.5 million was paid in April 2007. The reserves recorded for the California and Nevada settlements in 2005 fully provide for the present value of both the cash amounts to be paid in the settlements and the price discount to be provided on electricity to be delivered under the DWR contract. A portion of the reserves was discounted at 7 percent, the rate specified for prepayments in the settlement agreement. For pay ments not addressed in the agreement and for periods from the settlement date through the estimated date of the first payment, 5 percent was used to approximate the company’s average cost of financing.</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0"/>
          <w:szCs w:val="20"/>
          <w:color w:val="auto"/>
        </w:rPr>
        <w:t>113</w:t>
      </w:r>
    </w:p>
    <w:p>
      <w:pPr>
        <w:sectPr>
          <w:pgSz w:w="11900" w:h="16838" w:orient="portrait"/>
          <w:cols w:equalWidth="0" w:num="1">
            <w:col w:w="11400"/>
          </w:cols>
          <w:pgMar w:left="240" w:top="122" w:right="259" w:bottom="1440" w:gutter="0" w:footer="0" w:header="0"/>
        </w:sectPr>
      </w:pPr>
    </w:p>
    <w:bookmarkStart w:id="181" w:name="page182"/>
    <w:bookmarkEnd w:id="181"/>
    <w:p>
      <w:pPr>
        <w:spacing w:after="0"/>
        <w:rPr>
          <w:sz w:val="20"/>
          <w:szCs w:val="20"/>
          <w:color w:val="auto"/>
        </w:rPr>
      </w:pPr>
      <w:r>
        <w:rPr>
          <w:rFonts w:ascii="Arial" w:cs="Arial" w:eastAsia="Arial" w:hAnsi="Arial"/>
          <w:sz w:val="20"/>
          <w:szCs w:val="20"/>
          <w:i w:val="1"/>
          <w:iCs w:val="1"/>
          <w:color w:val="auto"/>
        </w:rPr>
        <w:t>DWR Contract</w:t>
      </w:r>
    </w:p>
    <w:p>
      <w:pPr>
        <w:spacing w:after="0" w:line="243" w:lineRule="exact"/>
        <w:rPr>
          <w:sz w:val="20"/>
          <w:szCs w:val="20"/>
          <w:color w:val="auto"/>
        </w:rPr>
      </w:pPr>
    </w:p>
    <w:p>
      <w:pPr>
        <w:ind w:right="40"/>
        <w:spacing w:after="0" w:line="250" w:lineRule="auto"/>
        <w:rPr>
          <w:sz w:val="20"/>
          <w:szCs w:val="20"/>
          <w:color w:val="auto"/>
        </w:rPr>
      </w:pPr>
      <w:r>
        <w:rPr>
          <w:rFonts w:ascii="Arial" w:cs="Arial" w:eastAsia="Arial" w:hAnsi="Arial"/>
          <w:sz w:val="20"/>
          <w:szCs w:val="20"/>
          <w:color w:val="auto"/>
        </w:rPr>
        <w:t>The DWR commenced an arbitration proceeding in February 2004 against Sempra Generation with respect to the contract under which Sempra Generation sells electricity to the DWR. The DWR disputed a portion of Sempra Generation's billings and its manner of delivering electricity, and sought rescission of the contract, which expires by its terms in 2011.</w:t>
      </w:r>
    </w:p>
    <w:p>
      <w:pPr>
        <w:spacing w:after="0" w:line="213" w:lineRule="exact"/>
        <w:rPr>
          <w:sz w:val="20"/>
          <w:szCs w:val="20"/>
          <w:color w:val="auto"/>
        </w:rPr>
      </w:pPr>
    </w:p>
    <w:p>
      <w:pPr>
        <w:ind w:right="80"/>
        <w:spacing w:after="0" w:line="244" w:lineRule="auto"/>
        <w:rPr>
          <w:sz w:val="20"/>
          <w:szCs w:val="20"/>
          <w:color w:val="auto"/>
        </w:rPr>
      </w:pPr>
      <w:r>
        <w:rPr>
          <w:rFonts w:ascii="Arial" w:cs="Arial" w:eastAsia="Arial" w:hAnsi="Arial"/>
          <w:sz w:val="20"/>
          <w:szCs w:val="20"/>
          <w:color w:val="auto"/>
        </w:rPr>
        <w:t>In its April 2006 decision, the arbitration panel declined to rescind the contract and ruled against the DWR on its most significant claims, but did rule in favor of the DWR on certain contractual issues. As a result, Sempra Generation recorded an additional $25 million pretax charge in the first quarter of 2006 in addition to its then existing reserve of $48 million. The $73 million was paid in the second quarter of 2006. The arbitration panel's ruling is final and binding upon both the DWR and Sempra Generation with respect to the issues that were the subject of the arbitration.</w:t>
      </w:r>
    </w:p>
    <w:p>
      <w:pPr>
        <w:spacing w:after="0" w:line="222" w:lineRule="exact"/>
        <w:rPr>
          <w:sz w:val="20"/>
          <w:szCs w:val="20"/>
          <w:color w:val="auto"/>
        </w:rPr>
      </w:pPr>
    </w:p>
    <w:p>
      <w:pPr>
        <w:spacing w:after="0" w:line="258" w:lineRule="auto"/>
        <w:rPr>
          <w:sz w:val="20"/>
          <w:szCs w:val="20"/>
          <w:color w:val="auto"/>
        </w:rPr>
      </w:pPr>
      <w:r>
        <w:rPr>
          <w:rFonts w:ascii="Arial" w:cs="Arial" w:eastAsia="Arial" w:hAnsi="Arial"/>
          <w:sz w:val="19"/>
          <w:szCs w:val="19"/>
          <w:color w:val="auto"/>
        </w:rPr>
        <w:t>In February 2006, the DWR commenced additional arbitration against Sempra Generation relating to the manner in which Sempra Generation schedules its Mexicali plant. The DWR seeks $100 million in damages and an order terminating the contract. In July 2007, the arbitration panel issued an order finding that the claims asserted by the DWR in the arbitration were subject to the FERC's exclusive jurisdiction, and staying the matter until any proceedings filed by the DWR at the FERC are final. In September 2007, the DWR filed a Petition for Declaratory Order at the FERC asking the agency to declare it does not have and will not assert jurisdiction over the claims posed by the DWR. In November 2007, the FERC granted the DWR’s petition, finding that the FERC does not have exclusive jurisdiction to determine the claims alleged by the DWR. Sempra Generation has requested that the FERC rehear or clarify this ruling.</w:t>
      </w:r>
    </w:p>
    <w:p>
      <w:pPr>
        <w:spacing w:after="0" w:line="206" w:lineRule="exact"/>
        <w:rPr>
          <w:sz w:val="20"/>
          <w:szCs w:val="20"/>
          <w:color w:val="auto"/>
        </w:rPr>
      </w:pPr>
    </w:p>
    <w:p>
      <w:pPr>
        <w:ind w:right="160"/>
        <w:spacing w:after="0" w:line="273" w:lineRule="auto"/>
        <w:rPr>
          <w:sz w:val="20"/>
          <w:szCs w:val="20"/>
          <w:color w:val="auto"/>
        </w:rPr>
      </w:pPr>
      <w:r>
        <w:rPr>
          <w:rFonts w:ascii="Arial" w:cs="Arial" w:eastAsia="Arial" w:hAnsi="Arial"/>
          <w:sz w:val="18"/>
          <w:szCs w:val="18"/>
          <w:color w:val="auto"/>
        </w:rPr>
        <w:t>In 2002, Sempra Generation and the DWR commenced litigation in a state civil action in which the DWR sought to void its contract with Sempra Generation, seeking damages, injunctive and declaratory relief and $100 million in punitive damages, alleging that the company misrepresented its intention and ability to construct a temporary phase of one power project and, alternatively, breached its contract by failure to construct and deliver power from that phase. Although Sempra Generation was initially awarded summary judgment on all claims, in June 2005, the California Court of Appeal reversed the summary judgment decision, concluding that the contract language was ambiguous and presented triable issues of material fact that must be addressed by further evidence and proceedings. The case was remanded to the trial court. In January 2007, the DWR added additional claims for fraud and breach of contract. The company believes that the DWR's claims must be arbitrated, and has appealed the trial court's denial of its motion to compel arbitration to the California Court of Appeal.</w:t>
      </w:r>
    </w:p>
    <w:p>
      <w:pPr>
        <w:spacing w:after="0" w:line="196"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 xml:space="preserve">The California Energy Oversight Board, the CPUC and others filed petitions appealing 2003 FERC orders upholding the DWR's contracts with Sempra Generation and other power suppliers under the </w:t>
      </w:r>
      <w:r>
        <w:rPr>
          <w:rFonts w:ascii="Arial" w:cs="Arial" w:eastAsia="Arial" w:hAnsi="Arial"/>
          <w:sz w:val="18"/>
          <w:szCs w:val="18"/>
          <w:i w:val="1"/>
          <w:iCs w:val="1"/>
          <w:color w:val="auto"/>
        </w:rPr>
        <w:t>Mobile-Sierra</w:t>
      </w:r>
      <w:r>
        <w:rPr>
          <w:rFonts w:ascii="Arial" w:cs="Arial" w:eastAsia="Arial" w:hAnsi="Arial"/>
          <w:sz w:val="18"/>
          <w:szCs w:val="18"/>
          <w:color w:val="auto"/>
        </w:rPr>
        <w:t xml:space="preserve"> doctrine's "public interest" standard of review. In December 2006, the U.S. Court of Appeals for the Ninth Circuit (Ninth Circuit Court of Appeals) granted the appeals and remanded the cases (including a companion case involving contracts in Nevada, Washington and California) back to the FERC instructing the FERC to consider applying a more rigorous contract review standard upon remand. Sempra Generation and other power suppliers petitioned the United States Supreme Court to review the Ninth Circuit Court of Appeals' decisions, and in September 2007, the U.S. Supreme Court granted the requests for review in the companion case noted above and oral argument took place on February 19, 2008. The requests for review in the case involving th e DWR contracts will remain on hold pending the resolution of the companion case. A decision is expected in mid-2008.</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0"/>
          <w:szCs w:val="20"/>
          <w:color w:val="auto"/>
        </w:rPr>
        <w:t>114</w:t>
      </w:r>
    </w:p>
    <w:p>
      <w:pPr>
        <w:sectPr>
          <w:pgSz w:w="11900" w:h="16838" w:orient="portrait"/>
          <w:cols w:equalWidth="0" w:num="1">
            <w:col w:w="11400"/>
          </w:cols>
          <w:pgMar w:left="240" w:top="366" w:right="259" w:bottom="1440" w:gutter="0" w:footer="0" w:header="0"/>
        </w:sectPr>
      </w:pPr>
    </w:p>
    <w:bookmarkStart w:id="182" w:name="page183"/>
    <w:bookmarkEnd w:id="182"/>
    <w:p>
      <w:pPr>
        <w:spacing w:after="0"/>
        <w:rPr>
          <w:sz w:val="20"/>
          <w:szCs w:val="20"/>
          <w:color w:val="auto"/>
        </w:rPr>
      </w:pPr>
      <w:r>
        <w:rPr>
          <w:rFonts w:ascii="Arial" w:cs="Arial" w:eastAsia="Arial" w:hAnsi="Arial"/>
          <w:sz w:val="20"/>
          <w:szCs w:val="20"/>
          <w:i w:val="1"/>
          <w:iCs w:val="1"/>
          <w:color w:val="auto"/>
        </w:rPr>
        <w:t>Other Natural Gas Cases</w:t>
      </w:r>
    </w:p>
    <w:p>
      <w:pPr>
        <w:spacing w:after="0" w:line="244"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In 2005, the California Attorney General and the CPUC filed a lawsuit in San Diego County Superior Court alleging that in 1998 Sempra Energy and the Sempra Utilities intentionally misled the CPUC, resulting in insufficient utility pipeline capacity, curtailment of natural gas service to electric generators and others, and the ensuing increase in air pollution and electricity prices for California consumers from the use of oil as an alternate fuel source. In September 2006, the parties entered into a settlement that required the Sempra Utilities to pay $2 million for attorneys' fees and costs incurred by the California Attorney General, SDG&amp;E to be given the option to purchase Sempra Generation's El Dorado power plant in 2011 for book value subject to FERC approval, and Sempra Energy to pay approximately $5.7 million to SDG&amp;E electricity customers beginning in 2009 to reduce SDG&amp;E's electric procurement costs. The CPUC and the FERC approved S DG&amp;E’s request to exercise its option to acquire the El Dorado power plant in 2011 in November 2007 and February 2008, respectively.</w:t>
      </w:r>
    </w:p>
    <w:p>
      <w:pPr>
        <w:spacing w:after="0" w:line="196" w:lineRule="exact"/>
        <w:rPr>
          <w:sz w:val="20"/>
          <w:szCs w:val="20"/>
          <w:color w:val="auto"/>
        </w:rPr>
      </w:pPr>
    </w:p>
    <w:p>
      <w:pPr>
        <w:ind w:right="20"/>
        <w:spacing w:after="0" w:line="258" w:lineRule="auto"/>
        <w:rPr>
          <w:sz w:val="20"/>
          <w:szCs w:val="20"/>
          <w:color w:val="auto"/>
        </w:rPr>
      </w:pPr>
      <w:r>
        <w:rPr>
          <w:rFonts w:ascii="Arial" w:cs="Arial" w:eastAsia="Arial" w:hAnsi="Arial"/>
          <w:sz w:val="19"/>
          <w:szCs w:val="19"/>
          <w:color w:val="auto"/>
        </w:rPr>
        <w:t>In April 2003, Sierra Pacific Resources and its utility subsidiary Nevada Power filed a lawsuit in the U.S. District Court in Nevada against major natural gas suppliers, including Sempra Energy, the Sempra Utilities and Sempra Commodities, seeking recovery of damages alleged to aggregate in excess of $150 million (before trebling). The lawsuit alleges a conspiracy to manipulate and inflate the prices that Nevada Power had to pay for its natural gas by preventing the construction of natural gas pipelines to serve Nevada and other Western states, and reporting artificially inflated prices to trade publications. The U.S. District Court dismissed the case in November 2004, determining that the FERC had exclusive jurisdiction to resolve the claims. In September 2007, the Ninth Circuit Court of Appeals reversed the dismissal and returned the case to the District Court for further proceedings.</w:t>
      </w:r>
    </w:p>
    <w:p>
      <w:pPr>
        <w:spacing w:after="0" w:line="206" w:lineRule="exact"/>
        <w:rPr>
          <w:sz w:val="20"/>
          <w:szCs w:val="20"/>
          <w:color w:val="auto"/>
        </w:rPr>
      </w:pPr>
    </w:p>
    <w:p>
      <w:pPr>
        <w:spacing w:after="0" w:line="263" w:lineRule="auto"/>
        <w:rPr>
          <w:sz w:val="20"/>
          <w:szCs w:val="20"/>
          <w:color w:val="auto"/>
        </w:rPr>
      </w:pPr>
      <w:r>
        <w:rPr>
          <w:rFonts w:ascii="Arial" w:cs="Arial" w:eastAsia="Arial" w:hAnsi="Arial"/>
          <w:sz w:val="19"/>
          <w:szCs w:val="19"/>
          <w:color w:val="auto"/>
        </w:rPr>
        <w:t>Apart from the claims settled in connection with the Continental Forge settlement, the remaining 13 state antitrust actions that were coordinated in San Diego Superior Court against Sempra Energy, the Sempra Utilities and Sempra Commodities and other, unrelated energy companies, alleging that energy prices were unlawfully manipulated by the reporting of artificially inflated natural gas prices to trade publications and by entering into wash trades and churning transactions, were settled on January 4, 2008, for $2.5 million.</w:t>
      </w:r>
    </w:p>
    <w:p>
      <w:pPr>
        <w:spacing w:after="0" w:line="204" w:lineRule="exact"/>
        <w:rPr>
          <w:sz w:val="20"/>
          <w:szCs w:val="20"/>
          <w:color w:val="auto"/>
        </w:rPr>
      </w:pPr>
    </w:p>
    <w:p>
      <w:pPr>
        <w:ind w:right="80"/>
        <w:spacing w:after="0" w:line="278" w:lineRule="auto"/>
        <w:rPr>
          <w:sz w:val="20"/>
          <w:szCs w:val="20"/>
          <w:color w:val="auto"/>
        </w:rPr>
      </w:pPr>
      <w:r>
        <w:rPr>
          <w:rFonts w:ascii="Arial" w:cs="Arial" w:eastAsia="Arial" w:hAnsi="Arial"/>
          <w:sz w:val="18"/>
          <w:szCs w:val="18"/>
          <w:color w:val="auto"/>
        </w:rPr>
        <w:t>Pending in the U.S. District Court in Nevada are five cases against Sempra Energy, Sempra Commodities, the Sempra Utilities and various other companies, which make similar allegations to those in the state proceedings, four of which also include conspiracy allegations similar to those made in the Continental Forge litigation. The court dismissed four of these actions, determining that the FERC had exclusive jurisdiction to resolve the claims. The remaining case, which includes conspiracy allegations, was stayed. In September 2007, the Ninth Circuit Court of Appeals reversed the dismissal and these cases are expected to return to the District Court for further proceedings.</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Electricity Cases</w:t>
      </w:r>
    </w:p>
    <w:p>
      <w:pPr>
        <w:spacing w:after="0" w:line="243"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color w:val="auto"/>
        </w:rPr>
        <w:t>In May 2004, Wah Chang, a specialty metals manufacturer in Oregon, filed a lawsuit alleging that numerous entities, including Sempra Energy, Sempra Generation and Sempra Commodities, unlawfully manipulated wholesale electricity markets in California and the Pacific Northwest. The U.S. District Court in San Diego dismissed the case in February 2005 based on the Court’s determination that the FERC had exclusive jurisdiction to resolve the claims. In November 2007, the Ninth Circuit Court of Appeals affirmed the trial court’s dismissal.</w:t>
      </w:r>
    </w:p>
    <w:p>
      <w:pPr>
        <w:spacing w:after="0" w:line="175" w:lineRule="exact"/>
        <w:rPr>
          <w:sz w:val="20"/>
          <w:szCs w:val="20"/>
          <w:color w:val="auto"/>
        </w:rPr>
      </w:pPr>
    </w:p>
    <w:p>
      <w:pPr>
        <w:jc w:val="both"/>
        <w:ind w:right="580"/>
        <w:spacing w:after="0" w:line="250" w:lineRule="auto"/>
        <w:rPr>
          <w:sz w:val="20"/>
          <w:szCs w:val="20"/>
          <w:color w:val="auto"/>
        </w:rPr>
      </w:pPr>
      <w:r>
        <w:rPr>
          <w:rFonts w:ascii="Arial" w:cs="Arial" w:eastAsia="Arial" w:hAnsi="Arial"/>
          <w:sz w:val="20"/>
          <w:szCs w:val="20"/>
          <w:color w:val="auto"/>
        </w:rPr>
        <w:t>In November 2006, the U.S. District Court in San Diego dismissed a lawsuit filed by the California Attorney General in November 2005 against Sempra Commodities alleging illegal market-gaming activities during the California energy crisis and claiming unspecified civil penalties and damages. The</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color w:val="auto"/>
        </w:rPr>
        <w:t>115</w:t>
      </w:r>
    </w:p>
    <w:p>
      <w:pPr>
        <w:sectPr>
          <w:pgSz w:w="11900" w:h="16838" w:orient="portrait"/>
          <w:cols w:equalWidth="0" w:num="1">
            <w:col w:w="11400"/>
          </w:cols>
          <w:pgMar w:left="240" w:top="122" w:right="259" w:bottom="1440" w:gutter="0" w:footer="0" w:header="0"/>
        </w:sectPr>
      </w:pPr>
    </w:p>
    <w:bookmarkStart w:id="183" w:name="page184"/>
    <w:bookmarkEnd w:id="183"/>
    <w:p>
      <w:pPr>
        <w:jc w:val="both"/>
        <w:spacing w:after="0" w:line="270" w:lineRule="auto"/>
        <w:rPr>
          <w:sz w:val="20"/>
          <w:szCs w:val="20"/>
          <w:color w:val="auto"/>
        </w:rPr>
      </w:pPr>
      <w:r>
        <w:rPr>
          <w:rFonts w:ascii="Arial" w:cs="Arial" w:eastAsia="Arial" w:hAnsi="Arial"/>
          <w:sz w:val="19"/>
          <w:szCs w:val="19"/>
          <w:color w:val="auto"/>
        </w:rPr>
        <w:t>court ruled that only the FERC has the authority to regulate wholesale energy markets. The court also declined to remand the case to state court. The FERC has previously investigated and entered into settlements with numerous energy trading companies, including Sempra Commodities, regarding similar allegations. The California Attorney General has appealed the dismissal.</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FERC Refund Proceedings</w:t>
      </w:r>
    </w:p>
    <w:p>
      <w:pPr>
        <w:spacing w:after="0" w:line="243" w:lineRule="exact"/>
        <w:rPr>
          <w:sz w:val="20"/>
          <w:szCs w:val="20"/>
          <w:color w:val="auto"/>
        </w:rPr>
      </w:pPr>
    </w:p>
    <w:p>
      <w:pPr>
        <w:ind w:right="80"/>
        <w:spacing w:after="0" w:line="276" w:lineRule="auto"/>
        <w:rPr>
          <w:sz w:val="20"/>
          <w:szCs w:val="20"/>
          <w:color w:val="auto"/>
        </w:rPr>
      </w:pPr>
      <w:r>
        <w:rPr>
          <w:rFonts w:ascii="Arial" w:cs="Arial" w:eastAsia="Arial" w:hAnsi="Arial"/>
          <w:sz w:val="18"/>
          <w:szCs w:val="18"/>
          <w:color w:val="auto"/>
        </w:rPr>
        <w:t>The FERC is investigating prices charged to buyers in the California Power Exchange (PX) and ISO markets by various electric suppliers. In December 2002, a FERC ALJ issued preliminary findings indicating that the PX and ISO owe power suppliers $1.2 billion for the October 2, 2000 through June 20, 2001 period (the $3.0 billion that the California PX and ISO still owe energy companies less $1.8 billion that the energy companies charged California customers in excess of the preliminarily determined competitive market clearing prices). In March 2003, the FERC adopted its ALJ's findings, but changed the calculation of the refund by basing it on a different estimate of natural gas prices, which would increase the refund obligations from $1.8 billion to more than $3 billion for the same time period.</w:t>
      </w:r>
    </w:p>
    <w:p>
      <w:pPr>
        <w:spacing w:after="0" w:line="192" w:lineRule="exact"/>
        <w:rPr>
          <w:sz w:val="20"/>
          <w:szCs w:val="20"/>
          <w:color w:val="auto"/>
        </w:rPr>
      </w:pPr>
    </w:p>
    <w:p>
      <w:pPr>
        <w:ind w:right="60"/>
        <w:spacing w:after="0" w:line="254" w:lineRule="auto"/>
        <w:rPr>
          <w:sz w:val="20"/>
          <w:szCs w:val="20"/>
          <w:color w:val="auto"/>
        </w:rPr>
      </w:pPr>
      <w:r>
        <w:rPr>
          <w:rFonts w:ascii="Arial" w:cs="Arial" w:eastAsia="Arial" w:hAnsi="Arial"/>
          <w:sz w:val="19"/>
          <w:szCs w:val="19"/>
          <w:color w:val="auto"/>
        </w:rPr>
        <w:t>Various parties appealed the FERC's order to the Ninth Circuit Court of Appeals. In August 2006, the Court of Appeals held that the FERC had properly established October 2, 2000 through June 20, 2001 as the refund period and had properly excluded certain bilateral transactions between sellers and the DWR from the refund proceedings. However, the court also held that the FERC erred in excluding certain multi-day transactions from the refund proceedings. Finally, while the court upheld the FERC's decision not to extend the refund proceedings to the summer period (prior to October 2, 2000), it found that the FERC had erred in not considering other remedies, such as disgorgement of profits, for tariff violations that are alleged to have occurred prior to October 2, 2000. The Court of Appeals remanded the matter to the FERC for further proceedings. In November 2007, Sempra Commodities and other entities filed requests for rehearing of the Court of Appeals’ August 2006 decision. In August 2007, the Ninth Circuit Court of Appeals issued a decision reversing and remanding FERC orders declining to provide refunds in a related proceeding regarding short-term bilateral sales up to one month in the Pacific Northwest. The court found that some of the short-term sales between the DWR and various sellers (including Sempra Commodities) that had previously been excluded from the refund proceeding involving sales in the ISO and PX markets in California, were within the scope of the Pacific Northwest refund proceeding. In December 2007, Sempra Commodities and other sellers filed requests for rehearing of the Court of Appeals’ August 2007 decision. It is possible that on remand, the FERC could order refunds for short-term sales to the DWR in the Pacific Northwest refund proceeding.</w:t>
      </w:r>
    </w:p>
    <w:p>
      <w:pPr>
        <w:spacing w:after="0" w:line="220" w:lineRule="exact"/>
        <w:rPr>
          <w:sz w:val="20"/>
          <w:szCs w:val="20"/>
          <w:color w:val="auto"/>
        </w:rPr>
      </w:pPr>
    </w:p>
    <w:p>
      <w:pPr>
        <w:ind w:right="920"/>
        <w:spacing w:after="0" w:line="260" w:lineRule="auto"/>
        <w:rPr>
          <w:sz w:val="20"/>
          <w:szCs w:val="20"/>
          <w:color w:val="auto"/>
        </w:rPr>
      </w:pPr>
      <w:r>
        <w:rPr>
          <w:rFonts w:ascii="Arial" w:cs="Arial" w:eastAsia="Arial" w:hAnsi="Arial"/>
          <w:sz w:val="20"/>
          <w:szCs w:val="20"/>
          <w:color w:val="auto"/>
        </w:rPr>
        <w:t>Sempra Commodities has reserves for its estimated refund liability that reflect its estimate of the effect of the FERC's revision of the benchmark prices it will use to calculate refunds and other refund-related developments.</w:t>
      </w:r>
    </w:p>
    <w:p>
      <w:pPr>
        <w:spacing w:after="0" w:line="204" w:lineRule="exact"/>
        <w:rPr>
          <w:sz w:val="20"/>
          <w:szCs w:val="20"/>
          <w:color w:val="auto"/>
        </w:rPr>
      </w:pPr>
    </w:p>
    <w:p>
      <w:pPr>
        <w:ind w:right="160"/>
        <w:spacing w:after="0" w:line="246" w:lineRule="auto"/>
        <w:rPr>
          <w:sz w:val="20"/>
          <w:szCs w:val="20"/>
          <w:color w:val="auto"/>
        </w:rPr>
      </w:pPr>
      <w:r>
        <w:rPr>
          <w:rFonts w:ascii="Arial" w:cs="Arial" w:eastAsia="Arial" w:hAnsi="Arial"/>
          <w:sz w:val="20"/>
          <w:szCs w:val="20"/>
          <w:color w:val="auto"/>
        </w:rPr>
        <w:t>SDG&amp;E has been awarded $171 million through December 31, 2007, in settlement of certain claims against electricity suppliers related to the 2000 - 2001 California energy crisis. The net proceeds of these settlements are for the benefit of ratepayers and for the payment of third party fees associated with the recovery of these claims. Of the $171 million, all monies have been received by SDG&amp;E, except for $10 million pending FERC approval.</w:t>
      </w:r>
    </w:p>
    <w:p>
      <w:pPr>
        <w:spacing w:after="0" w:line="219" w:lineRule="exact"/>
        <w:rPr>
          <w:sz w:val="20"/>
          <w:szCs w:val="20"/>
          <w:color w:val="auto"/>
        </w:rPr>
      </w:pPr>
    </w:p>
    <w:p>
      <w:pPr>
        <w:ind w:right="280"/>
        <w:spacing w:after="0" w:line="244" w:lineRule="auto"/>
        <w:rPr>
          <w:sz w:val="20"/>
          <w:szCs w:val="20"/>
          <w:color w:val="auto"/>
        </w:rPr>
      </w:pPr>
      <w:r>
        <w:rPr>
          <w:rFonts w:ascii="Arial" w:cs="Arial" w:eastAsia="Arial" w:hAnsi="Arial"/>
          <w:sz w:val="20"/>
          <w:szCs w:val="20"/>
          <w:color w:val="auto"/>
        </w:rPr>
        <w:t>In a separate complaint filed with the FERC in 2002, the California Attorney General challenged the FERC's authority to establish a market-based rate regime, and further contended that, even if such a regime were valid, electricity sellers had failed to comply with the FERC's quarterly reporting requirements. The Attorney General requested that the FERC order refunds from suppliers. The FERC dismissed the complaint and instead ordered sellers to restate their reports. After an appeal by the California Attorney General, the Ninth Circuit Court of Appeals upheld the FERC's authority to establish</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0"/>
          <w:szCs w:val="20"/>
          <w:color w:val="auto"/>
        </w:rPr>
        <w:t>116</w:t>
      </w:r>
    </w:p>
    <w:p>
      <w:pPr>
        <w:sectPr>
          <w:pgSz w:w="11900" w:h="16838" w:orient="portrait"/>
          <w:cols w:equalWidth="0" w:num="1">
            <w:col w:w="11420"/>
          </w:cols>
          <w:pgMar w:left="240" w:top="122" w:right="239" w:bottom="1440" w:gutter="0" w:footer="0" w:header="0"/>
        </w:sectPr>
      </w:pPr>
    </w:p>
    <w:bookmarkStart w:id="184" w:name="page185"/>
    <w:bookmarkEnd w:id="184"/>
    <w:p>
      <w:pPr>
        <w:spacing w:after="0" w:line="244" w:lineRule="auto"/>
        <w:rPr>
          <w:sz w:val="20"/>
          <w:szCs w:val="20"/>
          <w:color w:val="auto"/>
        </w:rPr>
      </w:pPr>
      <w:r>
        <w:rPr>
          <w:rFonts w:ascii="Arial" w:cs="Arial" w:eastAsia="Arial" w:hAnsi="Arial"/>
          <w:sz w:val="20"/>
          <w:szCs w:val="20"/>
          <w:color w:val="auto"/>
        </w:rPr>
        <w:t>a market-based rate regime, but ordered remand of the case to the FERC for further proceedings, stating that failure to file transaction-specific quarterly reports gave the FERC authority to order refunds with respect to jurisdictional sellers. In December 2006, a group of sellers petitioned the United States Supreme Court to review the Ninth Circuit Court of Appeals' decision. In June 2007, the Supreme Court declined further review of the Ninth Circuit Court of Appeals' order. On remand, it is possible that the FERC could order refunds or disgorgement of profits for periods in addition to those covered by its prior refund orders and substantially increase the refunds that ultimately may be required to be paid by Sempra Commodities and other power suppliers.</w:t>
      </w:r>
    </w:p>
    <w:p>
      <w:pPr>
        <w:spacing w:after="0" w:line="219" w:lineRule="exact"/>
        <w:rPr>
          <w:sz w:val="20"/>
          <w:szCs w:val="20"/>
          <w:color w:val="auto"/>
        </w:rPr>
      </w:pPr>
    </w:p>
    <w:p>
      <w:pPr>
        <w:ind w:right="160"/>
        <w:spacing w:after="0" w:line="250" w:lineRule="auto"/>
        <w:rPr>
          <w:sz w:val="20"/>
          <w:szCs w:val="20"/>
          <w:color w:val="auto"/>
        </w:rPr>
      </w:pPr>
      <w:r>
        <w:rPr>
          <w:rFonts w:ascii="Arial" w:cs="Arial" w:eastAsia="Arial" w:hAnsi="Arial"/>
          <w:sz w:val="20"/>
          <w:szCs w:val="20"/>
          <w:color w:val="auto"/>
        </w:rPr>
        <w:t>At December 31, 2007, Sempra Commodities is owed approximately $100 million from energy sales made in 2000 and 2001 through the ISO and the PX markets. The collection of these receivables depends on several factors, including the California ISO and PX refund case. The company believes adequate reserves have been recorded.</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FERC Manipulation Investigation</w:t>
      </w:r>
    </w:p>
    <w:p>
      <w:pPr>
        <w:spacing w:after="0" w:line="243"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color w:val="auto"/>
        </w:rPr>
        <w:t>The FERC is separately investigating whether there was manipulation of short-term energy markets in the western United States that would constitute violations of applicable tariffs and warrant disgorgement of associated profits. In this proceeding, the FERC's authority is not confined to the periods relevant to the refund proceeding. In May 2002, the FERC ordered all energy companies engaged in electric energy trading activities to state whether they had engaged in various specific trading activities in violation of the PX and ISO tariffs.</w:t>
      </w:r>
    </w:p>
    <w:p>
      <w:pPr>
        <w:spacing w:after="0" w:line="189"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In June 2003, the FERC issued several orders requiring various entities to show cause why they should not be found to have violated California ISO and PX tariffs. The FERC directed a number of entities, including Sempra Commodities, to show cause why they should not disgorge profits from certain transactions between January 1, 2000 and June 20, 2001 that are asserted to have constituted gaming and/or anomalous market behavior under the California ISO and/or PX tariffs. In October 2003, Sempra Commodities agreed to pay $7.2 million in full resolution of these investigations. That liability was recorded as of December 31, 2003. The Sempra Commodities settlement was approved by the FERC in August 2004. Certain California parties have sought rehearing on this order and the FERC has not yet responded.</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Other Litigation</w:t>
      </w:r>
    </w:p>
    <w:p>
      <w:pPr>
        <w:spacing w:after="0" w:line="243"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In October 2007, Southern California experienced catastrophic wildfires. The causes of many of these fires remain under investigation, including the possible role of SDG&amp;E power lines affected by unusually high winds. In November 2007, the California Department of Forestry and Fire Protection (Cal Fire) issued a press release stating that power lines caused three of the fires in San Diego County and that together these three fires burned more than 200,000 acres and destroyed approximately 1,900 structures. Cal Fire is expected to issue a final report, and the CPUC’s Consumer Protection and Safety Division, which is also investigating the fires, is also expected to issue a report. Five lawsuits, four of which seek to be designated as class actions, have been filed against SDG&amp;E in San Diego County Superior Court seeking unspecified amounts for damages relating to the fires. The lawsuits assert that SDG&amp;E improperly designed and maintaine d its power lines and failed to adequately clear adjacent vegetation. The company has in excess of $1 billion in liability insurance and has notified its insurers of the lawsuits.</w:t>
      </w:r>
    </w:p>
    <w:p>
      <w:pPr>
        <w:spacing w:after="0" w:line="172" w:lineRule="exact"/>
        <w:rPr>
          <w:sz w:val="20"/>
          <w:szCs w:val="20"/>
          <w:color w:val="auto"/>
        </w:rPr>
      </w:pPr>
    </w:p>
    <w:p>
      <w:pPr>
        <w:ind w:right="140"/>
        <w:spacing w:after="0" w:line="291" w:lineRule="auto"/>
        <w:rPr>
          <w:sz w:val="20"/>
          <w:szCs w:val="20"/>
          <w:color w:val="auto"/>
        </w:rPr>
      </w:pPr>
      <w:r>
        <w:rPr>
          <w:rFonts w:ascii="Arial" w:cs="Arial" w:eastAsia="Arial" w:hAnsi="Arial"/>
          <w:sz w:val="18"/>
          <w:szCs w:val="18"/>
          <w:color w:val="auto"/>
        </w:rPr>
        <w:t>The company and several subsidiaries, along with three oil and natural gas companies, the City of Beverly Hills and the Beverly Hills Unified School District, are defendants in a toxic tort lawsuit filed in Los Angeles County Superior Court by approximately 1,000 plaintiffs claiming that various emissions resulted in cancer or fear of cancer. The company has submitted the case to its insurers, who have</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117</w:t>
      </w:r>
    </w:p>
    <w:p>
      <w:pPr>
        <w:sectPr>
          <w:pgSz w:w="11900" w:h="16838" w:orient="portrait"/>
          <w:cols w:equalWidth="0" w:num="1">
            <w:col w:w="11400"/>
          </w:cols>
          <w:pgMar w:left="240" w:top="122" w:right="259" w:bottom="1440" w:gutter="0" w:footer="0" w:header="0"/>
        </w:sectPr>
      </w:pPr>
    </w:p>
    <w:bookmarkStart w:id="185" w:name="page186"/>
    <w:bookmarkEnd w:id="185"/>
    <w:p>
      <w:pPr>
        <w:ind w:right="120"/>
        <w:spacing w:after="0" w:line="247" w:lineRule="auto"/>
        <w:rPr>
          <w:sz w:val="20"/>
          <w:szCs w:val="20"/>
          <w:color w:val="auto"/>
        </w:rPr>
      </w:pPr>
      <w:r>
        <w:rPr>
          <w:rFonts w:ascii="Arial" w:cs="Arial" w:eastAsia="Arial" w:hAnsi="Arial"/>
          <w:sz w:val="20"/>
          <w:szCs w:val="20"/>
          <w:color w:val="auto"/>
        </w:rPr>
        <w:t>reserved their rights with respect to coverage. In November 2006, the court granted the defendants' summary judgment motions based on lack of medical causation for the 12 initial plaintiffs scheduled to go to trial first. The court also granted the company's separate summary judgment motion on punitive damages. Plaintiffs filed a notice of appeal in March 2007. The court has stayed the case as to the remaining plaintiffs pending the appeal.</w:t>
      </w:r>
    </w:p>
    <w:p>
      <w:pPr>
        <w:spacing w:after="0" w:line="216" w:lineRule="exact"/>
        <w:rPr>
          <w:sz w:val="20"/>
          <w:szCs w:val="20"/>
          <w:color w:val="auto"/>
        </w:rPr>
      </w:pPr>
    </w:p>
    <w:p>
      <w:pPr>
        <w:ind w:right="180"/>
        <w:spacing w:after="0" w:line="278" w:lineRule="auto"/>
        <w:rPr>
          <w:sz w:val="20"/>
          <w:szCs w:val="20"/>
          <w:color w:val="auto"/>
        </w:rPr>
      </w:pPr>
      <w:r>
        <w:rPr>
          <w:rFonts w:ascii="Arial" w:cs="Arial" w:eastAsia="Arial" w:hAnsi="Arial"/>
          <w:sz w:val="18"/>
          <w:szCs w:val="18"/>
          <w:color w:val="auto"/>
        </w:rPr>
        <w:t>In 1998, Sempra Energy and the Sempra Utilities converted their traditional pension plans (other than the SoCalGas union employee plan) to cash balance plans. In July 2005, a lawsuit was filed against SoCalGas in the U.S. District Court for the Central District of California alleging that the conversion unlawfully discriminated against older employees and failed to provide required disclosure of a reduction in benefits. In October 2005, the court dismissed three of the four causes of action and, in March 2006, dismissed the remaining cause of action. The Ninth Circuit Court of Appeals heard oral argument on the matter on February 15, 2008, and took the matter under submission.</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Natural Gas Contracts</w:t>
      </w:r>
    </w:p>
    <w:p>
      <w:pPr>
        <w:spacing w:after="0" w:line="249" w:lineRule="exact"/>
        <w:rPr>
          <w:sz w:val="20"/>
          <w:szCs w:val="20"/>
          <w:color w:val="auto"/>
        </w:rPr>
      </w:pPr>
    </w:p>
    <w:p>
      <w:pPr>
        <w:ind w:right="40"/>
        <w:spacing w:after="0" w:line="244" w:lineRule="auto"/>
        <w:rPr>
          <w:sz w:val="20"/>
          <w:szCs w:val="20"/>
          <w:color w:val="auto"/>
        </w:rPr>
      </w:pPr>
      <w:r>
        <w:rPr>
          <w:rFonts w:ascii="Arial" w:cs="Arial" w:eastAsia="Arial" w:hAnsi="Arial"/>
          <w:sz w:val="20"/>
          <w:szCs w:val="20"/>
          <w:color w:val="auto"/>
        </w:rPr>
        <w:t>The Sempra Utilities buy natural gas under short-term and long-term contracts. Purchases are from various southwestern U.S., U.S. Rockies and Canadian suppliers and are primarily based on monthly spot-market prices. The Sempra Utilities transport natural gas under long-term firm pipeline capacity agreements that provide for annual reservation charges, which are recovered in rates. SoCalGas has commitments with pipeline companies for firm pipeline capacity under contracts that expire at various dates through 2018. Note 15 discusses the CPUC's Natural Gas Market OIR.</w:t>
      </w:r>
    </w:p>
    <w:p>
      <w:pPr>
        <w:spacing w:after="0" w:line="222" w:lineRule="exact"/>
        <w:rPr>
          <w:sz w:val="20"/>
          <w:szCs w:val="20"/>
          <w:color w:val="auto"/>
        </w:rPr>
      </w:pPr>
    </w:p>
    <w:p>
      <w:pPr>
        <w:jc w:val="both"/>
        <w:ind w:right="100"/>
        <w:spacing w:after="0" w:line="291" w:lineRule="auto"/>
        <w:rPr>
          <w:sz w:val="20"/>
          <w:szCs w:val="20"/>
          <w:color w:val="auto"/>
        </w:rPr>
      </w:pPr>
      <w:r>
        <w:rPr>
          <w:rFonts w:ascii="Arial" w:cs="Arial" w:eastAsia="Arial" w:hAnsi="Arial"/>
          <w:sz w:val="18"/>
          <w:szCs w:val="18"/>
          <w:color w:val="auto"/>
        </w:rPr>
        <w:t>SDG&amp;E has natural gas transportation contracts with various interstate pipelines that expire on various dates between 2008 and 2023. SDG&amp;E currently purchases natural gas on a spot basis from Canada, the U.S. Rockies, and the southwestern United States to fill its long-term pipeline capacity, and purchases additional spot-market supplies delivered directly to California for its remaining requirements.</w:t>
      </w:r>
    </w:p>
    <w:p>
      <w:pPr>
        <w:spacing w:after="0" w:line="179" w:lineRule="exact"/>
        <w:rPr>
          <w:sz w:val="20"/>
          <w:szCs w:val="20"/>
          <w:color w:val="auto"/>
        </w:rPr>
      </w:pPr>
    </w:p>
    <w:p>
      <w:pPr>
        <w:spacing w:after="0"/>
        <w:rPr>
          <w:sz w:val="20"/>
          <w:szCs w:val="20"/>
          <w:color w:val="auto"/>
        </w:rPr>
      </w:pPr>
      <w:r>
        <w:rPr>
          <w:rFonts w:ascii="Arial" w:cs="Arial" w:eastAsia="Arial" w:hAnsi="Arial"/>
          <w:sz w:val="19"/>
          <w:szCs w:val="19"/>
          <w:color w:val="auto"/>
        </w:rPr>
        <w:t>At December 31, 2007, the future minimum payments under existing natural gas contracts, primarily for the Sempra Utilities, were:</w:t>
      </w:r>
    </w:p>
    <w:p>
      <w:pPr>
        <w:spacing w:after="0" w:line="297" w:lineRule="exact"/>
        <w:rPr>
          <w:sz w:val="20"/>
          <w:szCs w:val="20"/>
          <w:color w:val="auto"/>
        </w:rPr>
      </w:pPr>
    </w:p>
    <w:tbl>
      <w:tblPr>
        <w:tblLayout w:type="fixed"/>
        <w:tblInd w:w="1800" w:type="dxa"/>
        <w:tblCellMar>
          <w:top w:w="0" w:type="dxa"/>
          <w:left w:w="0" w:type="dxa"/>
          <w:bottom w:w="0" w:type="dxa"/>
          <w:right w:w="0" w:type="dxa"/>
        </w:tblCellMar>
      </w:tblPr>
      <w:tr>
        <w:trPr>
          <w:trHeight w:val="216"/>
        </w:trPr>
        <w:tc>
          <w:tcPr>
            <w:tcW w:w="2860" w:type="dxa"/>
            <w:vAlign w:val="bottom"/>
          </w:tcPr>
          <w:p>
            <w:pPr>
              <w:spacing w:after="0"/>
              <w:rPr>
                <w:sz w:val="18"/>
                <w:szCs w:val="18"/>
                <w:color w:val="auto"/>
              </w:rPr>
            </w:pPr>
          </w:p>
        </w:tc>
        <w:tc>
          <w:tcPr>
            <w:tcW w:w="2320" w:type="dxa"/>
            <w:vAlign w:val="bottom"/>
            <w:gridSpan w:val="2"/>
          </w:tcPr>
          <w:p>
            <w:pPr>
              <w:jc w:val="right"/>
              <w:ind w:right="170"/>
              <w:spacing w:after="0"/>
              <w:rPr>
                <w:sz w:val="20"/>
                <w:szCs w:val="20"/>
                <w:color w:val="auto"/>
              </w:rPr>
            </w:pPr>
            <w:r>
              <w:rPr>
                <w:rFonts w:ascii="Arial" w:cs="Arial" w:eastAsia="Arial" w:hAnsi="Arial"/>
                <w:sz w:val="18"/>
                <w:szCs w:val="18"/>
                <w:color w:val="auto"/>
              </w:rPr>
              <w:t>Storage and</w:t>
            </w:r>
          </w:p>
        </w:tc>
        <w:tc>
          <w:tcPr>
            <w:tcW w:w="460" w:type="dxa"/>
            <w:vAlign w:val="bottom"/>
          </w:tcPr>
          <w:p>
            <w:pPr>
              <w:spacing w:after="0"/>
              <w:rPr>
                <w:sz w:val="18"/>
                <w:szCs w:val="18"/>
                <w:color w:val="auto"/>
              </w:rPr>
            </w:pP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Natural</w:t>
            </w: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37"/>
        </w:trPr>
        <w:tc>
          <w:tcPr>
            <w:tcW w:w="2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(Dollars in millions)</w:t>
            </w:r>
          </w:p>
        </w:tc>
        <w:tc>
          <w:tcPr>
            <w:tcW w:w="232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8"/>
                <w:szCs w:val="18"/>
                <w:color w:val="auto"/>
              </w:rPr>
              <w:t>Transportation</w:t>
            </w:r>
          </w:p>
        </w:tc>
        <w:tc>
          <w:tcPr>
            <w:tcW w:w="4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Gas</w:t>
            </w:r>
          </w:p>
        </w:tc>
        <w:tc>
          <w:tcPr>
            <w:tcW w:w="5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Total</w:t>
            </w:r>
          </w:p>
        </w:tc>
      </w:tr>
      <w:tr>
        <w:trPr>
          <w:trHeight w:val="230"/>
        </w:trPr>
        <w:tc>
          <w:tcPr>
            <w:tcW w:w="2860" w:type="dxa"/>
            <w:vAlign w:val="bottom"/>
          </w:tcPr>
          <w:p>
            <w:pPr>
              <w:spacing w:after="0"/>
              <w:rPr>
                <w:sz w:val="20"/>
                <w:szCs w:val="20"/>
                <w:color w:val="auto"/>
              </w:rPr>
            </w:pPr>
            <w:r>
              <w:rPr>
                <w:rFonts w:ascii="Arial" w:cs="Arial" w:eastAsia="Arial" w:hAnsi="Arial"/>
                <w:sz w:val="18"/>
                <w:szCs w:val="18"/>
                <w:color w:val="auto"/>
              </w:rPr>
              <w:t>2008</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70"/>
              <w:spacing w:after="0"/>
              <w:rPr>
                <w:sz w:val="20"/>
                <w:szCs w:val="20"/>
                <w:color w:val="auto"/>
              </w:rPr>
            </w:pPr>
            <w:r>
              <w:rPr>
                <w:rFonts w:ascii="Arial" w:cs="Arial" w:eastAsia="Arial" w:hAnsi="Arial"/>
                <w:sz w:val="18"/>
                <w:szCs w:val="18"/>
                <w:color w:val="auto"/>
              </w:rPr>
              <w:t>146</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1,340</w:t>
            </w:r>
          </w:p>
        </w:tc>
        <w:tc>
          <w:tcPr>
            <w:tcW w:w="5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10"/>
              <w:spacing w:after="0"/>
              <w:rPr>
                <w:sz w:val="20"/>
                <w:szCs w:val="20"/>
                <w:color w:val="auto"/>
              </w:rPr>
            </w:pPr>
            <w:r>
              <w:rPr>
                <w:rFonts w:ascii="Arial" w:cs="Arial" w:eastAsia="Arial" w:hAnsi="Arial"/>
                <w:sz w:val="18"/>
                <w:szCs w:val="18"/>
                <w:color w:val="auto"/>
              </w:rPr>
              <w:t>1,486</w:t>
            </w:r>
          </w:p>
        </w:tc>
      </w:tr>
      <w:tr>
        <w:trPr>
          <w:trHeight w:val="242"/>
        </w:trPr>
        <w:tc>
          <w:tcPr>
            <w:tcW w:w="2860" w:type="dxa"/>
            <w:vAlign w:val="bottom"/>
          </w:tcPr>
          <w:p>
            <w:pPr>
              <w:spacing w:after="0"/>
              <w:rPr>
                <w:sz w:val="20"/>
                <w:szCs w:val="20"/>
                <w:color w:val="auto"/>
              </w:rPr>
            </w:pPr>
            <w:r>
              <w:rPr>
                <w:rFonts w:ascii="Arial" w:cs="Arial" w:eastAsia="Arial" w:hAnsi="Arial"/>
                <w:sz w:val="18"/>
                <w:szCs w:val="18"/>
                <w:color w:val="auto"/>
              </w:rPr>
              <w:t>2009</w:t>
            </w:r>
          </w:p>
        </w:tc>
        <w:tc>
          <w:tcPr>
            <w:tcW w:w="1240" w:type="dxa"/>
            <w:vAlign w:val="bottom"/>
          </w:tcPr>
          <w:p>
            <w:pPr>
              <w:spacing w:after="0"/>
              <w:rPr>
                <w:sz w:val="21"/>
                <w:szCs w:val="21"/>
                <w:color w:val="auto"/>
              </w:rPr>
            </w:pPr>
          </w:p>
        </w:tc>
        <w:tc>
          <w:tcPr>
            <w:tcW w:w="1080" w:type="dxa"/>
            <w:vAlign w:val="bottom"/>
          </w:tcPr>
          <w:p>
            <w:pPr>
              <w:jc w:val="right"/>
              <w:ind w:right="170"/>
              <w:spacing w:after="0"/>
              <w:rPr>
                <w:sz w:val="20"/>
                <w:szCs w:val="20"/>
                <w:color w:val="auto"/>
              </w:rPr>
            </w:pPr>
            <w:r>
              <w:rPr>
                <w:rFonts w:ascii="Arial" w:cs="Arial" w:eastAsia="Arial" w:hAnsi="Arial"/>
                <w:sz w:val="18"/>
                <w:szCs w:val="18"/>
                <w:color w:val="auto"/>
              </w:rPr>
              <w:t>125</w:t>
            </w:r>
          </w:p>
        </w:tc>
        <w:tc>
          <w:tcPr>
            <w:tcW w:w="460" w:type="dxa"/>
            <w:vAlign w:val="bottom"/>
          </w:tcPr>
          <w:p>
            <w:pPr>
              <w:spacing w:after="0"/>
              <w:rPr>
                <w:sz w:val="21"/>
                <w:szCs w:val="21"/>
                <w:color w:val="auto"/>
              </w:rPr>
            </w:pP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541</w:t>
            </w:r>
          </w:p>
        </w:tc>
        <w:tc>
          <w:tcPr>
            <w:tcW w:w="540" w:type="dxa"/>
            <w:vAlign w:val="bottom"/>
          </w:tcPr>
          <w:p>
            <w:pPr>
              <w:spacing w:after="0"/>
              <w:rPr>
                <w:sz w:val="21"/>
                <w:szCs w:val="21"/>
                <w:color w:val="auto"/>
              </w:rPr>
            </w:pPr>
          </w:p>
        </w:tc>
        <w:tc>
          <w:tcPr>
            <w:tcW w:w="840" w:type="dxa"/>
            <w:vAlign w:val="bottom"/>
          </w:tcPr>
          <w:p>
            <w:pPr>
              <w:jc w:val="right"/>
              <w:ind w:right="110"/>
              <w:spacing w:after="0"/>
              <w:rPr>
                <w:sz w:val="20"/>
                <w:szCs w:val="20"/>
                <w:color w:val="auto"/>
              </w:rPr>
            </w:pPr>
            <w:r>
              <w:rPr>
                <w:rFonts w:ascii="Arial" w:cs="Arial" w:eastAsia="Arial" w:hAnsi="Arial"/>
                <w:sz w:val="18"/>
                <w:szCs w:val="18"/>
                <w:color w:val="auto"/>
              </w:rPr>
              <w:t>666</w:t>
            </w:r>
          </w:p>
        </w:tc>
      </w:tr>
      <w:tr>
        <w:trPr>
          <w:trHeight w:val="243"/>
        </w:trPr>
        <w:tc>
          <w:tcPr>
            <w:tcW w:w="2860" w:type="dxa"/>
            <w:vAlign w:val="bottom"/>
          </w:tcPr>
          <w:p>
            <w:pPr>
              <w:spacing w:after="0"/>
              <w:rPr>
                <w:sz w:val="20"/>
                <w:szCs w:val="20"/>
                <w:color w:val="auto"/>
              </w:rPr>
            </w:pPr>
            <w:r>
              <w:rPr>
                <w:rFonts w:ascii="Arial" w:cs="Arial" w:eastAsia="Arial" w:hAnsi="Arial"/>
                <w:sz w:val="18"/>
                <w:szCs w:val="18"/>
                <w:color w:val="auto"/>
              </w:rPr>
              <w:t>2010</w:t>
            </w:r>
          </w:p>
        </w:tc>
        <w:tc>
          <w:tcPr>
            <w:tcW w:w="1240" w:type="dxa"/>
            <w:vAlign w:val="bottom"/>
          </w:tcPr>
          <w:p>
            <w:pPr>
              <w:spacing w:after="0"/>
              <w:rPr>
                <w:sz w:val="21"/>
                <w:szCs w:val="21"/>
                <w:color w:val="auto"/>
              </w:rPr>
            </w:pPr>
          </w:p>
        </w:tc>
        <w:tc>
          <w:tcPr>
            <w:tcW w:w="1080" w:type="dxa"/>
            <w:vAlign w:val="bottom"/>
          </w:tcPr>
          <w:p>
            <w:pPr>
              <w:jc w:val="right"/>
              <w:ind w:right="170"/>
              <w:spacing w:after="0"/>
              <w:rPr>
                <w:sz w:val="20"/>
                <w:szCs w:val="20"/>
                <w:color w:val="auto"/>
              </w:rPr>
            </w:pPr>
            <w:r>
              <w:rPr>
                <w:rFonts w:ascii="Arial" w:cs="Arial" w:eastAsia="Arial" w:hAnsi="Arial"/>
                <w:sz w:val="18"/>
                <w:szCs w:val="18"/>
                <w:color w:val="auto"/>
              </w:rPr>
              <w:t>98</w:t>
            </w:r>
          </w:p>
        </w:tc>
        <w:tc>
          <w:tcPr>
            <w:tcW w:w="460" w:type="dxa"/>
            <w:vAlign w:val="bottom"/>
          </w:tcPr>
          <w:p>
            <w:pPr>
              <w:spacing w:after="0"/>
              <w:rPr>
                <w:sz w:val="21"/>
                <w:szCs w:val="21"/>
                <w:color w:val="auto"/>
              </w:rPr>
            </w:pP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540</w:t>
            </w:r>
          </w:p>
        </w:tc>
        <w:tc>
          <w:tcPr>
            <w:tcW w:w="540" w:type="dxa"/>
            <w:vAlign w:val="bottom"/>
          </w:tcPr>
          <w:p>
            <w:pPr>
              <w:spacing w:after="0"/>
              <w:rPr>
                <w:sz w:val="21"/>
                <w:szCs w:val="21"/>
                <w:color w:val="auto"/>
              </w:rPr>
            </w:pPr>
          </w:p>
        </w:tc>
        <w:tc>
          <w:tcPr>
            <w:tcW w:w="840" w:type="dxa"/>
            <w:vAlign w:val="bottom"/>
          </w:tcPr>
          <w:p>
            <w:pPr>
              <w:jc w:val="right"/>
              <w:ind w:right="110"/>
              <w:spacing w:after="0"/>
              <w:rPr>
                <w:sz w:val="20"/>
                <w:szCs w:val="20"/>
                <w:color w:val="auto"/>
              </w:rPr>
            </w:pPr>
            <w:r>
              <w:rPr>
                <w:rFonts w:ascii="Arial" w:cs="Arial" w:eastAsia="Arial" w:hAnsi="Arial"/>
                <w:sz w:val="18"/>
                <w:szCs w:val="18"/>
                <w:color w:val="auto"/>
              </w:rPr>
              <w:t>638</w:t>
            </w:r>
          </w:p>
        </w:tc>
      </w:tr>
      <w:tr>
        <w:trPr>
          <w:trHeight w:val="243"/>
        </w:trPr>
        <w:tc>
          <w:tcPr>
            <w:tcW w:w="2860" w:type="dxa"/>
            <w:vAlign w:val="bottom"/>
          </w:tcPr>
          <w:p>
            <w:pPr>
              <w:spacing w:after="0"/>
              <w:rPr>
                <w:sz w:val="20"/>
                <w:szCs w:val="20"/>
                <w:color w:val="auto"/>
              </w:rPr>
            </w:pPr>
            <w:r>
              <w:rPr>
                <w:rFonts w:ascii="Arial" w:cs="Arial" w:eastAsia="Arial" w:hAnsi="Arial"/>
                <w:sz w:val="18"/>
                <w:szCs w:val="18"/>
                <w:color w:val="auto"/>
              </w:rPr>
              <w:t>2011</w:t>
            </w:r>
          </w:p>
        </w:tc>
        <w:tc>
          <w:tcPr>
            <w:tcW w:w="1240" w:type="dxa"/>
            <w:vAlign w:val="bottom"/>
          </w:tcPr>
          <w:p>
            <w:pPr>
              <w:spacing w:after="0"/>
              <w:rPr>
                <w:sz w:val="21"/>
                <w:szCs w:val="21"/>
                <w:color w:val="auto"/>
              </w:rPr>
            </w:pPr>
          </w:p>
        </w:tc>
        <w:tc>
          <w:tcPr>
            <w:tcW w:w="1080" w:type="dxa"/>
            <w:vAlign w:val="bottom"/>
          </w:tcPr>
          <w:p>
            <w:pPr>
              <w:jc w:val="right"/>
              <w:ind w:right="170"/>
              <w:spacing w:after="0"/>
              <w:rPr>
                <w:sz w:val="20"/>
                <w:szCs w:val="20"/>
                <w:color w:val="auto"/>
              </w:rPr>
            </w:pPr>
            <w:r>
              <w:rPr>
                <w:rFonts w:ascii="Arial" w:cs="Arial" w:eastAsia="Arial" w:hAnsi="Arial"/>
                <w:sz w:val="18"/>
                <w:szCs w:val="18"/>
                <w:color w:val="auto"/>
              </w:rPr>
              <w:t>61</w:t>
            </w:r>
          </w:p>
        </w:tc>
        <w:tc>
          <w:tcPr>
            <w:tcW w:w="460" w:type="dxa"/>
            <w:vAlign w:val="bottom"/>
          </w:tcPr>
          <w:p>
            <w:pPr>
              <w:spacing w:after="0"/>
              <w:rPr>
                <w:sz w:val="21"/>
                <w:szCs w:val="21"/>
                <w:color w:val="auto"/>
              </w:rPr>
            </w:pP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346</w:t>
            </w:r>
          </w:p>
        </w:tc>
        <w:tc>
          <w:tcPr>
            <w:tcW w:w="540" w:type="dxa"/>
            <w:vAlign w:val="bottom"/>
          </w:tcPr>
          <w:p>
            <w:pPr>
              <w:spacing w:after="0"/>
              <w:rPr>
                <w:sz w:val="21"/>
                <w:szCs w:val="21"/>
                <w:color w:val="auto"/>
              </w:rPr>
            </w:pPr>
          </w:p>
        </w:tc>
        <w:tc>
          <w:tcPr>
            <w:tcW w:w="840" w:type="dxa"/>
            <w:vAlign w:val="bottom"/>
          </w:tcPr>
          <w:p>
            <w:pPr>
              <w:jc w:val="right"/>
              <w:ind w:right="110"/>
              <w:spacing w:after="0"/>
              <w:rPr>
                <w:sz w:val="20"/>
                <w:szCs w:val="20"/>
                <w:color w:val="auto"/>
              </w:rPr>
            </w:pPr>
            <w:r>
              <w:rPr>
                <w:rFonts w:ascii="Arial" w:cs="Arial" w:eastAsia="Arial" w:hAnsi="Arial"/>
                <w:sz w:val="18"/>
                <w:szCs w:val="18"/>
                <w:color w:val="auto"/>
              </w:rPr>
              <w:t>407</w:t>
            </w:r>
          </w:p>
        </w:tc>
      </w:tr>
      <w:tr>
        <w:trPr>
          <w:trHeight w:val="243"/>
        </w:trPr>
        <w:tc>
          <w:tcPr>
            <w:tcW w:w="2860" w:type="dxa"/>
            <w:vAlign w:val="bottom"/>
          </w:tcPr>
          <w:p>
            <w:pPr>
              <w:spacing w:after="0"/>
              <w:rPr>
                <w:sz w:val="20"/>
                <w:szCs w:val="20"/>
                <w:color w:val="auto"/>
              </w:rPr>
            </w:pPr>
            <w:r>
              <w:rPr>
                <w:rFonts w:ascii="Arial" w:cs="Arial" w:eastAsia="Arial" w:hAnsi="Arial"/>
                <w:sz w:val="18"/>
                <w:szCs w:val="18"/>
                <w:color w:val="auto"/>
              </w:rPr>
              <w:t>2012</w:t>
            </w:r>
          </w:p>
        </w:tc>
        <w:tc>
          <w:tcPr>
            <w:tcW w:w="1240" w:type="dxa"/>
            <w:vAlign w:val="bottom"/>
          </w:tcPr>
          <w:p>
            <w:pPr>
              <w:spacing w:after="0"/>
              <w:rPr>
                <w:sz w:val="21"/>
                <w:szCs w:val="21"/>
                <w:color w:val="auto"/>
              </w:rPr>
            </w:pPr>
          </w:p>
        </w:tc>
        <w:tc>
          <w:tcPr>
            <w:tcW w:w="1080" w:type="dxa"/>
            <w:vAlign w:val="bottom"/>
          </w:tcPr>
          <w:p>
            <w:pPr>
              <w:jc w:val="right"/>
              <w:ind w:right="170"/>
              <w:spacing w:after="0"/>
              <w:rPr>
                <w:sz w:val="20"/>
                <w:szCs w:val="20"/>
                <w:color w:val="auto"/>
              </w:rPr>
            </w:pPr>
            <w:r>
              <w:rPr>
                <w:rFonts w:ascii="Arial" w:cs="Arial" w:eastAsia="Arial" w:hAnsi="Arial"/>
                <w:sz w:val="18"/>
                <w:szCs w:val="18"/>
                <w:color w:val="auto"/>
              </w:rPr>
              <w:t>33</w:t>
            </w:r>
          </w:p>
        </w:tc>
        <w:tc>
          <w:tcPr>
            <w:tcW w:w="460" w:type="dxa"/>
            <w:vAlign w:val="bottom"/>
          </w:tcPr>
          <w:p>
            <w:pPr>
              <w:spacing w:after="0"/>
              <w:rPr>
                <w:sz w:val="21"/>
                <w:szCs w:val="21"/>
                <w:color w:val="auto"/>
              </w:rPr>
            </w:pP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4</w:t>
            </w:r>
          </w:p>
        </w:tc>
        <w:tc>
          <w:tcPr>
            <w:tcW w:w="540" w:type="dxa"/>
            <w:vAlign w:val="bottom"/>
          </w:tcPr>
          <w:p>
            <w:pPr>
              <w:spacing w:after="0"/>
              <w:rPr>
                <w:sz w:val="21"/>
                <w:szCs w:val="21"/>
                <w:color w:val="auto"/>
              </w:rPr>
            </w:pPr>
          </w:p>
        </w:tc>
        <w:tc>
          <w:tcPr>
            <w:tcW w:w="840" w:type="dxa"/>
            <w:vAlign w:val="bottom"/>
          </w:tcPr>
          <w:p>
            <w:pPr>
              <w:jc w:val="right"/>
              <w:ind w:right="110"/>
              <w:spacing w:after="0"/>
              <w:rPr>
                <w:sz w:val="20"/>
                <w:szCs w:val="20"/>
                <w:color w:val="auto"/>
              </w:rPr>
            </w:pPr>
            <w:r>
              <w:rPr>
                <w:rFonts w:ascii="Arial" w:cs="Arial" w:eastAsia="Arial" w:hAnsi="Arial"/>
                <w:sz w:val="18"/>
                <w:szCs w:val="18"/>
                <w:color w:val="auto"/>
              </w:rPr>
              <w:t>37</w:t>
            </w:r>
          </w:p>
        </w:tc>
      </w:tr>
      <w:tr>
        <w:trPr>
          <w:trHeight w:val="250"/>
        </w:trPr>
        <w:tc>
          <w:tcPr>
            <w:tcW w:w="2860" w:type="dxa"/>
            <w:vAlign w:val="bottom"/>
          </w:tcPr>
          <w:p>
            <w:pPr>
              <w:spacing w:after="0"/>
              <w:rPr>
                <w:sz w:val="20"/>
                <w:szCs w:val="20"/>
                <w:color w:val="auto"/>
              </w:rPr>
            </w:pPr>
            <w:r>
              <w:rPr>
                <w:rFonts w:ascii="Arial" w:cs="Arial" w:eastAsia="Arial" w:hAnsi="Arial"/>
                <w:sz w:val="18"/>
                <w:szCs w:val="18"/>
                <w:color w:val="auto"/>
              </w:rPr>
              <w:t>Thereafter</w:t>
            </w:r>
          </w:p>
        </w:tc>
        <w:tc>
          <w:tcPr>
            <w:tcW w:w="1240" w:type="dxa"/>
            <w:vAlign w:val="bottom"/>
          </w:tcPr>
          <w:p>
            <w:pPr>
              <w:spacing w:after="0"/>
              <w:rPr>
                <w:sz w:val="21"/>
                <w:szCs w:val="21"/>
                <w:color w:val="auto"/>
              </w:rPr>
            </w:pPr>
          </w:p>
        </w:tc>
        <w:tc>
          <w:tcPr>
            <w:tcW w:w="10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236</w:t>
            </w:r>
          </w:p>
        </w:tc>
        <w:tc>
          <w:tcPr>
            <w:tcW w:w="4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236</w:t>
            </w:r>
          </w:p>
        </w:tc>
      </w:tr>
      <w:tr>
        <w:trPr>
          <w:trHeight w:val="264"/>
        </w:trPr>
        <w:tc>
          <w:tcPr>
            <w:tcW w:w="2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minimum payments</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699</w:t>
            </w:r>
          </w:p>
        </w:tc>
        <w:tc>
          <w:tcPr>
            <w:tcW w:w="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2,771</w:t>
            </w:r>
          </w:p>
        </w:tc>
        <w:tc>
          <w:tcPr>
            <w:tcW w:w="5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3,470</w:t>
            </w:r>
          </w:p>
        </w:tc>
      </w:tr>
    </w:tbl>
    <w:p>
      <w:pPr>
        <w:spacing w:after="0" w:line="226" w:lineRule="exact"/>
        <w:rPr>
          <w:sz w:val="20"/>
          <w:szCs w:val="20"/>
          <w:color w:val="auto"/>
        </w:rPr>
      </w:pPr>
    </w:p>
    <w:p>
      <w:pPr>
        <w:spacing w:after="0" w:line="257" w:lineRule="auto"/>
        <w:rPr>
          <w:sz w:val="20"/>
          <w:szCs w:val="20"/>
          <w:color w:val="auto"/>
        </w:rPr>
      </w:pPr>
      <w:r>
        <w:rPr>
          <w:rFonts w:ascii="Arial" w:cs="Arial" w:eastAsia="Arial" w:hAnsi="Arial"/>
          <w:sz w:val="19"/>
          <w:szCs w:val="19"/>
          <w:color w:val="auto"/>
        </w:rPr>
        <w:t>Total payments under natural gas contracts were $3.0 billion in 2007, $2.9 billion in 2006 and $3.5 billion in 2005. Sempra LNG has a purchase agreement with Tangguh PSC Contractors for the supply of 500 million cubic feet of natural gas per day from Indonesia’s Tangguh liquefaction facility to Sempra LNG’s Energía Costa Azul regasification terminal. The contracted volume deliveries under the 20-year agreement will commence in 2009 and supply half of the capacity of Energía Costa Azul. The price of natural gas to be purchased by Sempra LNG is based on the Southern California border index. As of December 31, 2007, minimum payments under this contract are expected to be $509 million in 2009, $1.3 billion in 2010, $1.3 billion in 2011, $1.3 billion in 2012 and $22 billion for the remainder of the contract term, based on the Southern California border index price, plus an estimated 1 percent escalation per year. No minimum payments are e xpected in 2008. Sempra LNG has contracts to sell a portion of the volumes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0"/>
          <w:szCs w:val="20"/>
          <w:color w:val="auto"/>
        </w:rPr>
        <w:t>118</w:t>
      </w:r>
    </w:p>
    <w:p>
      <w:pPr>
        <w:sectPr>
          <w:pgSz w:w="11900" w:h="16838" w:orient="portrait"/>
          <w:cols w:equalWidth="0" w:num="1">
            <w:col w:w="11420"/>
          </w:cols>
          <w:pgMar w:left="240" w:top="122" w:right="239" w:bottom="1440" w:gutter="0" w:footer="0" w:header="0"/>
        </w:sectPr>
      </w:pPr>
    </w:p>
    <w:bookmarkStart w:id="186" w:name="page187"/>
    <w:bookmarkEnd w:id="186"/>
    <w:p>
      <w:pPr>
        <w:spacing w:after="0"/>
        <w:rPr>
          <w:sz w:val="20"/>
          <w:szCs w:val="20"/>
          <w:color w:val="auto"/>
        </w:rPr>
      </w:pPr>
      <w:r>
        <w:rPr>
          <w:rFonts w:ascii="Arial" w:cs="Arial" w:eastAsia="Arial" w:hAnsi="Arial"/>
          <w:sz w:val="19"/>
          <w:szCs w:val="19"/>
          <w:color w:val="auto"/>
        </w:rPr>
        <w:t>purchased under the agreement with Tangguh PSC Contractors at prices that are based on the Southern California border index.</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Purchased-Power Contracts</w:t>
      </w:r>
    </w:p>
    <w:p>
      <w:pPr>
        <w:spacing w:after="0" w:line="249" w:lineRule="exact"/>
        <w:rPr>
          <w:sz w:val="20"/>
          <w:szCs w:val="20"/>
          <w:color w:val="auto"/>
        </w:rPr>
      </w:pPr>
    </w:p>
    <w:p>
      <w:pPr>
        <w:spacing w:after="0" w:line="263" w:lineRule="auto"/>
        <w:rPr>
          <w:sz w:val="20"/>
          <w:szCs w:val="20"/>
          <w:color w:val="auto"/>
        </w:rPr>
      </w:pPr>
      <w:r>
        <w:rPr>
          <w:rFonts w:ascii="Arial" w:cs="Arial" w:eastAsia="Arial" w:hAnsi="Arial"/>
          <w:sz w:val="19"/>
          <w:szCs w:val="19"/>
          <w:color w:val="auto"/>
        </w:rPr>
        <w:t>For 2008, SDG&amp;E expects to receive 27 percent of its customer power requirements from DWR allocations. Of the remaining requirements, SONGS is expected to account for 19 percent, long-term contracts for 17 percent (of which 6 percent is provided by renewable energy contracts expiring on various dates through 2025), other SDG&amp;E-owned generation (including Palomar) and tolling contracts for 19 percent and spot market purchases for 18 percent. The long-term contracts expire on various dates through 2033.</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Sempra Commodities is committed to purchase $84 million of power in varying amounts through 2014.</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2007, the estimated future minimum payments under the long-term contracts (not including the DWR allocations) were:</w:t>
      </w:r>
    </w:p>
    <w:p>
      <w:pPr>
        <w:spacing w:after="0" w:line="309"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(Dollars in millions)</w:t>
      </w:r>
    </w:p>
    <w:p>
      <w:pPr>
        <w:spacing w:after="0" w:line="23" w:lineRule="exact"/>
        <w:rPr>
          <w:sz w:val="20"/>
          <w:szCs w:val="20"/>
          <w:color w:val="auto"/>
        </w:rPr>
      </w:pPr>
    </w:p>
    <w:tbl>
      <w:tblPr>
        <w:tblLayout w:type="fixed"/>
        <w:tblInd w:w="1900" w:type="dxa"/>
        <w:tblCellMar>
          <w:top w:w="0" w:type="dxa"/>
          <w:left w:w="0" w:type="dxa"/>
          <w:bottom w:w="0" w:type="dxa"/>
          <w:right w:w="0" w:type="dxa"/>
        </w:tblCellMar>
      </w:tblPr>
      <w:tr>
        <w:trPr>
          <w:trHeight w:val="237"/>
        </w:trPr>
        <w:tc>
          <w:tcPr>
            <w:tcW w:w="67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2008</w:t>
            </w:r>
          </w:p>
        </w:tc>
        <w:tc>
          <w:tcPr>
            <w:tcW w:w="220" w:type="dxa"/>
            <w:vAlign w:val="bottom"/>
            <w:tcBorders>
              <w:top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399</w:t>
            </w:r>
          </w:p>
        </w:tc>
      </w:tr>
      <w:tr>
        <w:trPr>
          <w:trHeight w:val="242"/>
        </w:trPr>
        <w:tc>
          <w:tcPr>
            <w:tcW w:w="6720" w:type="dxa"/>
            <w:vAlign w:val="bottom"/>
          </w:tcPr>
          <w:p>
            <w:pPr>
              <w:spacing w:after="0"/>
              <w:rPr>
                <w:sz w:val="20"/>
                <w:szCs w:val="20"/>
                <w:color w:val="auto"/>
              </w:rPr>
            </w:pPr>
            <w:r>
              <w:rPr>
                <w:rFonts w:ascii="Arial" w:cs="Arial" w:eastAsia="Arial" w:hAnsi="Arial"/>
                <w:sz w:val="18"/>
                <w:szCs w:val="18"/>
                <w:color w:val="auto"/>
              </w:rPr>
              <w:t>2009</w:t>
            </w:r>
          </w:p>
        </w:tc>
        <w:tc>
          <w:tcPr>
            <w:tcW w:w="220" w:type="dxa"/>
            <w:vAlign w:val="bottom"/>
          </w:tcPr>
          <w:p>
            <w:pPr>
              <w:spacing w:after="0"/>
              <w:rPr>
                <w:sz w:val="21"/>
                <w:szCs w:val="21"/>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448</w:t>
            </w:r>
          </w:p>
        </w:tc>
      </w:tr>
      <w:tr>
        <w:trPr>
          <w:trHeight w:val="243"/>
        </w:trPr>
        <w:tc>
          <w:tcPr>
            <w:tcW w:w="6720" w:type="dxa"/>
            <w:vAlign w:val="bottom"/>
          </w:tcPr>
          <w:p>
            <w:pPr>
              <w:spacing w:after="0"/>
              <w:rPr>
                <w:sz w:val="20"/>
                <w:szCs w:val="20"/>
                <w:color w:val="auto"/>
              </w:rPr>
            </w:pPr>
            <w:r>
              <w:rPr>
                <w:rFonts w:ascii="Arial" w:cs="Arial" w:eastAsia="Arial" w:hAnsi="Arial"/>
                <w:sz w:val="18"/>
                <w:szCs w:val="18"/>
                <w:color w:val="auto"/>
              </w:rPr>
              <w:t>2010</w:t>
            </w:r>
          </w:p>
        </w:tc>
        <w:tc>
          <w:tcPr>
            <w:tcW w:w="220" w:type="dxa"/>
            <w:vAlign w:val="bottom"/>
          </w:tcPr>
          <w:p>
            <w:pPr>
              <w:spacing w:after="0"/>
              <w:rPr>
                <w:sz w:val="21"/>
                <w:szCs w:val="21"/>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347</w:t>
            </w:r>
          </w:p>
        </w:tc>
      </w:tr>
      <w:tr>
        <w:trPr>
          <w:trHeight w:val="243"/>
        </w:trPr>
        <w:tc>
          <w:tcPr>
            <w:tcW w:w="6720" w:type="dxa"/>
            <w:vAlign w:val="bottom"/>
          </w:tcPr>
          <w:p>
            <w:pPr>
              <w:spacing w:after="0"/>
              <w:rPr>
                <w:sz w:val="20"/>
                <w:szCs w:val="20"/>
                <w:color w:val="auto"/>
              </w:rPr>
            </w:pPr>
            <w:r>
              <w:rPr>
                <w:rFonts w:ascii="Arial" w:cs="Arial" w:eastAsia="Arial" w:hAnsi="Arial"/>
                <w:sz w:val="18"/>
                <w:szCs w:val="18"/>
                <w:color w:val="auto"/>
              </w:rPr>
              <w:t>2011</w:t>
            </w:r>
          </w:p>
        </w:tc>
        <w:tc>
          <w:tcPr>
            <w:tcW w:w="220" w:type="dxa"/>
            <w:vAlign w:val="bottom"/>
          </w:tcPr>
          <w:p>
            <w:pPr>
              <w:spacing w:after="0"/>
              <w:rPr>
                <w:sz w:val="21"/>
                <w:szCs w:val="21"/>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349</w:t>
            </w:r>
          </w:p>
        </w:tc>
      </w:tr>
      <w:tr>
        <w:trPr>
          <w:trHeight w:val="243"/>
        </w:trPr>
        <w:tc>
          <w:tcPr>
            <w:tcW w:w="6720" w:type="dxa"/>
            <w:vAlign w:val="bottom"/>
          </w:tcPr>
          <w:p>
            <w:pPr>
              <w:spacing w:after="0"/>
              <w:rPr>
                <w:sz w:val="20"/>
                <w:szCs w:val="20"/>
                <w:color w:val="auto"/>
              </w:rPr>
            </w:pPr>
            <w:r>
              <w:rPr>
                <w:rFonts w:ascii="Arial" w:cs="Arial" w:eastAsia="Arial" w:hAnsi="Arial"/>
                <w:sz w:val="18"/>
                <w:szCs w:val="18"/>
                <w:color w:val="auto"/>
              </w:rPr>
              <w:t>2012</w:t>
            </w:r>
          </w:p>
        </w:tc>
        <w:tc>
          <w:tcPr>
            <w:tcW w:w="220" w:type="dxa"/>
            <w:vAlign w:val="bottom"/>
          </w:tcPr>
          <w:p>
            <w:pPr>
              <w:spacing w:after="0"/>
              <w:rPr>
                <w:sz w:val="21"/>
                <w:szCs w:val="21"/>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339</w:t>
            </w:r>
          </w:p>
        </w:tc>
      </w:tr>
      <w:tr>
        <w:trPr>
          <w:trHeight w:val="250"/>
        </w:trPr>
        <w:tc>
          <w:tcPr>
            <w:tcW w:w="6720" w:type="dxa"/>
            <w:vAlign w:val="bottom"/>
          </w:tcPr>
          <w:p>
            <w:pPr>
              <w:spacing w:after="0"/>
              <w:rPr>
                <w:sz w:val="20"/>
                <w:szCs w:val="20"/>
                <w:color w:val="auto"/>
              </w:rPr>
            </w:pPr>
            <w:r>
              <w:rPr>
                <w:rFonts w:ascii="Arial" w:cs="Arial" w:eastAsia="Arial" w:hAnsi="Arial"/>
                <w:sz w:val="18"/>
                <w:szCs w:val="18"/>
                <w:color w:val="auto"/>
              </w:rPr>
              <w:t>Thereafter</w:t>
            </w:r>
          </w:p>
        </w:tc>
        <w:tc>
          <w:tcPr>
            <w:tcW w:w="2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2,542</w:t>
            </w:r>
          </w:p>
        </w:tc>
      </w:tr>
      <w:tr>
        <w:trPr>
          <w:trHeight w:val="264"/>
        </w:trPr>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minimum payments</w:t>
            </w: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4,424</w:t>
            </w:r>
          </w:p>
        </w:tc>
      </w:tr>
    </w:tbl>
    <w:p>
      <w:pPr>
        <w:spacing w:after="0" w:line="226" w:lineRule="exact"/>
        <w:rPr>
          <w:sz w:val="20"/>
          <w:szCs w:val="20"/>
          <w:color w:val="auto"/>
        </w:rPr>
      </w:pPr>
    </w:p>
    <w:p>
      <w:pPr>
        <w:jc w:val="both"/>
        <w:ind w:right="180"/>
        <w:spacing w:after="0" w:line="250" w:lineRule="auto"/>
        <w:rPr>
          <w:sz w:val="20"/>
          <w:szCs w:val="20"/>
          <w:color w:val="auto"/>
        </w:rPr>
      </w:pPr>
      <w:r>
        <w:rPr>
          <w:rFonts w:ascii="Arial" w:cs="Arial" w:eastAsia="Arial" w:hAnsi="Arial"/>
          <w:sz w:val="20"/>
          <w:szCs w:val="20"/>
          <w:color w:val="auto"/>
        </w:rPr>
        <w:t>The payments represent capacity charges and minimum energy purchases. SDG&amp;E is required to pay additional amounts for actual purchases of energy that exceed the minimum energy commitments. Excluding DWR-allocated contracts, total payments under the contracts were $351 million in 2007, $344 million in 2006 and $363 million in 2005.</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Leases</w:t>
      </w:r>
    </w:p>
    <w:p>
      <w:pPr>
        <w:spacing w:after="0" w:line="249" w:lineRule="exact"/>
        <w:rPr>
          <w:sz w:val="20"/>
          <w:szCs w:val="20"/>
          <w:color w:val="auto"/>
        </w:rPr>
      </w:pPr>
    </w:p>
    <w:p>
      <w:pPr>
        <w:ind w:right="20"/>
        <w:spacing w:after="0" w:line="244" w:lineRule="auto"/>
        <w:rPr>
          <w:sz w:val="20"/>
          <w:szCs w:val="20"/>
          <w:color w:val="auto"/>
        </w:rPr>
      </w:pPr>
      <w:r>
        <w:rPr>
          <w:rFonts w:ascii="Arial" w:cs="Arial" w:eastAsia="Arial" w:hAnsi="Arial"/>
          <w:sz w:val="20"/>
          <w:szCs w:val="20"/>
          <w:color w:val="auto"/>
        </w:rPr>
        <w:t>The company has operating leases on real and personal property expiring at various dates from 2008 to 2045. Certain leases on office facilities contain escalation clauses requiring annual increases in rent ranging from 3 percent to 6 percent. The rentals payable under these leases are determined on both fixed and percentage bases, and most leases contain extension options that are exercisable by the company. Rent expense totaled $141 million in 2007, $131 million in 2006, and $98 million in 2005. At December 31, 2007, the minimum rental commitments payable in future years under all noncancelable leases were as follows:</w:t>
      </w:r>
    </w:p>
    <w:p>
      <w:pPr>
        <w:spacing w:after="0" w:line="26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(Dollars in millions)</w:t>
      </w:r>
    </w:p>
    <w:p>
      <w:pPr>
        <w:spacing w:after="0" w:line="23" w:lineRule="exact"/>
        <w:rPr>
          <w:sz w:val="20"/>
          <w:szCs w:val="20"/>
          <w:color w:val="auto"/>
        </w:rPr>
      </w:pPr>
    </w:p>
    <w:tbl>
      <w:tblPr>
        <w:tblLayout w:type="fixed"/>
        <w:tblInd w:w="1920" w:type="dxa"/>
        <w:tblCellMar>
          <w:top w:w="0" w:type="dxa"/>
          <w:left w:w="0" w:type="dxa"/>
          <w:bottom w:w="0" w:type="dxa"/>
          <w:right w:w="0" w:type="dxa"/>
        </w:tblCellMar>
      </w:tblPr>
      <w:tr>
        <w:trPr>
          <w:trHeight w:val="237"/>
        </w:trPr>
        <w:tc>
          <w:tcPr>
            <w:tcW w:w="67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2008</w:t>
            </w:r>
          </w:p>
        </w:tc>
        <w:tc>
          <w:tcPr>
            <w:tcW w:w="2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120</w:t>
            </w:r>
          </w:p>
        </w:tc>
      </w:tr>
      <w:tr>
        <w:trPr>
          <w:trHeight w:val="242"/>
        </w:trPr>
        <w:tc>
          <w:tcPr>
            <w:tcW w:w="6700" w:type="dxa"/>
            <w:vAlign w:val="bottom"/>
          </w:tcPr>
          <w:p>
            <w:pPr>
              <w:ind w:left="20"/>
              <w:spacing w:after="0"/>
              <w:rPr>
                <w:sz w:val="20"/>
                <w:szCs w:val="20"/>
                <w:color w:val="auto"/>
              </w:rPr>
            </w:pPr>
            <w:r>
              <w:rPr>
                <w:rFonts w:ascii="Arial" w:cs="Arial" w:eastAsia="Arial" w:hAnsi="Arial"/>
                <w:sz w:val="18"/>
                <w:szCs w:val="18"/>
                <w:color w:val="auto"/>
              </w:rPr>
              <w:t>2009</w:t>
            </w:r>
          </w:p>
        </w:tc>
        <w:tc>
          <w:tcPr>
            <w:tcW w:w="280" w:type="dxa"/>
            <w:vAlign w:val="bottom"/>
          </w:tcPr>
          <w:p>
            <w:pPr>
              <w:spacing w:after="0"/>
              <w:rPr>
                <w:sz w:val="21"/>
                <w:szCs w:val="21"/>
                <w:color w:val="auto"/>
              </w:rPr>
            </w:pPr>
          </w:p>
        </w:tc>
        <w:tc>
          <w:tcPr>
            <w:tcW w:w="620" w:type="dxa"/>
            <w:vAlign w:val="bottom"/>
          </w:tcPr>
          <w:p>
            <w:pPr>
              <w:jc w:val="right"/>
              <w:ind w:right="130"/>
              <w:spacing w:after="0"/>
              <w:rPr>
                <w:sz w:val="20"/>
                <w:szCs w:val="20"/>
                <w:color w:val="auto"/>
              </w:rPr>
            </w:pPr>
            <w:r>
              <w:rPr>
                <w:rFonts w:ascii="Arial" w:cs="Arial" w:eastAsia="Arial" w:hAnsi="Arial"/>
                <w:sz w:val="18"/>
                <w:szCs w:val="18"/>
                <w:color w:val="auto"/>
              </w:rPr>
              <w:t>115</w:t>
            </w: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auto"/>
              </w:rPr>
              <w:t>2010</w:t>
            </w:r>
          </w:p>
        </w:tc>
        <w:tc>
          <w:tcPr>
            <w:tcW w:w="280" w:type="dxa"/>
            <w:vAlign w:val="bottom"/>
          </w:tcPr>
          <w:p>
            <w:pPr>
              <w:spacing w:after="0"/>
              <w:rPr>
                <w:sz w:val="21"/>
                <w:szCs w:val="21"/>
                <w:color w:val="auto"/>
              </w:rPr>
            </w:pPr>
          </w:p>
        </w:tc>
        <w:tc>
          <w:tcPr>
            <w:tcW w:w="620" w:type="dxa"/>
            <w:vAlign w:val="bottom"/>
          </w:tcPr>
          <w:p>
            <w:pPr>
              <w:jc w:val="right"/>
              <w:ind w:right="130"/>
              <w:spacing w:after="0"/>
              <w:rPr>
                <w:sz w:val="20"/>
                <w:szCs w:val="20"/>
                <w:color w:val="auto"/>
              </w:rPr>
            </w:pPr>
            <w:r>
              <w:rPr>
                <w:rFonts w:ascii="Arial" w:cs="Arial" w:eastAsia="Arial" w:hAnsi="Arial"/>
                <w:sz w:val="18"/>
                <w:szCs w:val="18"/>
                <w:color w:val="auto"/>
              </w:rPr>
              <w:t>99</w:t>
            </w: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auto"/>
              </w:rPr>
              <w:t>2011</w:t>
            </w:r>
          </w:p>
        </w:tc>
        <w:tc>
          <w:tcPr>
            <w:tcW w:w="280" w:type="dxa"/>
            <w:vAlign w:val="bottom"/>
          </w:tcPr>
          <w:p>
            <w:pPr>
              <w:spacing w:after="0"/>
              <w:rPr>
                <w:sz w:val="21"/>
                <w:szCs w:val="21"/>
                <w:color w:val="auto"/>
              </w:rPr>
            </w:pPr>
          </w:p>
        </w:tc>
        <w:tc>
          <w:tcPr>
            <w:tcW w:w="620" w:type="dxa"/>
            <w:vAlign w:val="bottom"/>
          </w:tcPr>
          <w:p>
            <w:pPr>
              <w:jc w:val="right"/>
              <w:ind w:right="130"/>
              <w:spacing w:after="0"/>
              <w:rPr>
                <w:sz w:val="20"/>
                <w:szCs w:val="20"/>
                <w:color w:val="auto"/>
              </w:rPr>
            </w:pPr>
            <w:r>
              <w:rPr>
                <w:rFonts w:ascii="Arial" w:cs="Arial" w:eastAsia="Arial" w:hAnsi="Arial"/>
                <w:sz w:val="18"/>
                <w:szCs w:val="18"/>
                <w:color w:val="auto"/>
              </w:rPr>
              <w:t>78</w:t>
            </w: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auto"/>
              </w:rPr>
              <w:t>2012</w:t>
            </w:r>
          </w:p>
        </w:tc>
        <w:tc>
          <w:tcPr>
            <w:tcW w:w="280" w:type="dxa"/>
            <w:vAlign w:val="bottom"/>
          </w:tcPr>
          <w:p>
            <w:pPr>
              <w:spacing w:after="0"/>
              <w:rPr>
                <w:sz w:val="21"/>
                <w:szCs w:val="21"/>
                <w:color w:val="auto"/>
              </w:rPr>
            </w:pPr>
          </w:p>
        </w:tc>
        <w:tc>
          <w:tcPr>
            <w:tcW w:w="620" w:type="dxa"/>
            <w:vAlign w:val="bottom"/>
          </w:tcPr>
          <w:p>
            <w:pPr>
              <w:jc w:val="right"/>
              <w:ind w:right="130"/>
              <w:spacing w:after="0"/>
              <w:rPr>
                <w:sz w:val="20"/>
                <w:szCs w:val="20"/>
                <w:color w:val="auto"/>
              </w:rPr>
            </w:pPr>
            <w:r>
              <w:rPr>
                <w:rFonts w:ascii="Arial" w:cs="Arial" w:eastAsia="Arial" w:hAnsi="Arial"/>
                <w:sz w:val="18"/>
                <w:szCs w:val="18"/>
                <w:color w:val="auto"/>
              </w:rPr>
              <w:t>43</w:t>
            </w:r>
          </w:p>
        </w:tc>
      </w:tr>
      <w:tr>
        <w:trPr>
          <w:trHeight w:val="250"/>
        </w:trPr>
        <w:tc>
          <w:tcPr>
            <w:tcW w:w="670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2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223</w:t>
            </w:r>
          </w:p>
        </w:tc>
      </w:tr>
      <w:tr>
        <w:trPr>
          <w:trHeight w:val="264"/>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future rental commitments</w:t>
            </w:r>
          </w:p>
        </w:tc>
        <w:tc>
          <w:tcPr>
            <w:tcW w:w="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678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20"/>
          <w:szCs w:val="20"/>
          <w:color w:val="auto"/>
        </w:rPr>
        <w:t>119</w:t>
      </w:r>
    </w:p>
    <w:p>
      <w:pPr>
        <w:sectPr>
          <w:pgSz w:w="11900" w:h="16838" w:orient="portrait"/>
          <w:cols w:equalWidth="0" w:num="1">
            <w:col w:w="11400"/>
          </w:cols>
          <w:pgMar w:left="240" w:top="122" w:right="259" w:bottom="1440" w:gutter="0" w:footer="0" w:header="0"/>
        </w:sectPr>
      </w:pPr>
    </w:p>
    <w:bookmarkStart w:id="187" w:name="page188"/>
    <w:bookmarkEnd w:id="187"/>
    <w:p>
      <w:pPr>
        <w:spacing w:after="0"/>
        <w:rPr>
          <w:sz w:val="20"/>
          <w:szCs w:val="20"/>
          <w:color w:val="auto"/>
        </w:rPr>
      </w:pPr>
      <w:r>
        <w:rPr>
          <w:rFonts w:ascii="Arial" w:cs="Arial" w:eastAsia="Arial" w:hAnsi="Arial"/>
          <w:sz w:val="20"/>
          <w:szCs w:val="20"/>
          <w:b w:val="1"/>
          <w:bCs w:val="1"/>
          <w:color w:val="auto"/>
        </w:rPr>
        <w:t>Construction Projects</w:t>
      </w:r>
    </w:p>
    <w:p>
      <w:pPr>
        <w:spacing w:after="0" w:line="250" w:lineRule="exact"/>
        <w:rPr>
          <w:sz w:val="20"/>
          <w:szCs w:val="20"/>
          <w:color w:val="auto"/>
        </w:rPr>
      </w:pPr>
    </w:p>
    <w:p>
      <w:pPr>
        <w:ind w:right="280"/>
        <w:spacing w:after="0" w:line="287" w:lineRule="auto"/>
        <w:rPr>
          <w:sz w:val="20"/>
          <w:szCs w:val="20"/>
          <w:color w:val="auto"/>
        </w:rPr>
      </w:pPr>
      <w:r>
        <w:rPr>
          <w:rFonts w:ascii="Arial" w:cs="Arial" w:eastAsia="Arial" w:hAnsi="Arial"/>
          <w:sz w:val="19"/>
          <w:szCs w:val="19"/>
          <w:color w:val="auto"/>
        </w:rPr>
        <w:t>Sempra Global has several subsidiaries that have developed or are in the process of constructing various capital projects in the United States and in Mexico. The following is a summary of commitments related to the projects developed or under development.</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Sempra LNG</w:t>
      </w:r>
    </w:p>
    <w:p>
      <w:pPr>
        <w:spacing w:after="0" w:line="243" w:lineRule="exact"/>
        <w:rPr>
          <w:sz w:val="20"/>
          <w:szCs w:val="20"/>
          <w:color w:val="auto"/>
        </w:rPr>
      </w:pPr>
    </w:p>
    <w:p>
      <w:pPr>
        <w:ind w:right="60"/>
        <w:spacing w:after="0" w:line="263" w:lineRule="auto"/>
        <w:rPr>
          <w:sz w:val="20"/>
          <w:szCs w:val="20"/>
          <w:color w:val="auto"/>
        </w:rPr>
      </w:pPr>
      <w:r>
        <w:rPr>
          <w:rFonts w:ascii="Arial" w:cs="Arial" w:eastAsia="Arial" w:hAnsi="Arial"/>
          <w:sz w:val="19"/>
          <w:szCs w:val="19"/>
          <w:color w:val="auto"/>
        </w:rPr>
        <w:t>In December 2004, Sempra LNG entered into agreements primarily for the construction of the Energía Costa Azul LNG receipt facility and for the project's breakwater. As of December 31, 2007, Sempra LNG expects to make payments under the contracts of $45 million in 2008. In August 2005, Sempra LNG entered into an agreement with a group of companies for the construction of the Cameron LNG receipt facility. As of December 31, 2007, Sempra LNG expects to make payments under the contracts of $110 million in 2008.</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Sempra Pipelines &amp; Storage</w:t>
      </w:r>
    </w:p>
    <w:p>
      <w:pPr>
        <w:spacing w:after="0" w:line="243" w:lineRule="exact"/>
        <w:rPr>
          <w:sz w:val="20"/>
          <w:szCs w:val="20"/>
          <w:color w:val="auto"/>
        </w:rPr>
      </w:pPr>
    </w:p>
    <w:p>
      <w:pPr>
        <w:ind w:right="440"/>
        <w:spacing w:after="0" w:line="386" w:lineRule="auto"/>
        <w:rPr>
          <w:sz w:val="20"/>
          <w:szCs w:val="20"/>
          <w:color w:val="auto"/>
        </w:rPr>
      </w:pPr>
      <w:r>
        <w:rPr>
          <w:rFonts w:ascii="Arial" w:cs="Arial" w:eastAsia="Arial" w:hAnsi="Arial"/>
          <w:sz w:val="16"/>
          <w:szCs w:val="16"/>
          <w:color w:val="auto"/>
        </w:rPr>
        <w:t>Sempra Pipelines &amp; Storage entered into agreements for the construction of the Cameron Interstate Pipeline and Liberty. At December 31, 2007, Sempra Pipelines &amp; Storage expects to make payments under these contracts of $89 million and $20 million, respectively, in 2008.</w:t>
      </w:r>
    </w:p>
    <w:p>
      <w:pPr>
        <w:spacing w:after="0" w:line="1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Guarantees</w:t>
      </w:r>
    </w:p>
    <w:p>
      <w:pPr>
        <w:spacing w:after="0" w:line="249" w:lineRule="exact"/>
        <w:rPr>
          <w:sz w:val="20"/>
          <w:szCs w:val="20"/>
          <w:color w:val="auto"/>
        </w:rPr>
      </w:pPr>
    </w:p>
    <w:p>
      <w:pPr>
        <w:ind w:right="320"/>
        <w:spacing w:after="0" w:line="250" w:lineRule="auto"/>
        <w:rPr>
          <w:sz w:val="20"/>
          <w:szCs w:val="20"/>
          <w:color w:val="auto"/>
        </w:rPr>
      </w:pPr>
      <w:r>
        <w:rPr>
          <w:rFonts w:ascii="Arial" w:cs="Arial" w:eastAsia="Arial" w:hAnsi="Arial"/>
          <w:sz w:val="20"/>
          <w:szCs w:val="20"/>
          <w:color w:val="auto"/>
        </w:rPr>
        <w:t>The company’s guarantees related to Rockies Express are discussed in Note 6. The company also has guaranteed $25 million related to debt issued by Chilquinta Energía Finance Co., LLC, an unconsolidated affiliate, and $11 million related to Bangor Gas, which was sold during 2007. The fair value of these guarantees is negligible.</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Department of Energy Nuclear Fuel Disposal</w:t>
      </w:r>
    </w:p>
    <w:p>
      <w:pPr>
        <w:spacing w:after="0" w:line="249" w:lineRule="exact"/>
        <w:rPr>
          <w:sz w:val="20"/>
          <w:szCs w:val="20"/>
          <w:color w:val="auto"/>
        </w:rPr>
      </w:pPr>
    </w:p>
    <w:p>
      <w:pPr>
        <w:spacing w:after="0" w:line="291" w:lineRule="auto"/>
        <w:rPr>
          <w:sz w:val="20"/>
          <w:szCs w:val="20"/>
          <w:color w:val="auto"/>
        </w:rPr>
      </w:pPr>
      <w:r>
        <w:rPr>
          <w:rFonts w:ascii="Arial" w:cs="Arial" w:eastAsia="Arial" w:hAnsi="Arial"/>
          <w:sz w:val="18"/>
          <w:szCs w:val="18"/>
          <w:color w:val="auto"/>
        </w:rPr>
        <w:t>The Nuclear Waste Policy Act of 1982 made the DOE responsible for the disposal of spent nuclear fuel. However, it is uncertain when the DOE will begin accepting spent nuclear fuel from SONGS. This delay by the DOE will lead to increased costs for spent fuel storage. This cost will be recovered through SONGS revenue unless the company is able to recover the increased cost from the federal government.</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Environmental Issues</w:t>
      </w:r>
    </w:p>
    <w:p>
      <w:pPr>
        <w:spacing w:after="0" w:line="249" w:lineRule="exact"/>
        <w:rPr>
          <w:sz w:val="20"/>
          <w:szCs w:val="20"/>
          <w:color w:val="auto"/>
        </w:rPr>
      </w:pPr>
    </w:p>
    <w:p>
      <w:pPr>
        <w:ind w:right="60"/>
        <w:spacing w:after="0" w:line="256" w:lineRule="auto"/>
        <w:rPr>
          <w:sz w:val="20"/>
          <w:szCs w:val="20"/>
          <w:color w:val="auto"/>
        </w:rPr>
      </w:pPr>
      <w:r>
        <w:rPr>
          <w:rFonts w:ascii="Arial" w:cs="Arial" w:eastAsia="Arial" w:hAnsi="Arial"/>
          <w:sz w:val="19"/>
          <w:szCs w:val="19"/>
          <w:color w:val="auto"/>
        </w:rPr>
        <w:t>The company's operations are subject to federal, state and local environmental laws and regulations governing hazardous wastes, air and water quality, land use, solid waste disposal and the protection of wildlife. Laws and regulations require that the company investigate and remediate the effects of the release or disposal of materials at sites associated with past and present operations, including sites at which the company has been identified as a Potentially Responsible Party (PRP) under the federal Superfund laws and comparable state laws. The company is required to obtain numerous governmental permits, licenses and other approvals to construct facilities and operate its businesses, and must spend significant sums on environmental monitoring, pollution control equipment, mitigation costs and emissions fees. Increasing national and international concerns regarding global warming and mercury, carbon dioxide, nitrogen oxide and sulfur dioxide emissions could result in requirements for additional pollution control equipment or significant emissions fees or taxes that could adversely affect Sempra Generation. Costs incurred at the Sempra Utilities to operate the facilities in compliance with these laws and regulations generally have been recovered in customer rates.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20"/>
          <w:szCs w:val="20"/>
          <w:color w:val="auto"/>
        </w:rPr>
        <w:t>120</w:t>
      </w:r>
    </w:p>
    <w:p>
      <w:pPr>
        <w:sectPr>
          <w:pgSz w:w="11900" w:h="16838" w:orient="portrait"/>
          <w:cols w:equalWidth="0" w:num="1">
            <w:col w:w="11400"/>
          </w:cols>
          <w:pgMar w:left="240" w:top="116" w:right="259" w:bottom="1440" w:gutter="0" w:footer="0" w:header="0"/>
        </w:sectPr>
      </w:pPr>
    </w:p>
    <w:bookmarkStart w:id="188" w:name="page189"/>
    <w:bookmarkEnd w:id="188"/>
    <w:p>
      <w:pPr>
        <w:ind w:right="80"/>
        <w:spacing w:after="0" w:line="245" w:lineRule="auto"/>
        <w:rPr>
          <w:sz w:val="20"/>
          <w:szCs w:val="20"/>
          <w:color w:val="auto"/>
        </w:rPr>
      </w:pPr>
      <w:r>
        <w:rPr>
          <w:rFonts w:ascii="Arial" w:cs="Arial" w:eastAsia="Arial" w:hAnsi="Arial"/>
          <w:sz w:val="20"/>
          <w:szCs w:val="20"/>
          <w:color w:val="auto"/>
        </w:rPr>
        <w:t>Significant costs incurred to mitigate or prevent future environmental contamination or extend the life, increase the capacity or improve the safety or efficiency of property utilized in current operations are generally capitalized. The company's capital expenditures to comply with environmental laws and regulations were $19 million in 2007, $26 million in 2006 and $20 million in 2005 (includes only the company's share in cases of non-wholly owned affiliates). The cost of compliance with these regulations over the next five years is not expected to be significant.</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The company has identified no significant environmental issues outside the United States.</w:t>
      </w:r>
    </w:p>
    <w:p>
      <w:pPr>
        <w:spacing w:after="0" w:line="243" w:lineRule="exact"/>
        <w:rPr>
          <w:sz w:val="20"/>
          <w:szCs w:val="20"/>
          <w:color w:val="auto"/>
        </w:rPr>
      </w:pPr>
    </w:p>
    <w:p>
      <w:pPr>
        <w:ind w:right="380"/>
        <w:spacing w:after="0" w:line="260" w:lineRule="auto"/>
        <w:rPr>
          <w:sz w:val="20"/>
          <w:szCs w:val="20"/>
          <w:color w:val="auto"/>
        </w:rPr>
      </w:pPr>
      <w:r>
        <w:rPr>
          <w:rFonts w:ascii="Arial" w:cs="Arial" w:eastAsia="Arial" w:hAnsi="Arial"/>
          <w:sz w:val="20"/>
          <w:szCs w:val="20"/>
          <w:color w:val="auto"/>
        </w:rPr>
        <w:t>At the Sempra Utilities, costs that relate to current operations or an existing condition caused by past operations are generally recorded as a regulatory asset due to the probability that these costs will be recovered in rates.</w:t>
      </w:r>
    </w:p>
    <w:p>
      <w:pPr>
        <w:spacing w:after="0" w:line="204" w:lineRule="exact"/>
        <w:rPr>
          <w:sz w:val="20"/>
          <w:szCs w:val="20"/>
          <w:color w:val="auto"/>
        </w:rPr>
      </w:pPr>
    </w:p>
    <w:p>
      <w:pPr>
        <w:ind w:right="140"/>
        <w:spacing w:after="0" w:line="321" w:lineRule="auto"/>
        <w:rPr>
          <w:sz w:val="20"/>
          <w:szCs w:val="20"/>
          <w:color w:val="auto"/>
        </w:rPr>
      </w:pPr>
      <w:r>
        <w:rPr>
          <w:rFonts w:ascii="Arial" w:cs="Arial" w:eastAsia="Arial" w:hAnsi="Arial"/>
          <w:sz w:val="16"/>
          <w:szCs w:val="16"/>
          <w:color w:val="auto"/>
        </w:rPr>
        <w:t>The environmental issues currently facing the company or resolved during the last three years include investigation and remediation of the Sempra Utilities' manufactured-gas sites (33 completed as of December 31, 2007 and 12 to be completed, including two sites reopened during 2007), cleanup of third-party waste-disposal sites used by the company, which has been identified as a PRP (investigations and remediations continuing and one site completed) and mitigation of damage to the marine environment caused by the cooling-water discharge from SONGS (the requirements for enhanced fish protection, a 150-acre artificial reef and restoration of 150 acres of coastal wetlands are in process).</w:t>
      </w:r>
    </w:p>
    <w:p>
      <w:pPr>
        <w:spacing w:after="0" w:line="161"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Environmental liabilities are recorded at undiscounted amounts when the company's liability is probable and the costs are reasonably estimable. In many cases, however, investigations are not yet at a stage where the company has been able to determine whether it is liable or, if the liability is probable, to reasonably estimate the amount or range of amounts of the cost or certain components thereof. Estimates of the company's liability are further subject to other uncertainties, such as the nature and extent of site contamination, evolving remediation standards and imprecise engineering evaluations. The accruals are reviewed periodically and, as investigations and remediation proceed, adjustments are made as necessary. Not including the liability for SONGS marine mitigation, which SDG&amp;E is participating in jointly with Edison, at December 31, 2007, the company's accrued liability for environmental matters was $55.6 million, of which $47 million is r elated to manufactured-gas sites, $6 million to cleanup at SDG&amp;E's former fossil-fueled power plants, $1.4 million to waste-disposal sites used by the company (which has been identified as a PRP) and $1.2 million to other hazardous waste sites. The majority of these accruals are expected to be paid over the next two years. In connection with the issuance of operating permits, SDG&amp;E and the other owners of SONGS previously reached an agreement with the California Coastal Commission to mitigate the environmental damage to the marine environment attributed to the cooling-water discharge from SONGS Units 2 and 3. At December 31, 2007, the estimated amount remaining to be spent by SDG&amp;E through 2050 is $11 million, which is recoverable in rates.</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Nuclear Insurance</w:t>
      </w:r>
    </w:p>
    <w:p>
      <w:pPr>
        <w:spacing w:after="0" w:line="249" w:lineRule="exact"/>
        <w:rPr>
          <w:sz w:val="20"/>
          <w:szCs w:val="20"/>
          <w:color w:val="auto"/>
        </w:rPr>
      </w:pPr>
    </w:p>
    <w:p>
      <w:pPr>
        <w:ind w:right="80"/>
        <w:spacing w:after="0" w:line="243" w:lineRule="auto"/>
        <w:rPr>
          <w:sz w:val="20"/>
          <w:szCs w:val="20"/>
          <w:color w:val="auto"/>
        </w:rPr>
      </w:pPr>
      <w:r>
        <w:rPr>
          <w:rFonts w:ascii="Arial" w:cs="Arial" w:eastAsia="Arial" w:hAnsi="Arial"/>
          <w:sz w:val="20"/>
          <w:szCs w:val="20"/>
          <w:color w:val="auto"/>
        </w:rPr>
        <w:t>SDG&amp;E and the other owners of SONGS have insurance to respond to nuclear liability claims related to SONGS. The insurance provides coverage of $300 million, the maximum amount available. In addition, the Price-Anderson Act provides for up to $10.5 billion of secondary financial protection. Should any of the licensed/commercial reactors in the United States experience a nuclear liability loss that exceeds the $300 million insurance limit, all utilities owning nuclear reactors could be assessed to provide the secondary financial protection. SDG&amp;E's total share would be up to $40 million, subject to an annual maximum assessment of $6 million, unless a default were to occur by any other SONGS owner. In the event the secondary financial protection limit were insufficient to cover the liability loss, SDG&amp;E could be subject to an additional assessment.</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20"/>
          <w:szCs w:val="20"/>
          <w:color w:val="auto"/>
        </w:rPr>
        <w:t>121</w:t>
      </w:r>
    </w:p>
    <w:p>
      <w:pPr>
        <w:sectPr>
          <w:pgSz w:w="11900" w:h="16838" w:orient="portrait"/>
          <w:cols w:equalWidth="0" w:num="1">
            <w:col w:w="11400"/>
          </w:cols>
          <w:pgMar w:left="240" w:top="122" w:right="259" w:bottom="1440" w:gutter="0" w:footer="0" w:header="0"/>
        </w:sectPr>
      </w:pPr>
    </w:p>
    <w:bookmarkStart w:id="189" w:name="page190"/>
    <w:bookmarkEnd w:id="189"/>
    <w:p>
      <w:pPr>
        <w:ind w:right="40"/>
        <w:spacing w:after="0" w:line="245" w:lineRule="auto"/>
        <w:rPr>
          <w:sz w:val="20"/>
          <w:szCs w:val="20"/>
          <w:color w:val="auto"/>
        </w:rPr>
      </w:pPr>
      <w:r>
        <w:rPr>
          <w:rFonts w:ascii="Arial" w:cs="Arial" w:eastAsia="Arial" w:hAnsi="Arial"/>
          <w:sz w:val="20"/>
          <w:szCs w:val="20"/>
          <w:color w:val="auto"/>
        </w:rPr>
        <w:t>SDG&amp;E and the other owners of SONGS have $2.75 billion of nuclear property, decontamination and debris removal insurance and up to $490 million for outage expenses and replacement power costs incurred because of accidental property damage. This coverage is limited to $3.5 million per week for the first 52 weeks and $2.8 million per week for up to 110 additional weeks, after a waiting period of 12 weeks. The insurance is provided through a mutual insurance company, through which insured members are subject to retrospective premium assessments (up to $8.6 million in SDG&amp;E's case).</w:t>
      </w:r>
    </w:p>
    <w:p>
      <w:pPr>
        <w:spacing w:after="0" w:line="218" w:lineRule="exact"/>
        <w:rPr>
          <w:sz w:val="20"/>
          <w:szCs w:val="20"/>
          <w:color w:val="auto"/>
        </w:rPr>
      </w:pPr>
    </w:p>
    <w:p>
      <w:pPr>
        <w:ind w:right="140"/>
        <w:spacing w:after="0" w:line="278" w:lineRule="auto"/>
        <w:rPr>
          <w:sz w:val="20"/>
          <w:szCs w:val="20"/>
          <w:color w:val="auto"/>
        </w:rPr>
      </w:pPr>
      <w:r>
        <w:rPr>
          <w:rFonts w:ascii="Arial" w:cs="Arial" w:eastAsia="Arial" w:hAnsi="Arial"/>
          <w:sz w:val="18"/>
          <w:szCs w:val="18"/>
          <w:color w:val="auto"/>
        </w:rPr>
        <w:t>The nuclear liability and property insurance programs subscribed to by members of the nuclear power generating industry include industry aggregate limits for non-certified acts (as defined by the Terrorism Risk Insurance Act) of terrorism-related SONGS losses, including replacement power costs. There are industry aggregate limits of $300 million for liability claims and $3.24 billion for property claims, including replacement power costs, for non-certified acts of terrorism. These limits are the maximum amount to be paid to members who sustain losses or damages from these non-certified terrorist acts. For certified acts of terrorism, the individual policy limits stated above apply.</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Concentration of Credit Risk</w:t>
      </w:r>
    </w:p>
    <w:p>
      <w:pPr>
        <w:spacing w:after="0" w:line="249" w:lineRule="exact"/>
        <w:rPr>
          <w:sz w:val="20"/>
          <w:szCs w:val="20"/>
          <w:color w:val="auto"/>
        </w:rPr>
      </w:pPr>
    </w:p>
    <w:p>
      <w:pPr>
        <w:ind w:right="40"/>
        <w:spacing w:after="0" w:line="328" w:lineRule="auto"/>
        <w:rPr>
          <w:sz w:val="20"/>
          <w:szCs w:val="20"/>
          <w:color w:val="auto"/>
        </w:rPr>
      </w:pPr>
      <w:r>
        <w:rPr>
          <w:rFonts w:ascii="Arial" w:cs="Arial" w:eastAsia="Arial" w:hAnsi="Arial"/>
          <w:sz w:val="16"/>
          <w:szCs w:val="16"/>
          <w:color w:val="auto"/>
        </w:rPr>
        <w:t>The company maintains credit policies and systems to manage overall credit risk. These policies include an evaluation of potential counterparties' financial condition and an assignment of credit limits. These credit limits are established based on risk and return considerations under terms customarily available in the industry. The Sempra Utilities grant credit to utility customers and counterparties, substantially all of whom are located in their service territories, which together cover most of Southern California and a portion of central California.</w:t>
      </w:r>
    </w:p>
    <w:p>
      <w:pPr>
        <w:spacing w:after="0" w:line="156" w:lineRule="exact"/>
        <w:rPr>
          <w:sz w:val="20"/>
          <w:szCs w:val="20"/>
          <w:color w:val="auto"/>
        </w:rPr>
      </w:pPr>
    </w:p>
    <w:p>
      <w:pPr>
        <w:ind w:right="40"/>
        <w:spacing w:after="0" w:line="246" w:lineRule="auto"/>
        <w:rPr>
          <w:sz w:val="20"/>
          <w:szCs w:val="20"/>
          <w:color w:val="auto"/>
        </w:rPr>
      </w:pPr>
      <w:r>
        <w:rPr>
          <w:rFonts w:ascii="Arial" w:cs="Arial" w:eastAsia="Arial" w:hAnsi="Arial"/>
          <w:sz w:val="20"/>
          <w:szCs w:val="20"/>
          <w:color w:val="auto"/>
        </w:rPr>
        <w:t>As described above, Sempra Generation has a contract with the DWR to supply up to 1,900 MW of power to the state over 10 years, beginning in 2001. Sempra Generation would be at risk for the amounts of outstanding billings and the continued viability of the contract if the DWR were to default on its payments under this contract. The average monthly billing related to this contract is $41 million and is normally collected by the end of the next month.</w:t>
      </w:r>
    </w:p>
    <w:p>
      <w:pPr>
        <w:spacing w:after="0" w:line="219"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Sempra Commodities monitors and controls its credit-risk exposures through various systems that evaluate its credit risk, and through credit approvals and limits. To manage the level of credit risk, Sempra Commodities deals with a majority of counterparties with good credit standing, enters into netting arrangements whenever possible and, where appropriate, obtains collateral or other security such as lock-box liens and downgrade triggers. Netting agreements incorporate rights of setoff that provide for the net settlement of subject contracts with the same counterparty in the event of default.</w:t>
      </w:r>
    </w:p>
    <w:p>
      <w:pPr>
        <w:spacing w:after="0" w:line="222" w:lineRule="exact"/>
        <w:rPr>
          <w:sz w:val="20"/>
          <w:szCs w:val="20"/>
          <w:color w:val="auto"/>
        </w:rPr>
      </w:pPr>
    </w:p>
    <w:p>
      <w:pPr>
        <w:ind w:right="160"/>
        <w:spacing w:after="0" w:line="246" w:lineRule="auto"/>
        <w:rPr>
          <w:sz w:val="20"/>
          <w:szCs w:val="20"/>
          <w:color w:val="auto"/>
        </w:rPr>
      </w:pPr>
      <w:r>
        <w:rPr>
          <w:rFonts w:ascii="Arial" w:cs="Arial" w:eastAsia="Arial" w:hAnsi="Arial"/>
          <w:sz w:val="20"/>
          <w:szCs w:val="20"/>
          <w:color w:val="auto"/>
        </w:rPr>
        <w:t>When operational, development projects at Sempra LNG and Sempra Pipelines &amp; Storage will place significant reliance on the ability of their suppliers and customers to perform on long-term agreements and on the company's ability to enforce contract terms in the event of non-performance. The company considers many factors, including the negotiation of supplier and customer agreements, during its evaluation and approval of development projects.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20"/>
          <w:szCs w:val="20"/>
          <w:color w:val="auto"/>
        </w:rPr>
        <w:t>122</w:t>
      </w:r>
    </w:p>
    <w:p>
      <w:pPr>
        <w:sectPr>
          <w:pgSz w:w="11900" w:h="16838" w:orient="portrait"/>
          <w:cols w:equalWidth="0" w:num="1">
            <w:col w:w="11400"/>
          </w:cols>
          <w:pgMar w:left="240" w:top="122" w:right="259" w:bottom="1440" w:gutter="0" w:footer="0" w:header="0"/>
        </w:sectPr>
      </w:pPr>
    </w:p>
    <w:bookmarkStart w:id="190" w:name="page191"/>
    <w:bookmarkEnd w:id="190"/>
    <w:p>
      <w:pPr>
        <w:spacing w:after="0"/>
        <w:rPr>
          <w:sz w:val="20"/>
          <w:szCs w:val="20"/>
          <w:color w:val="auto"/>
        </w:rPr>
      </w:pPr>
      <w:r>
        <w:rPr>
          <w:rFonts w:ascii="Arial" w:cs="Arial" w:eastAsia="Arial" w:hAnsi="Arial"/>
          <w:sz w:val="20"/>
          <w:szCs w:val="20"/>
          <w:b w:val="1"/>
          <w:bCs w:val="1"/>
          <w:color w:val="auto"/>
        </w:rPr>
        <w:t>NOTE 17. SEGMENT INFORMATION</w:t>
      </w:r>
    </w:p>
    <w:p>
      <w:pPr>
        <w:spacing w:after="0" w:line="250" w:lineRule="exact"/>
        <w:rPr>
          <w:sz w:val="20"/>
          <w:szCs w:val="20"/>
          <w:color w:val="auto"/>
        </w:rPr>
      </w:pPr>
    </w:p>
    <w:p>
      <w:pPr>
        <w:spacing w:after="0" w:line="255" w:lineRule="auto"/>
        <w:rPr>
          <w:sz w:val="20"/>
          <w:szCs w:val="20"/>
          <w:color w:val="auto"/>
        </w:rPr>
      </w:pPr>
      <w:r>
        <w:rPr>
          <w:rFonts w:ascii="Arial" w:cs="Arial" w:eastAsia="Arial" w:hAnsi="Arial"/>
          <w:sz w:val="19"/>
          <w:szCs w:val="19"/>
          <w:color w:val="auto"/>
        </w:rPr>
        <w:t>The company has five separately managed reportable segments: SoCalGas, SDG&amp;E, Sempra Commodities, Sempra Generation and Sempra Pipelines &amp; Storage. The Sempra Utilities operate in essentially separate service territories under separate regulatory frameworks and rate structures set by the CPUC. SoCalGas is a natural gas distribution utility, serving customers throughout most of Southern California and part of central California. SDG&amp;E provides electric service to San Diego and southern Orange counties and natural gas service to San Diego County. Sempra Commodities, based in Stamford, Connecticut, is primarily a wholesale trader of physical and financial energy products and other commodities, and is also a trader and wholesaler of base metals, serving a broad range of customers in the United States, Canada, Europe and Asia. Sempra Commodities’ business also includes commodity sales on a retail basis to electricity and natural gas consumer s. Sempra Generation primarily develops, owns and operates generation facilities in California, Nevada, Arizona and Mexico. Sempra Pipelines &amp; Storage develops and owns natural gas pipelines and storage facilities in the United States and Mexico, and holds interests in companies that provide natural gas or electricity services in Argentina, Chile, Mexico and Peru. The "all other" amounts consist primarily of parent organizations and Sempra LNG.</w:t>
      </w:r>
    </w:p>
    <w:p>
      <w:pPr>
        <w:spacing w:after="0" w:line="215" w:lineRule="exact"/>
        <w:rPr>
          <w:sz w:val="20"/>
          <w:szCs w:val="20"/>
          <w:color w:val="auto"/>
        </w:rPr>
      </w:pPr>
    </w:p>
    <w:p>
      <w:pPr>
        <w:ind w:right="100"/>
        <w:spacing w:after="0" w:line="260" w:lineRule="auto"/>
        <w:rPr>
          <w:sz w:val="20"/>
          <w:szCs w:val="20"/>
          <w:color w:val="auto"/>
        </w:rPr>
      </w:pPr>
      <w:r>
        <w:rPr>
          <w:rFonts w:ascii="Arial" w:cs="Arial" w:eastAsia="Arial" w:hAnsi="Arial"/>
          <w:sz w:val="20"/>
          <w:szCs w:val="20"/>
          <w:color w:val="auto"/>
        </w:rPr>
        <w:t>The accounting policies of the segments are described in Note 1, and segment performance is evaluated by management based on reported net income. Sempra Utility transactions are based on rates set by the CPUC and the FERC.</w:t>
      </w:r>
    </w:p>
    <w:p>
      <w:pPr>
        <w:spacing w:after="0" w:line="204" w:lineRule="exact"/>
        <w:rPr>
          <w:sz w:val="20"/>
          <w:szCs w:val="20"/>
          <w:color w:val="auto"/>
        </w:rPr>
      </w:pPr>
    </w:p>
    <w:p>
      <w:pPr>
        <w:ind w:right="260"/>
        <w:spacing w:after="0" w:line="316" w:lineRule="auto"/>
        <w:rPr>
          <w:sz w:val="20"/>
          <w:szCs w:val="20"/>
          <w:color w:val="auto"/>
        </w:rPr>
      </w:pPr>
      <w:r>
        <w:rPr>
          <w:rFonts w:ascii="Arial" w:cs="Arial" w:eastAsia="Arial" w:hAnsi="Arial"/>
          <w:sz w:val="18"/>
          <w:szCs w:val="18"/>
          <w:color w:val="auto"/>
        </w:rPr>
        <w:t>Sales to the DWR, which is a customer of the Sempra Generation segment and which is discussed in various sections of this Annual Report, comprise 9 percent, 9 percent and 10 percent of Sempra Energy’s operating revenues in 2007, 2006 and 2005, respectively.</w:t>
      </w:r>
    </w:p>
    <w:p>
      <w:pPr>
        <w:spacing w:after="0" w:line="157" w:lineRule="exact"/>
        <w:rPr>
          <w:sz w:val="20"/>
          <w:szCs w:val="20"/>
          <w:color w:val="auto"/>
        </w:rPr>
      </w:pPr>
    </w:p>
    <w:p>
      <w:pPr>
        <w:ind w:right="120"/>
        <w:spacing w:after="0" w:line="250" w:lineRule="auto"/>
        <w:rPr>
          <w:sz w:val="20"/>
          <w:szCs w:val="20"/>
          <w:color w:val="auto"/>
        </w:rPr>
      </w:pPr>
      <w:r>
        <w:rPr>
          <w:rFonts w:ascii="Arial" w:cs="Arial" w:eastAsia="Arial" w:hAnsi="Arial"/>
          <w:sz w:val="20"/>
          <w:szCs w:val="20"/>
          <w:color w:val="auto"/>
        </w:rPr>
        <w:t>The operations that were discontinued in the first half of 2006, as described in Note 5, had been in the Sempra Generation segment, with the exception of Bangor Gas and Frontier Energy, which were in the Sempra Pipelines &amp; Storage segment. The following tables exclude amounts from discontinued operations, unless otherwise noted.</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color w:val="auto"/>
        </w:rPr>
        <w:t>123</w:t>
      </w:r>
    </w:p>
    <w:p>
      <w:pPr>
        <w:sectPr>
          <w:pgSz w:w="11900" w:h="16838" w:orient="portrait"/>
          <w:cols w:equalWidth="0" w:num="1">
            <w:col w:w="11360"/>
          </w:cols>
          <w:pgMar w:left="240" w:top="116" w:right="299" w:bottom="1440" w:gutter="0" w:footer="0" w:header="0"/>
        </w:sectPr>
      </w:pPr>
    </w:p>
    <w:bookmarkStart w:id="191" w:name="page192"/>
    <w:bookmarkEnd w:id="191"/>
    <w:tbl>
      <w:tblPr>
        <w:tblLayout w:type="fixed"/>
        <w:tblInd w:w="980" w:type="dxa"/>
        <w:tblCellMar>
          <w:top w:w="0" w:type="dxa"/>
          <w:left w:w="0" w:type="dxa"/>
          <w:bottom w:w="0" w:type="dxa"/>
          <w:right w:w="0" w:type="dxa"/>
        </w:tblCellMar>
      </w:tblPr>
      <w:tr>
        <w:trPr>
          <w:trHeight w:val="237"/>
        </w:trPr>
        <w:tc>
          <w:tcPr>
            <w:tcW w:w="40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Years ended December 31,</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r>
      <w:tr>
        <w:trPr>
          <w:trHeight w:val="237"/>
        </w:trPr>
        <w:tc>
          <w:tcPr>
            <w:tcW w:w="4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(Dollars in millions)</w:t>
            </w: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2007</w:t>
            </w:r>
          </w:p>
        </w:tc>
        <w:tc>
          <w:tcPr>
            <w:tcW w:w="6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2006</w:t>
            </w:r>
          </w:p>
        </w:tc>
        <w:tc>
          <w:tcPr>
            <w:tcW w:w="7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2005</w:t>
            </w:r>
          </w:p>
        </w:tc>
        <w:tc>
          <w:tcPr>
            <w:tcW w:w="580" w:type="dxa"/>
            <w:vAlign w:val="bottom"/>
            <w:tcBorders>
              <w:bottom w:val="single" w:sz="8" w:color="auto"/>
            </w:tcBorders>
          </w:tcPr>
          <w:p>
            <w:pPr>
              <w:spacing w:after="0"/>
              <w:rPr>
                <w:sz w:val="20"/>
                <w:szCs w:val="20"/>
                <w:color w:val="auto"/>
              </w:rPr>
            </w:pPr>
          </w:p>
        </w:tc>
      </w:t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OPERATING REVENUES</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42"/>
        </w:trPr>
        <w:tc>
          <w:tcPr>
            <w:tcW w:w="4020" w:type="dxa"/>
            <w:vAlign w:val="bottom"/>
          </w:tcPr>
          <w:p>
            <w:pPr>
              <w:ind w:left="280"/>
              <w:spacing w:after="0"/>
              <w:rPr>
                <w:sz w:val="20"/>
                <w:szCs w:val="20"/>
                <w:color w:val="auto"/>
              </w:rPr>
            </w:pPr>
            <w:r>
              <w:rPr>
                <w:rFonts w:ascii="Arial" w:cs="Arial" w:eastAsia="Arial" w:hAnsi="Arial"/>
                <w:sz w:val="18"/>
                <w:szCs w:val="18"/>
                <w:color w:val="auto"/>
              </w:rPr>
              <w:t>SoCalGas</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30"/>
              <w:spacing w:after="0"/>
              <w:rPr>
                <w:sz w:val="20"/>
                <w:szCs w:val="20"/>
                <w:color w:val="auto"/>
              </w:rPr>
            </w:pPr>
            <w:r>
              <w:rPr>
                <w:rFonts w:ascii="Arial" w:cs="Arial" w:eastAsia="Arial" w:hAnsi="Arial"/>
                <w:sz w:val="18"/>
                <w:szCs w:val="18"/>
                <w:color w:val="auto"/>
              </w:rPr>
              <w:t>4,282</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38 %</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30"/>
              <w:spacing w:after="0"/>
              <w:rPr>
                <w:sz w:val="20"/>
                <w:szCs w:val="20"/>
                <w:color w:val="auto"/>
              </w:rPr>
            </w:pPr>
            <w:r>
              <w:rPr>
                <w:rFonts w:ascii="Arial" w:cs="Arial" w:eastAsia="Arial" w:hAnsi="Arial"/>
                <w:sz w:val="18"/>
                <w:szCs w:val="18"/>
                <w:color w:val="auto"/>
              </w:rPr>
              <w:t>4,181</w:t>
            </w:r>
          </w:p>
        </w:tc>
        <w:tc>
          <w:tcPr>
            <w:tcW w:w="740" w:type="dxa"/>
            <w:vAlign w:val="bottom"/>
          </w:tcPr>
          <w:p>
            <w:pPr>
              <w:jc w:val="right"/>
              <w:ind w:right="150"/>
              <w:spacing w:after="0"/>
              <w:rPr>
                <w:sz w:val="20"/>
                <w:szCs w:val="20"/>
                <w:color w:val="auto"/>
              </w:rPr>
            </w:pPr>
            <w:r>
              <w:rPr>
                <w:rFonts w:ascii="Arial" w:cs="Arial" w:eastAsia="Arial" w:hAnsi="Arial"/>
                <w:sz w:val="18"/>
                <w:szCs w:val="18"/>
                <w:color w:val="auto"/>
              </w:rPr>
              <w:t>36 %</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10"/>
              <w:spacing w:after="0"/>
              <w:rPr>
                <w:sz w:val="20"/>
                <w:szCs w:val="20"/>
                <w:color w:val="auto"/>
              </w:rPr>
            </w:pPr>
            <w:r>
              <w:rPr>
                <w:rFonts w:ascii="Arial" w:cs="Arial" w:eastAsia="Arial" w:hAnsi="Arial"/>
                <w:sz w:val="18"/>
                <w:szCs w:val="18"/>
                <w:color w:val="auto"/>
              </w:rPr>
              <w:t>4,617</w:t>
            </w:r>
          </w:p>
        </w:tc>
        <w:tc>
          <w:tcPr>
            <w:tcW w:w="580" w:type="dxa"/>
            <w:vAlign w:val="bottom"/>
          </w:tcPr>
          <w:p>
            <w:pPr>
              <w:jc w:val="right"/>
              <w:spacing w:after="0"/>
              <w:rPr>
                <w:sz w:val="20"/>
                <w:szCs w:val="20"/>
                <w:color w:val="auto"/>
              </w:rPr>
            </w:pPr>
            <w:r>
              <w:rPr>
                <w:rFonts w:ascii="Arial" w:cs="Arial" w:eastAsia="Arial" w:hAnsi="Arial"/>
                <w:sz w:val="18"/>
                <w:szCs w:val="18"/>
                <w:color w:val="auto"/>
              </w:rPr>
              <w:t>40 %</w:t>
            </w:r>
          </w:p>
        </w:tc>
      </w:tr>
      <w:tr>
        <w:trPr>
          <w:trHeight w:val="243"/>
        </w:trPr>
        <w:tc>
          <w:tcPr>
            <w:tcW w:w="4020" w:type="dxa"/>
            <w:vAlign w:val="bottom"/>
          </w:tcPr>
          <w:p>
            <w:pPr>
              <w:ind w:left="280"/>
              <w:spacing w:after="0"/>
              <w:rPr>
                <w:sz w:val="20"/>
                <w:szCs w:val="20"/>
                <w:color w:val="auto"/>
              </w:rPr>
            </w:pPr>
            <w:r>
              <w:rPr>
                <w:rFonts w:ascii="Arial" w:cs="Arial" w:eastAsia="Arial" w:hAnsi="Arial"/>
                <w:sz w:val="18"/>
                <w:szCs w:val="18"/>
                <w:color w:val="auto"/>
              </w:rPr>
              <w:t>SDG&amp;E</w:t>
            </w:r>
          </w:p>
        </w:tc>
        <w:tc>
          <w:tcPr>
            <w:tcW w:w="300" w:type="dxa"/>
            <w:vAlign w:val="bottom"/>
          </w:tcPr>
          <w:p>
            <w:pPr>
              <w:spacing w:after="0"/>
              <w:rPr>
                <w:sz w:val="21"/>
                <w:szCs w:val="21"/>
                <w:color w:val="auto"/>
              </w:rPr>
            </w:pPr>
          </w:p>
        </w:tc>
        <w:tc>
          <w:tcPr>
            <w:tcW w:w="960" w:type="dxa"/>
            <w:vAlign w:val="bottom"/>
          </w:tcPr>
          <w:p>
            <w:pPr>
              <w:jc w:val="right"/>
              <w:ind w:right="230"/>
              <w:spacing w:after="0"/>
              <w:rPr>
                <w:sz w:val="20"/>
                <w:szCs w:val="20"/>
                <w:color w:val="auto"/>
              </w:rPr>
            </w:pPr>
            <w:r>
              <w:rPr>
                <w:rFonts w:ascii="Arial" w:cs="Arial" w:eastAsia="Arial" w:hAnsi="Arial"/>
                <w:sz w:val="18"/>
                <w:szCs w:val="18"/>
                <w:color w:val="auto"/>
              </w:rPr>
              <w:t>2,852</w:t>
            </w:r>
          </w:p>
        </w:tc>
        <w:tc>
          <w:tcPr>
            <w:tcW w:w="680" w:type="dxa"/>
            <w:vAlign w:val="bottom"/>
          </w:tcPr>
          <w:p>
            <w:pPr>
              <w:jc w:val="right"/>
              <w:ind w:right="210"/>
              <w:spacing w:after="0"/>
              <w:rPr>
                <w:sz w:val="20"/>
                <w:szCs w:val="20"/>
                <w:color w:val="auto"/>
              </w:rPr>
            </w:pPr>
            <w:r>
              <w:rPr>
                <w:rFonts w:ascii="Arial" w:cs="Arial" w:eastAsia="Arial" w:hAnsi="Arial"/>
                <w:sz w:val="18"/>
                <w:szCs w:val="18"/>
                <w:color w:val="auto"/>
              </w:rPr>
              <w:t>25</w:t>
            </w:r>
          </w:p>
        </w:tc>
        <w:tc>
          <w:tcPr>
            <w:tcW w:w="280" w:type="dxa"/>
            <w:vAlign w:val="bottom"/>
          </w:tcPr>
          <w:p>
            <w:pPr>
              <w:spacing w:after="0"/>
              <w:rPr>
                <w:sz w:val="21"/>
                <w:szCs w:val="21"/>
                <w:color w:val="auto"/>
              </w:rPr>
            </w:pPr>
          </w:p>
        </w:tc>
        <w:tc>
          <w:tcPr>
            <w:tcW w:w="800" w:type="dxa"/>
            <w:vAlign w:val="bottom"/>
          </w:tcPr>
          <w:p>
            <w:pPr>
              <w:jc w:val="right"/>
              <w:ind w:right="130"/>
              <w:spacing w:after="0"/>
              <w:rPr>
                <w:sz w:val="20"/>
                <w:szCs w:val="20"/>
                <w:color w:val="auto"/>
              </w:rPr>
            </w:pPr>
            <w:r>
              <w:rPr>
                <w:rFonts w:ascii="Arial" w:cs="Arial" w:eastAsia="Arial" w:hAnsi="Arial"/>
                <w:sz w:val="18"/>
                <w:szCs w:val="18"/>
                <w:color w:val="auto"/>
              </w:rPr>
              <w:t>2,785</w:t>
            </w:r>
          </w:p>
        </w:tc>
        <w:tc>
          <w:tcPr>
            <w:tcW w:w="740" w:type="dxa"/>
            <w:vAlign w:val="bottom"/>
          </w:tcPr>
          <w:p>
            <w:pPr>
              <w:jc w:val="right"/>
              <w:ind w:right="330"/>
              <w:spacing w:after="0"/>
              <w:rPr>
                <w:sz w:val="20"/>
                <w:szCs w:val="20"/>
                <w:color w:val="auto"/>
              </w:rPr>
            </w:pPr>
            <w:r>
              <w:rPr>
                <w:rFonts w:ascii="Arial" w:cs="Arial" w:eastAsia="Arial" w:hAnsi="Arial"/>
                <w:sz w:val="18"/>
                <w:szCs w:val="18"/>
                <w:color w:val="auto"/>
              </w:rPr>
              <w:t>24</w:t>
            </w:r>
          </w:p>
        </w:tc>
        <w:tc>
          <w:tcPr>
            <w:tcW w:w="240" w:type="dxa"/>
            <w:vAlign w:val="bottom"/>
          </w:tcPr>
          <w:p>
            <w:pPr>
              <w:spacing w:after="0"/>
              <w:rPr>
                <w:sz w:val="21"/>
                <w:szCs w:val="21"/>
                <w:color w:val="auto"/>
              </w:rPr>
            </w:pPr>
          </w:p>
        </w:tc>
        <w:tc>
          <w:tcPr>
            <w:tcW w:w="880" w:type="dxa"/>
            <w:vAlign w:val="bottom"/>
          </w:tcPr>
          <w:p>
            <w:pPr>
              <w:jc w:val="right"/>
              <w:ind w:right="210"/>
              <w:spacing w:after="0"/>
              <w:rPr>
                <w:sz w:val="20"/>
                <w:szCs w:val="20"/>
                <w:color w:val="auto"/>
              </w:rPr>
            </w:pPr>
            <w:r>
              <w:rPr>
                <w:rFonts w:ascii="Arial" w:cs="Arial" w:eastAsia="Arial" w:hAnsi="Arial"/>
                <w:sz w:val="18"/>
                <w:szCs w:val="18"/>
                <w:color w:val="auto"/>
              </w:rPr>
              <w:t>2,512</w:t>
            </w:r>
          </w:p>
        </w:tc>
        <w:tc>
          <w:tcPr>
            <w:tcW w:w="580" w:type="dxa"/>
            <w:vAlign w:val="bottom"/>
          </w:tcPr>
          <w:p>
            <w:pPr>
              <w:jc w:val="right"/>
              <w:ind w:right="150"/>
              <w:spacing w:after="0"/>
              <w:rPr>
                <w:sz w:val="20"/>
                <w:szCs w:val="20"/>
                <w:color w:val="auto"/>
              </w:rPr>
            </w:pPr>
            <w:r>
              <w:rPr>
                <w:rFonts w:ascii="Arial" w:cs="Arial" w:eastAsia="Arial" w:hAnsi="Arial"/>
                <w:sz w:val="18"/>
                <w:szCs w:val="18"/>
                <w:color w:val="auto"/>
              </w:rPr>
              <w:t>22</w:t>
            </w:r>
          </w:p>
        </w:tc>
      </w:tr>
      <w:tr>
        <w:trPr>
          <w:trHeight w:val="243"/>
        </w:trPr>
        <w:tc>
          <w:tcPr>
            <w:tcW w:w="4020" w:type="dxa"/>
            <w:vAlign w:val="bottom"/>
          </w:tcPr>
          <w:p>
            <w:pPr>
              <w:ind w:left="280"/>
              <w:spacing w:after="0"/>
              <w:rPr>
                <w:sz w:val="20"/>
                <w:szCs w:val="20"/>
                <w:color w:val="auto"/>
              </w:rPr>
            </w:pPr>
            <w:r>
              <w:rPr>
                <w:rFonts w:ascii="Arial" w:cs="Arial" w:eastAsia="Arial" w:hAnsi="Arial"/>
                <w:sz w:val="18"/>
                <w:szCs w:val="18"/>
                <w:color w:val="auto"/>
              </w:rPr>
              <w:t>Sempra Commodities</w:t>
            </w:r>
          </w:p>
        </w:tc>
        <w:tc>
          <w:tcPr>
            <w:tcW w:w="300" w:type="dxa"/>
            <w:vAlign w:val="bottom"/>
          </w:tcPr>
          <w:p>
            <w:pPr>
              <w:spacing w:after="0"/>
              <w:rPr>
                <w:sz w:val="21"/>
                <w:szCs w:val="21"/>
                <w:color w:val="auto"/>
              </w:rPr>
            </w:pPr>
          </w:p>
        </w:tc>
        <w:tc>
          <w:tcPr>
            <w:tcW w:w="960" w:type="dxa"/>
            <w:vAlign w:val="bottom"/>
          </w:tcPr>
          <w:p>
            <w:pPr>
              <w:jc w:val="right"/>
              <w:ind w:right="230"/>
              <w:spacing w:after="0"/>
              <w:rPr>
                <w:sz w:val="20"/>
                <w:szCs w:val="20"/>
                <w:color w:val="auto"/>
              </w:rPr>
            </w:pPr>
            <w:r>
              <w:rPr>
                <w:rFonts w:ascii="Arial" w:cs="Arial" w:eastAsia="Arial" w:hAnsi="Arial"/>
                <w:sz w:val="18"/>
                <w:szCs w:val="18"/>
                <w:color w:val="auto"/>
              </w:rPr>
              <w:t>2,674</w:t>
            </w:r>
          </w:p>
        </w:tc>
        <w:tc>
          <w:tcPr>
            <w:tcW w:w="680" w:type="dxa"/>
            <w:vAlign w:val="bottom"/>
          </w:tcPr>
          <w:p>
            <w:pPr>
              <w:jc w:val="right"/>
              <w:ind w:right="210"/>
              <w:spacing w:after="0"/>
              <w:rPr>
                <w:sz w:val="20"/>
                <w:szCs w:val="20"/>
                <w:color w:val="auto"/>
              </w:rPr>
            </w:pPr>
            <w:r>
              <w:rPr>
                <w:rFonts w:ascii="Arial" w:cs="Arial" w:eastAsia="Arial" w:hAnsi="Arial"/>
                <w:sz w:val="18"/>
                <w:szCs w:val="18"/>
                <w:color w:val="auto"/>
              </w:rPr>
              <w:t>23</w:t>
            </w:r>
          </w:p>
        </w:tc>
        <w:tc>
          <w:tcPr>
            <w:tcW w:w="280" w:type="dxa"/>
            <w:vAlign w:val="bottom"/>
          </w:tcPr>
          <w:p>
            <w:pPr>
              <w:spacing w:after="0"/>
              <w:rPr>
                <w:sz w:val="21"/>
                <w:szCs w:val="21"/>
                <w:color w:val="auto"/>
              </w:rPr>
            </w:pPr>
          </w:p>
        </w:tc>
        <w:tc>
          <w:tcPr>
            <w:tcW w:w="800" w:type="dxa"/>
            <w:vAlign w:val="bottom"/>
          </w:tcPr>
          <w:p>
            <w:pPr>
              <w:jc w:val="right"/>
              <w:ind w:right="130"/>
              <w:spacing w:after="0"/>
              <w:rPr>
                <w:sz w:val="20"/>
                <w:szCs w:val="20"/>
                <w:color w:val="auto"/>
              </w:rPr>
            </w:pPr>
            <w:r>
              <w:rPr>
                <w:rFonts w:ascii="Arial" w:cs="Arial" w:eastAsia="Arial" w:hAnsi="Arial"/>
                <w:sz w:val="18"/>
                <w:szCs w:val="18"/>
                <w:color w:val="auto"/>
              </w:rPr>
              <w:t>3,256</w:t>
            </w:r>
          </w:p>
        </w:tc>
        <w:tc>
          <w:tcPr>
            <w:tcW w:w="740" w:type="dxa"/>
            <w:vAlign w:val="bottom"/>
          </w:tcPr>
          <w:p>
            <w:pPr>
              <w:jc w:val="right"/>
              <w:ind w:right="330"/>
              <w:spacing w:after="0"/>
              <w:rPr>
                <w:sz w:val="20"/>
                <w:szCs w:val="20"/>
                <w:color w:val="auto"/>
              </w:rPr>
            </w:pPr>
            <w:r>
              <w:rPr>
                <w:rFonts w:ascii="Arial" w:cs="Arial" w:eastAsia="Arial" w:hAnsi="Arial"/>
                <w:sz w:val="18"/>
                <w:szCs w:val="18"/>
                <w:color w:val="auto"/>
              </w:rPr>
              <w:t>28</w:t>
            </w:r>
          </w:p>
        </w:tc>
        <w:tc>
          <w:tcPr>
            <w:tcW w:w="240" w:type="dxa"/>
            <w:vAlign w:val="bottom"/>
          </w:tcPr>
          <w:p>
            <w:pPr>
              <w:spacing w:after="0"/>
              <w:rPr>
                <w:sz w:val="21"/>
                <w:szCs w:val="21"/>
                <w:color w:val="auto"/>
              </w:rPr>
            </w:pPr>
          </w:p>
        </w:tc>
        <w:tc>
          <w:tcPr>
            <w:tcW w:w="880" w:type="dxa"/>
            <w:vAlign w:val="bottom"/>
          </w:tcPr>
          <w:p>
            <w:pPr>
              <w:jc w:val="right"/>
              <w:ind w:right="210"/>
              <w:spacing w:after="0"/>
              <w:rPr>
                <w:sz w:val="20"/>
                <w:szCs w:val="20"/>
                <w:color w:val="auto"/>
              </w:rPr>
            </w:pPr>
            <w:r>
              <w:rPr>
                <w:rFonts w:ascii="Arial" w:cs="Arial" w:eastAsia="Arial" w:hAnsi="Arial"/>
                <w:sz w:val="18"/>
                <w:szCs w:val="18"/>
                <w:color w:val="auto"/>
              </w:rPr>
              <w:t>2,724</w:t>
            </w:r>
          </w:p>
        </w:tc>
        <w:tc>
          <w:tcPr>
            <w:tcW w:w="580" w:type="dxa"/>
            <w:vAlign w:val="bottom"/>
          </w:tcPr>
          <w:p>
            <w:pPr>
              <w:jc w:val="right"/>
              <w:ind w:right="150"/>
              <w:spacing w:after="0"/>
              <w:rPr>
                <w:sz w:val="20"/>
                <w:szCs w:val="20"/>
                <w:color w:val="auto"/>
              </w:rPr>
            </w:pPr>
            <w:r>
              <w:rPr>
                <w:rFonts w:ascii="Arial" w:cs="Arial" w:eastAsia="Arial" w:hAnsi="Arial"/>
                <w:sz w:val="18"/>
                <w:szCs w:val="18"/>
                <w:color w:val="auto"/>
              </w:rPr>
              <w:t>23</w:t>
            </w:r>
          </w:p>
        </w:tc>
      </w:tr>
      <w:tr>
        <w:trPr>
          <w:trHeight w:val="243"/>
        </w:trPr>
        <w:tc>
          <w:tcPr>
            <w:tcW w:w="4020" w:type="dxa"/>
            <w:vAlign w:val="bottom"/>
          </w:tcPr>
          <w:p>
            <w:pPr>
              <w:ind w:left="280"/>
              <w:spacing w:after="0"/>
              <w:rPr>
                <w:sz w:val="20"/>
                <w:szCs w:val="20"/>
                <w:color w:val="auto"/>
              </w:rPr>
            </w:pPr>
            <w:r>
              <w:rPr>
                <w:rFonts w:ascii="Arial" w:cs="Arial" w:eastAsia="Arial" w:hAnsi="Arial"/>
                <w:sz w:val="18"/>
                <w:szCs w:val="18"/>
                <w:color w:val="auto"/>
              </w:rPr>
              <w:t>Sempra Generation</w:t>
            </w:r>
          </w:p>
        </w:tc>
        <w:tc>
          <w:tcPr>
            <w:tcW w:w="300" w:type="dxa"/>
            <w:vAlign w:val="bottom"/>
          </w:tcPr>
          <w:p>
            <w:pPr>
              <w:spacing w:after="0"/>
              <w:rPr>
                <w:sz w:val="21"/>
                <w:szCs w:val="21"/>
                <w:color w:val="auto"/>
              </w:rPr>
            </w:pPr>
          </w:p>
        </w:tc>
        <w:tc>
          <w:tcPr>
            <w:tcW w:w="960" w:type="dxa"/>
            <w:vAlign w:val="bottom"/>
          </w:tcPr>
          <w:p>
            <w:pPr>
              <w:jc w:val="right"/>
              <w:ind w:right="230"/>
              <w:spacing w:after="0"/>
              <w:rPr>
                <w:sz w:val="20"/>
                <w:szCs w:val="20"/>
                <w:color w:val="auto"/>
              </w:rPr>
            </w:pPr>
            <w:r>
              <w:rPr>
                <w:rFonts w:ascii="Arial" w:cs="Arial" w:eastAsia="Arial" w:hAnsi="Arial"/>
                <w:sz w:val="18"/>
                <w:szCs w:val="18"/>
                <w:color w:val="auto"/>
              </w:rPr>
              <w:t>1,476</w:t>
            </w:r>
          </w:p>
        </w:tc>
        <w:tc>
          <w:tcPr>
            <w:tcW w:w="680" w:type="dxa"/>
            <w:vAlign w:val="bottom"/>
          </w:tcPr>
          <w:p>
            <w:pPr>
              <w:jc w:val="right"/>
              <w:ind w:right="210"/>
              <w:spacing w:after="0"/>
              <w:rPr>
                <w:sz w:val="20"/>
                <w:szCs w:val="20"/>
                <w:color w:val="auto"/>
              </w:rPr>
            </w:pPr>
            <w:r>
              <w:rPr>
                <w:rFonts w:ascii="Arial" w:cs="Arial" w:eastAsia="Arial" w:hAnsi="Arial"/>
                <w:sz w:val="18"/>
                <w:szCs w:val="18"/>
                <w:color w:val="auto"/>
              </w:rPr>
              <w:t>13</w:t>
            </w:r>
          </w:p>
        </w:tc>
        <w:tc>
          <w:tcPr>
            <w:tcW w:w="280" w:type="dxa"/>
            <w:vAlign w:val="bottom"/>
          </w:tcPr>
          <w:p>
            <w:pPr>
              <w:spacing w:after="0"/>
              <w:rPr>
                <w:sz w:val="21"/>
                <w:szCs w:val="21"/>
                <w:color w:val="auto"/>
              </w:rPr>
            </w:pPr>
          </w:p>
        </w:tc>
        <w:tc>
          <w:tcPr>
            <w:tcW w:w="800" w:type="dxa"/>
            <w:vAlign w:val="bottom"/>
          </w:tcPr>
          <w:p>
            <w:pPr>
              <w:jc w:val="right"/>
              <w:ind w:right="130"/>
              <w:spacing w:after="0"/>
              <w:rPr>
                <w:sz w:val="20"/>
                <w:szCs w:val="20"/>
                <w:color w:val="auto"/>
              </w:rPr>
            </w:pPr>
            <w:r>
              <w:rPr>
                <w:rFonts w:ascii="Arial" w:cs="Arial" w:eastAsia="Arial" w:hAnsi="Arial"/>
                <w:sz w:val="18"/>
                <w:szCs w:val="18"/>
                <w:color w:val="auto"/>
              </w:rPr>
              <w:t>1,454</w:t>
            </w:r>
          </w:p>
        </w:tc>
        <w:tc>
          <w:tcPr>
            <w:tcW w:w="740" w:type="dxa"/>
            <w:vAlign w:val="bottom"/>
          </w:tcPr>
          <w:p>
            <w:pPr>
              <w:jc w:val="right"/>
              <w:ind w:right="330"/>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21"/>
                <w:szCs w:val="21"/>
                <w:color w:val="auto"/>
              </w:rPr>
            </w:pPr>
          </w:p>
        </w:tc>
        <w:tc>
          <w:tcPr>
            <w:tcW w:w="880" w:type="dxa"/>
            <w:vAlign w:val="bottom"/>
          </w:tcPr>
          <w:p>
            <w:pPr>
              <w:jc w:val="right"/>
              <w:ind w:right="210"/>
              <w:spacing w:after="0"/>
              <w:rPr>
                <w:sz w:val="20"/>
                <w:szCs w:val="20"/>
                <w:color w:val="auto"/>
              </w:rPr>
            </w:pPr>
            <w:r>
              <w:rPr>
                <w:rFonts w:ascii="Arial" w:cs="Arial" w:eastAsia="Arial" w:hAnsi="Arial"/>
                <w:sz w:val="18"/>
                <w:szCs w:val="18"/>
                <w:color w:val="auto"/>
              </w:rPr>
              <w:t>1,708</w:t>
            </w:r>
          </w:p>
        </w:tc>
        <w:tc>
          <w:tcPr>
            <w:tcW w:w="580" w:type="dxa"/>
            <w:vAlign w:val="bottom"/>
          </w:tcPr>
          <w:p>
            <w:pPr>
              <w:jc w:val="right"/>
              <w:ind w:right="150"/>
              <w:spacing w:after="0"/>
              <w:rPr>
                <w:sz w:val="20"/>
                <w:szCs w:val="20"/>
                <w:color w:val="auto"/>
              </w:rPr>
            </w:pPr>
            <w:r>
              <w:rPr>
                <w:rFonts w:ascii="Arial" w:cs="Arial" w:eastAsia="Arial" w:hAnsi="Arial"/>
                <w:sz w:val="18"/>
                <w:szCs w:val="18"/>
                <w:color w:val="auto"/>
              </w:rPr>
              <w:t>15</w:t>
            </w:r>
          </w:p>
        </w:tc>
      </w:tr>
      <w:tr>
        <w:trPr>
          <w:trHeight w:val="243"/>
        </w:trPr>
        <w:tc>
          <w:tcPr>
            <w:tcW w:w="4020" w:type="dxa"/>
            <w:vAlign w:val="bottom"/>
          </w:tcPr>
          <w:p>
            <w:pPr>
              <w:ind w:left="280"/>
              <w:spacing w:after="0"/>
              <w:rPr>
                <w:sz w:val="20"/>
                <w:szCs w:val="20"/>
                <w:color w:val="auto"/>
              </w:rPr>
            </w:pPr>
            <w:r>
              <w:rPr>
                <w:rFonts w:ascii="Arial" w:cs="Arial" w:eastAsia="Arial" w:hAnsi="Arial"/>
                <w:sz w:val="18"/>
                <w:szCs w:val="18"/>
                <w:color w:val="auto"/>
              </w:rPr>
              <w:t>Sempra Pipelines &amp; Storage</w:t>
            </w:r>
          </w:p>
        </w:tc>
        <w:tc>
          <w:tcPr>
            <w:tcW w:w="300" w:type="dxa"/>
            <w:vAlign w:val="bottom"/>
          </w:tcPr>
          <w:p>
            <w:pPr>
              <w:spacing w:after="0"/>
              <w:rPr>
                <w:sz w:val="21"/>
                <w:szCs w:val="21"/>
                <w:color w:val="auto"/>
              </w:rPr>
            </w:pPr>
          </w:p>
        </w:tc>
        <w:tc>
          <w:tcPr>
            <w:tcW w:w="960" w:type="dxa"/>
            <w:vAlign w:val="bottom"/>
          </w:tcPr>
          <w:p>
            <w:pPr>
              <w:jc w:val="right"/>
              <w:ind w:right="230"/>
              <w:spacing w:after="0"/>
              <w:rPr>
                <w:sz w:val="20"/>
                <w:szCs w:val="20"/>
                <w:color w:val="auto"/>
              </w:rPr>
            </w:pPr>
            <w:r>
              <w:rPr>
                <w:rFonts w:ascii="Arial" w:cs="Arial" w:eastAsia="Arial" w:hAnsi="Arial"/>
                <w:sz w:val="18"/>
                <w:szCs w:val="18"/>
                <w:color w:val="auto"/>
              </w:rPr>
              <w:t>314</w:t>
            </w:r>
          </w:p>
        </w:tc>
        <w:tc>
          <w:tcPr>
            <w:tcW w:w="680" w:type="dxa"/>
            <w:vAlign w:val="bottom"/>
          </w:tcPr>
          <w:p>
            <w:pPr>
              <w:jc w:val="right"/>
              <w:ind w:right="210"/>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21"/>
                <w:szCs w:val="21"/>
                <w:color w:val="auto"/>
              </w:rPr>
            </w:pPr>
          </w:p>
        </w:tc>
        <w:tc>
          <w:tcPr>
            <w:tcW w:w="800" w:type="dxa"/>
            <w:vAlign w:val="bottom"/>
          </w:tcPr>
          <w:p>
            <w:pPr>
              <w:jc w:val="right"/>
              <w:ind w:right="130"/>
              <w:spacing w:after="0"/>
              <w:rPr>
                <w:sz w:val="20"/>
                <w:szCs w:val="20"/>
                <w:color w:val="auto"/>
              </w:rPr>
            </w:pPr>
            <w:r>
              <w:rPr>
                <w:rFonts w:ascii="Arial" w:cs="Arial" w:eastAsia="Arial" w:hAnsi="Arial"/>
                <w:sz w:val="18"/>
                <w:szCs w:val="18"/>
                <w:color w:val="auto"/>
              </w:rPr>
              <w:t>295</w:t>
            </w:r>
          </w:p>
        </w:tc>
        <w:tc>
          <w:tcPr>
            <w:tcW w:w="740" w:type="dxa"/>
            <w:vAlign w:val="bottom"/>
          </w:tcPr>
          <w:p>
            <w:pPr>
              <w:jc w:val="right"/>
              <w:ind w:right="33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21"/>
                <w:szCs w:val="21"/>
                <w:color w:val="auto"/>
              </w:rPr>
            </w:pPr>
          </w:p>
        </w:tc>
        <w:tc>
          <w:tcPr>
            <w:tcW w:w="880" w:type="dxa"/>
            <w:vAlign w:val="bottom"/>
          </w:tcPr>
          <w:p>
            <w:pPr>
              <w:jc w:val="right"/>
              <w:ind w:right="210"/>
              <w:spacing w:after="0"/>
              <w:rPr>
                <w:sz w:val="20"/>
                <w:szCs w:val="20"/>
                <w:color w:val="auto"/>
              </w:rPr>
            </w:pPr>
            <w:r>
              <w:rPr>
                <w:rFonts w:ascii="Arial" w:cs="Arial" w:eastAsia="Arial" w:hAnsi="Arial"/>
                <w:sz w:val="18"/>
                <w:szCs w:val="18"/>
                <w:color w:val="auto"/>
              </w:rPr>
              <w:t>317</w:t>
            </w:r>
          </w:p>
        </w:tc>
        <w:tc>
          <w:tcPr>
            <w:tcW w:w="580" w:type="dxa"/>
            <w:vAlign w:val="bottom"/>
          </w:tcPr>
          <w:p>
            <w:pPr>
              <w:jc w:val="right"/>
              <w:ind w:right="150"/>
              <w:spacing w:after="0"/>
              <w:rPr>
                <w:sz w:val="20"/>
                <w:szCs w:val="20"/>
                <w:color w:val="auto"/>
              </w:rPr>
            </w:pPr>
            <w:r>
              <w:rPr>
                <w:rFonts w:ascii="Arial" w:cs="Arial" w:eastAsia="Arial" w:hAnsi="Arial"/>
                <w:sz w:val="18"/>
                <w:szCs w:val="18"/>
                <w:color w:val="auto"/>
              </w:rPr>
              <w:t>3</w:t>
            </w:r>
          </w:p>
        </w:tc>
      </w:tr>
      <w:tr>
        <w:trPr>
          <w:trHeight w:val="243"/>
        </w:trPr>
        <w:tc>
          <w:tcPr>
            <w:tcW w:w="4020" w:type="dxa"/>
            <w:vAlign w:val="bottom"/>
          </w:tcPr>
          <w:p>
            <w:pPr>
              <w:ind w:left="280"/>
              <w:spacing w:after="0"/>
              <w:rPr>
                <w:sz w:val="20"/>
                <w:szCs w:val="20"/>
                <w:color w:val="auto"/>
              </w:rPr>
            </w:pPr>
            <w:r>
              <w:rPr>
                <w:rFonts w:ascii="Arial" w:cs="Arial" w:eastAsia="Arial" w:hAnsi="Arial"/>
                <w:sz w:val="18"/>
                <w:szCs w:val="18"/>
                <w:color w:val="auto"/>
              </w:rPr>
              <w:t>Adjustments and eliminations</w:t>
            </w:r>
          </w:p>
        </w:tc>
        <w:tc>
          <w:tcPr>
            <w:tcW w:w="300" w:type="dxa"/>
            <w:vAlign w:val="bottom"/>
          </w:tcPr>
          <w:p>
            <w:pPr>
              <w:spacing w:after="0"/>
              <w:rPr>
                <w:sz w:val="21"/>
                <w:szCs w:val="21"/>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(81 )</w:t>
            </w:r>
          </w:p>
        </w:tc>
        <w:tc>
          <w:tcPr>
            <w:tcW w:w="680" w:type="dxa"/>
            <w:vAlign w:val="bottom"/>
          </w:tcPr>
          <w:p>
            <w:pPr>
              <w:jc w:val="right"/>
              <w:ind w:right="110"/>
              <w:spacing w:after="0"/>
              <w:rPr>
                <w:sz w:val="20"/>
                <w:szCs w:val="20"/>
                <w:color w:val="auto"/>
              </w:rPr>
            </w:pPr>
            <w:r>
              <w:rPr>
                <w:rFonts w:ascii="Arial" w:cs="Arial" w:eastAsia="Arial" w:hAnsi="Arial"/>
                <w:sz w:val="18"/>
                <w:szCs w:val="18"/>
                <w:color w:val="auto"/>
              </w:rPr>
              <w:t>(1 )</w:t>
            </w:r>
          </w:p>
        </w:tc>
        <w:tc>
          <w:tcPr>
            <w:tcW w:w="280" w:type="dxa"/>
            <w:vAlign w:val="bottom"/>
          </w:tcPr>
          <w:p>
            <w:pPr>
              <w:spacing w:after="0"/>
              <w:rPr>
                <w:sz w:val="21"/>
                <w:szCs w:val="21"/>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(123 )</w:t>
            </w:r>
          </w:p>
        </w:tc>
        <w:tc>
          <w:tcPr>
            <w:tcW w:w="740" w:type="dxa"/>
            <w:vAlign w:val="bottom"/>
          </w:tcPr>
          <w:p>
            <w:pPr>
              <w:jc w:val="right"/>
              <w:ind w:right="230"/>
              <w:spacing w:after="0"/>
              <w:rPr>
                <w:sz w:val="20"/>
                <w:szCs w:val="20"/>
                <w:color w:val="auto"/>
              </w:rPr>
            </w:pPr>
            <w:r>
              <w:rPr>
                <w:rFonts w:ascii="Arial" w:cs="Arial" w:eastAsia="Arial" w:hAnsi="Arial"/>
                <w:sz w:val="18"/>
                <w:szCs w:val="18"/>
                <w:color w:val="auto"/>
              </w:rPr>
              <w:t>(1 )</w:t>
            </w:r>
          </w:p>
        </w:tc>
        <w:tc>
          <w:tcPr>
            <w:tcW w:w="240" w:type="dxa"/>
            <w:vAlign w:val="bottom"/>
          </w:tcPr>
          <w:p>
            <w:pPr>
              <w:spacing w:after="0"/>
              <w:rPr>
                <w:sz w:val="21"/>
                <w:szCs w:val="21"/>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(141 )</w:t>
            </w:r>
          </w:p>
        </w:tc>
        <w:tc>
          <w:tcPr>
            <w:tcW w:w="580" w:type="dxa"/>
            <w:vAlign w:val="bottom"/>
          </w:tcPr>
          <w:p>
            <w:pPr>
              <w:jc w:val="right"/>
              <w:ind w:right="50"/>
              <w:spacing w:after="0"/>
              <w:rPr>
                <w:sz w:val="20"/>
                <w:szCs w:val="20"/>
                <w:color w:val="auto"/>
              </w:rPr>
            </w:pPr>
            <w:r>
              <w:rPr>
                <w:rFonts w:ascii="Arial" w:cs="Arial" w:eastAsia="Arial" w:hAnsi="Arial"/>
                <w:sz w:val="18"/>
                <w:szCs w:val="18"/>
                <w:color w:val="auto"/>
              </w:rPr>
              <w:t>(1 )</w:t>
            </w:r>
          </w:p>
        </w:tc>
      </w:tr>
      <w:tr>
        <w:trPr>
          <w:trHeight w:val="257"/>
        </w:trPr>
        <w:tc>
          <w:tcPr>
            <w:tcW w:w="4020" w:type="dxa"/>
            <w:vAlign w:val="bottom"/>
          </w:tcPr>
          <w:p>
            <w:pPr>
              <w:ind w:left="280"/>
              <w:spacing w:after="0"/>
              <w:rPr>
                <w:sz w:val="20"/>
                <w:szCs w:val="20"/>
                <w:color w:val="auto"/>
              </w:rPr>
            </w:pPr>
            <w:r>
              <w:rPr>
                <w:rFonts w:ascii="Arial" w:cs="Arial" w:eastAsia="Arial" w:hAnsi="Arial"/>
                <w:sz w:val="18"/>
                <w:szCs w:val="18"/>
                <w:color w:val="auto"/>
              </w:rPr>
              <w:t>Intersegment revenues</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(79 )</w:t>
            </w:r>
          </w:p>
        </w:tc>
        <w:tc>
          <w:tcPr>
            <w:tcW w:w="6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(1 )</w:t>
            </w:r>
          </w:p>
        </w:tc>
        <w:tc>
          <w:tcPr>
            <w:tcW w:w="2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(87 )</w:t>
            </w:r>
          </w:p>
        </w:tc>
        <w:tc>
          <w:tcPr>
            <w:tcW w:w="7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(1 )</w:t>
            </w: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(225 )</w:t>
            </w:r>
          </w:p>
        </w:tc>
        <w:tc>
          <w:tcPr>
            <w:tcW w:w="5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(2 )</w:t>
            </w:r>
          </w:p>
        </w:tc>
      </w:tr>
      <w:tr>
        <w:trPr>
          <w:trHeight w:val="257"/>
        </w:trPr>
        <w:tc>
          <w:tcPr>
            <w:tcW w:w="402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11,438</w:t>
            </w: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100 %</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11,761</w:t>
            </w:r>
          </w:p>
        </w:tc>
        <w:tc>
          <w:tcPr>
            <w:tcW w:w="7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3"/>
              </w:rPr>
              <w:t>100 %</w:t>
            </w: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11,512</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100 %</w:t>
            </w:r>
          </w:p>
        </w:tc>
      </w:t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42"/>
        </w:trPr>
        <w:tc>
          <w:tcPr>
            <w:tcW w:w="4020" w:type="dxa"/>
            <w:vAlign w:val="bottom"/>
          </w:tcPr>
          <w:p>
            <w:pPr>
              <w:ind w:left="280"/>
              <w:spacing w:after="0"/>
              <w:rPr>
                <w:sz w:val="20"/>
                <w:szCs w:val="20"/>
                <w:color w:val="auto"/>
              </w:rPr>
            </w:pPr>
            <w:r>
              <w:rPr>
                <w:rFonts w:ascii="Arial" w:cs="Arial" w:eastAsia="Arial" w:hAnsi="Arial"/>
                <w:sz w:val="18"/>
                <w:szCs w:val="18"/>
                <w:color w:val="auto"/>
              </w:rPr>
              <w:t>SoCalGas</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30"/>
              <w:spacing w:after="0"/>
              <w:rPr>
                <w:sz w:val="20"/>
                <w:szCs w:val="20"/>
                <w:color w:val="auto"/>
              </w:rPr>
            </w:pPr>
            <w:r>
              <w:rPr>
                <w:rFonts w:ascii="Arial" w:cs="Arial" w:eastAsia="Arial" w:hAnsi="Arial"/>
                <w:sz w:val="18"/>
                <w:szCs w:val="18"/>
                <w:color w:val="auto"/>
              </w:rPr>
              <w:t>70</w:t>
            </w:r>
          </w:p>
        </w:tc>
        <w:tc>
          <w:tcPr>
            <w:tcW w:w="68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30"/>
              <w:spacing w:after="0"/>
              <w:rPr>
                <w:sz w:val="20"/>
                <w:szCs w:val="20"/>
                <w:color w:val="auto"/>
              </w:rPr>
            </w:pPr>
            <w:r>
              <w:rPr>
                <w:rFonts w:ascii="Arial" w:cs="Arial" w:eastAsia="Arial" w:hAnsi="Arial"/>
                <w:sz w:val="18"/>
                <w:szCs w:val="18"/>
                <w:color w:val="auto"/>
              </w:rPr>
              <w:t>70</w:t>
            </w:r>
          </w:p>
        </w:tc>
        <w:tc>
          <w:tcPr>
            <w:tcW w:w="740" w:type="dxa"/>
            <w:vAlign w:val="bottom"/>
          </w:tcPr>
          <w:p>
            <w:pPr>
              <w:spacing w:after="0"/>
              <w:rPr>
                <w:sz w:val="21"/>
                <w:szCs w:val="21"/>
                <w:color w:val="auto"/>
              </w:rPr>
            </w:pP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10"/>
              <w:spacing w:after="0"/>
              <w:rPr>
                <w:sz w:val="20"/>
                <w:szCs w:val="20"/>
                <w:color w:val="auto"/>
              </w:rPr>
            </w:pPr>
            <w:r>
              <w:rPr>
                <w:rFonts w:ascii="Arial" w:cs="Arial" w:eastAsia="Arial" w:hAnsi="Arial"/>
                <w:sz w:val="18"/>
                <w:szCs w:val="18"/>
                <w:color w:val="auto"/>
              </w:rPr>
              <w:t>48</w:t>
            </w:r>
          </w:p>
        </w:tc>
        <w:tc>
          <w:tcPr>
            <w:tcW w:w="580" w:type="dxa"/>
            <w:vAlign w:val="bottom"/>
          </w:tcPr>
          <w:p>
            <w:pPr>
              <w:spacing w:after="0"/>
              <w:rPr>
                <w:sz w:val="21"/>
                <w:szCs w:val="21"/>
                <w:color w:val="auto"/>
              </w:rPr>
            </w:pPr>
          </w:p>
        </w:tc>
      </w:tr>
      <w:tr>
        <w:trPr>
          <w:trHeight w:val="243"/>
        </w:trPr>
        <w:tc>
          <w:tcPr>
            <w:tcW w:w="4020" w:type="dxa"/>
            <w:vAlign w:val="bottom"/>
          </w:tcPr>
          <w:p>
            <w:pPr>
              <w:ind w:left="280"/>
              <w:spacing w:after="0"/>
              <w:rPr>
                <w:sz w:val="20"/>
                <w:szCs w:val="20"/>
                <w:color w:val="auto"/>
              </w:rPr>
            </w:pPr>
            <w:r>
              <w:rPr>
                <w:rFonts w:ascii="Arial" w:cs="Arial" w:eastAsia="Arial" w:hAnsi="Arial"/>
                <w:sz w:val="18"/>
                <w:szCs w:val="18"/>
                <w:color w:val="auto"/>
              </w:rPr>
              <w:t>SDG&amp;E</w:t>
            </w:r>
          </w:p>
        </w:tc>
        <w:tc>
          <w:tcPr>
            <w:tcW w:w="300" w:type="dxa"/>
            <w:vAlign w:val="bottom"/>
          </w:tcPr>
          <w:p>
            <w:pPr>
              <w:spacing w:after="0"/>
              <w:rPr>
                <w:sz w:val="21"/>
                <w:szCs w:val="21"/>
                <w:color w:val="auto"/>
              </w:rPr>
            </w:pPr>
          </w:p>
        </w:tc>
        <w:tc>
          <w:tcPr>
            <w:tcW w:w="960" w:type="dxa"/>
            <w:vAlign w:val="bottom"/>
          </w:tcPr>
          <w:p>
            <w:pPr>
              <w:jc w:val="right"/>
              <w:ind w:right="230"/>
              <w:spacing w:after="0"/>
              <w:rPr>
                <w:sz w:val="20"/>
                <w:szCs w:val="20"/>
                <w:color w:val="auto"/>
              </w:rPr>
            </w:pPr>
            <w:r>
              <w:rPr>
                <w:rFonts w:ascii="Arial" w:cs="Arial" w:eastAsia="Arial" w:hAnsi="Arial"/>
                <w:sz w:val="18"/>
                <w:szCs w:val="18"/>
                <w:color w:val="auto"/>
              </w:rPr>
              <w:t>96</w:t>
            </w: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jc w:val="right"/>
              <w:ind w:right="130"/>
              <w:spacing w:after="0"/>
              <w:rPr>
                <w:sz w:val="20"/>
                <w:szCs w:val="20"/>
                <w:color w:val="auto"/>
              </w:rPr>
            </w:pPr>
            <w:r>
              <w:rPr>
                <w:rFonts w:ascii="Arial" w:cs="Arial" w:eastAsia="Arial" w:hAnsi="Arial"/>
                <w:sz w:val="18"/>
                <w:szCs w:val="18"/>
                <w:color w:val="auto"/>
              </w:rPr>
              <w:t>97</w:t>
            </w: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210"/>
              <w:spacing w:after="0"/>
              <w:rPr>
                <w:sz w:val="20"/>
                <w:szCs w:val="20"/>
                <w:color w:val="auto"/>
              </w:rPr>
            </w:pPr>
            <w:r>
              <w:rPr>
                <w:rFonts w:ascii="Arial" w:cs="Arial" w:eastAsia="Arial" w:hAnsi="Arial"/>
                <w:sz w:val="18"/>
                <w:szCs w:val="18"/>
                <w:color w:val="auto"/>
              </w:rPr>
              <w:t>74</w:t>
            </w:r>
          </w:p>
        </w:tc>
        <w:tc>
          <w:tcPr>
            <w:tcW w:w="580" w:type="dxa"/>
            <w:vAlign w:val="bottom"/>
          </w:tcPr>
          <w:p>
            <w:pPr>
              <w:spacing w:after="0"/>
              <w:rPr>
                <w:sz w:val="21"/>
                <w:szCs w:val="21"/>
                <w:color w:val="auto"/>
              </w:rPr>
            </w:pPr>
          </w:p>
        </w:tc>
      </w:tr>
      <w:tr>
        <w:trPr>
          <w:trHeight w:val="243"/>
        </w:trPr>
        <w:tc>
          <w:tcPr>
            <w:tcW w:w="4020" w:type="dxa"/>
            <w:vAlign w:val="bottom"/>
          </w:tcPr>
          <w:p>
            <w:pPr>
              <w:ind w:left="280"/>
              <w:spacing w:after="0"/>
              <w:rPr>
                <w:sz w:val="20"/>
                <w:szCs w:val="20"/>
                <w:color w:val="auto"/>
              </w:rPr>
            </w:pPr>
            <w:r>
              <w:rPr>
                <w:rFonts w:ascii="Arial" w:cs="Arial" w:eastAsia="Arial" w:hAnsi="Arial"/>
                <w:sz w:val="18"/>
                <w:szCs w:val="18"/>
                <w:color w:val="auto"/>
              </w:rPr>
              <w:t>Sempra Commodities</w:t>
            </w:r>
          </w:p>
        </w:tc>
        <w:tc>
          <w:tcPr>
            <w:tcW w:w="300" w:type="dxa"/>
            <w:vAlign w:val="bottom"/>
          </w:tcPr>
          <w:p>
            <w:pPr>
              <w:spacing w:after="0"/>
              <w:rPr>
                <w:sz w:val="21"/>
                <w:szCs w:val="21"/>
                <w:color w:val="auto"/>
              </w:rPr>
            </w:pPr>
          </w:p>
        </w:tc>
        <w:tc>
          <w:tcPr>
            <w:tcW w:w="960" w:type="dxa"/>
            <w:vAlign w:val="bottom"/>
          </w:tcPr>
          <w:p>
            <w:pPr>
              <w:jc w:val="right"/>
              <w:ind w:right="230"/>
              <w:spacing w:after="0"/>
              <w:rPr>
                <w:sz w:val="20"/>
                <w:szCs w:val="20"/>
                <w:color w:val="auto"/>
              </w:rPr>
            </w:pPr>
            <w:r>
              <w:rPr>
                <w:rFonts w:ascii="Arial" w:cs="Arial" w:eastAsia="Arial" w:hAnsi="Arial"/>
                <w:sz w:val="18"/>
                <w:szCs w:val="18"/>
                <w:color w:val="auto"/>
              </w:rPr>
              <w:t>48</w:t>
            </w: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jc w:val="right"/>
              <w:ind w:right="130"/>
              <w:spacing w:after="0"/>
              <w:rPr>
                <w:sz w:val="20"/>
                <w:szCs w:val="20"/>
                <w:color w:val="auto"/>
              </w:rPr>
            </w:pPr>
            <w:r>
              <w:rPr>
                <w:rFonts w:ascii="Arial" w:cs="Arial" w:eastAsia="Arial" w:hAnsi="Arial"/>
                <w:sz w:val="18"/>
                <w:szCs w:val="18"/>
                <w:color w:val="auto"/>
              </w:rPr>
              <w:t>72</w:t>
            </w: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210"/>
              <w:spacing w:after="0"/>
              <w:rPr>
                <w:sz w:val="20"/>
                <w:szCs w:val="20"/>
                <w:color w:val="auto"/>
              </w:rPr>
            </w:pPr>
            <w:r>
              <w:rPr>
                <w:rFonts w:ascii="Arial" w:cs="Arial" w:eastAsia="Arial" w:hAnsi="Arial"/>
                <w:sz w:val="18"/>
                <w:szCs w:val="18"/>
                <w:color w:val="auto"/>
              </w:rPr>
              <w:t>49</w:t>
            </w:r>
          </w:p>
        </w:tc>
        <w:tc>
          <w:tcPr>
            <w:tcW w:w="580" w:type="dxa"/>
            <w:vAlign w:val="bottom"/>
          </w:tcPr>
          <w:p>
            <w:pPr>
              <w:spacing w:after="0"/>
              <w:rPr>
                <w:sz w:val="21"/>
                <w:szCs w:val="21"/>
                <w:color w:val="auto"/>
              </w:rPr>
            </w:pPr>
          </w:p>
        </w:tc>
      </w:tr>
      <w:tr>
        <w:trPr>
          <w:trHeight w:val="243"/>
        </w:trPr>
        <w:tc>
          <w:tcPr>
            <w:tcW w:w="4020" w:type="dxa"/>
            <w:vAlign w:val="bottom"/>
          </w:tcPr>
          <w:p>
            <w:pPr>
              <w:ind w:left="280"/>
              <w:spacing w:after="0"/>
              <w:rPr>
                <w:sz w:val="20"/>
                <w:szCs w:val="20"/>
                <w:color w:val="auto"/>
              </w:rPr>
            </w:pPr>
            <w:r>
              <w:rPr>
                <w:rFonts w:ascii="Arial" w:cs="Arial" w:eastAsia="Arial" w:hAnsi="Arial"/>
                <w:sz w:val="18"/>
                <w:szCs w:val="18"/>
                <w:color w:val="auto"/>
              </w:rPr>
              <w:t>Sempra Generation</w:t>
            </w:r>
          </w:p>
        </w:tc>
        <w:tc>
          <w:tcPr>
            <w:tcW w:w="300" w:type="dxa"/>
            <w:vAlign w:val="bottom"/>
          </w:tcPr>
          <w:p>
            <w:pPr>
              <w:spacing w:after="0"/>
              <w:rPr>
                <w:sz w:val="21"/>
                <w:szCs w:val="21"/>
                <w:color w:val="auto"/>
              </w:rPr>
            </w:pPr>
          </w:p>
        </w:tc>
        <w:tc>
          <w:tcPr>
            <w:tcW w:w="960" w:type="dxa"/>
            <w:vAlign w:val="bottom"/>
          </w:tcPr>
          <w:p>
            <w:pPr>
              <w:jc w:val="right"/>
              <w:ind w:right="230"/>
              <w:spacing w:after="0"/>
              <w:rPr>
                <w:sz w:val="20"/>
                <w:szCs w:val="20"/>
                <w:color w:val="auto"/>
              </w:rPr>
            </w:pPr>
            <w:r>
              <w:rPr>
                <w:rFonts w:ascii="Arial" w:cs="Arial" w:eastAsia="Arial" w:hAnsi="Arial"/>
                <w:sz w:val="18"/>
                <w:szCs w:val="18"/>
                <w:color w:val="auto"/>
              </w:rPr>
              <w:t>15</w:t>
            </w: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jc w:val="right"/>
              <w:ind w:right="130"/>
              <w:spacing w:after="0"/>
              <w:rPr>
                <w:sz w:val="20"/>
                <w:szCs w:val="20"/>
                <w:color w:val="auto"/>
              </w:rPr>
            </w:pPr>
            <w:r>
              <w:rPr>
                <w:rFonts w:ascii="Arial" w:cs="Arial" w:eastAsia="Arial" w:hAnsi="Arial"/>
                <w:sz w:val="18"/>
                <w:szCs w:val="18"/>
                <w:color w:val="auto"/>
              </w:rPr>
              <w:t>19</w:t>
            </w: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210"/>
              <w:spacing w:after="0"/>
              <w:rPr>
                <w:sz w:val="20"/>
                <w:szCs w:val="20"/>
                <w:color w:val="auto"/>
              </w:rPr>
            </w:pPr>
            <w:r>
              <w:rPr>
                <w:rFonts w:ascii="Arial" w:cs="Arial" w:eastAsia="Arial" w:hAnsi="Arial"/>
                <w:sz w:val="18"/>
                <w:szCs w:val="18"/>
                <w:color w:val="auto"/>
              </w:rPr>
              <w:t>28</w:t>
            </w:r>
          </w:p>
        </w:tc>
        <w:tc>
          <w:tcPr>
            <w:tcW w:w="580" w:type="dxa"/>
            <w:vAlign w:val="bottom"/>
          </w:tcPr>
          <w:p>
            <w:pPr>
              <w:spacing w:after="0"/>
              <w:rPr>
                <w:sz w:val="21"/>
                <w:szCs w:val="21"/>
                <w:color w:val="auto"/>
              </w:rPr>
            </w:pPr>
          </w:p>
        </w:tc>
      </w:tr>
      <w:tr>
        <w:trPr>
          <w:trHeight w:val="243"/>
        </w:trPr>
        <w:tc>
          <w:tcPr>
            <w:tcW w:w="4020" w:type="dxa"/>
            <w:vAlign w:val="bottom"/>
          </w:tcPr>
          <w:p>
            <w:pPr>
              <w:ind w:left="280"/>
              <w:spacing w:after="0"/>
              <w:rPr>
                <w:sz w:val="20"/>
                <w:szCs w:val="20"/>
                <w:color w:val="auto"/>
              </w:rPr>
            </w:pPr>
            <w:r>
              <w:rPr>
                <w:rFonts w:ascii="Arial" w:cs="Arial" w:eastAsia="Arial" w:hAnsi="Arial"/>
                <w:sz w:val="18"/>
                <w:szCs w:val="18"/>
                <w:color w:val="auto"/>
              </w:rPr>
              <w:t>Sempra Pipelines &amp; Storage</w:t>
            </w:r>
          </w:p>
        </w:tc>
        <w:tc>
          <w:tcPr>
            <w:tcW w:w="300" w:type="dxa"/>
            <w:vAlign w:val="bottom"/>
          </w:tcPr>
          <w:p>
            <w:pPr>
              <w:spacing w:after="0"/>
              <w:rPr>
                <w:sz w:val="21"/>
                <w:szCs w:val="21"/>
                <w:color w:val="auto"/>
              </w:rPr>
            </w:pPr>
          </w:p>
        </w:tc>
        <w:tc>
          <w:tcPr>
            <w:tcW w:w="960" w:type="dxa"/>
            <w:vAlign w:val="bottom"/>
          </w:tcPr>
          <w:p>
            <w:pPr>
              <w:jc w:val="right"/>
              <w:ind w:right="230"/>
              <w:spacing w:after="0"/>
              <w:rPr>
                <w:sz w:val="20"/>
                <w:szCs w:val="20"/>
                <w:color w:val="auto"/>
              </w:rPr>
            </w:pPr>
            <w:r>
              <w:rPr>
                <w:rFonts w:ascii="Arial" w:cs="Arial" w:eastAsia="Arial" w:hAnsi="Arial"/>
                <w:sz w:val="18"/>
                <w:szCs w:val="18"/>
                <w:color w:val="auto"/>
              </w:rPr>
              <w:t>16</w:t>
            </w: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jc w:val="right"/>
              <w:ind w:right="130"/>
              <w:spacing w:after="0"/>
              <w:rPr>
                <w:sz w:val="20"/>
                <w:szCs w:val="20"/>
                <w:color w:val="auto"/>
              </w:rPr>
            </w:pPr>
            <w:r>
              <w:rPr>
                <w:rFonts w:ascii="Arial" w:cs="Arial" w:eastAsia="Arial" w:hAnsi="Arial"/>
                <w:sz w:val="18"/>
                <w:szCs w:val="18"/>
                <w:color w:val="auto"/>
              </w:rPr>
              <w:t>14</w:t>
            </w: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210"/>
              <w:spacing w:after="0"/>
              <w:rPr>
                <w:sz w:val="20"/>
                <w:szCs w:val="20"/>
                <w:color w:val="auto"/>
              </w:rPr>
            </w:pPr>
            <w:r>
              <w:rPr>
                <w:rFonts w:ascii="Arial" w:cs="Arial" w:eastAsia="Arial" w:hAnsi="Arial"/>
                <w:sz w:val="18"/>
                <w:szCs w:val="18"/>
                <w:color w:val="auto"/>
              </w:rPr>
              <w:t>16</w:t>
            </w:r>
          </w:p>
        </w:tc>
        <w:tc>
          <w:tcPr>
            <w:tcW w:w="580" w:type="dxa"/>
            <w:vAlign w:val="bottom"/>
          </w:tcPr>
          <w:p>
            <w:pPr>
              <w:spacing w:after="0"/>
              <w:rPr>
                <w:sz w:val="21"/>
                <w:szCs w:val="21"/>
                <w:color w:val="auto"/>
              </w:rPr>
            </w:pPr>
          </w:p>
        </w:tc>
      </w:tr>
      <w:tr>
        <w:trPr>
          <w:trHeight w:val="243"/>
        </w:trPr>
        <w:tc>
          <w:tcPr>
            <w:tcW w:w="4020" w:type="dxa"/>
            <w:vAlign w:val="bottom"/>
          </w:tcPr>
          <w:p>
            <w:pPr>
              <w:ind w:left="280"/>
              <w:spacing w:after="0"/>
              <w:rPr>
                <w:sz w:val="20"/>
                <w:szCs w:val="20"/>
                <w:color w:val="auto"/>
              </w:rPr>
            </w:pPr>
            <w:r>
              <w:rPr>
                <w:rFonts w:ascii="Arial" w:cs="Arial" w:eastAsia="Arial" w:hAnsi="Arial"/>
                <w:sz w:val="18"/>
                <w:szCs w:val="18"/>
                <w:color w:val="auto"/>
              </w:rPr>
              <w:t>All other</w:t>
            </w:r>
          </w:p>
        </w:tc>
        <w:tc>
          <w:tcPr>
            <w:tcW w:w="300" w:type="dxa"/>
            <w:vAlign w:val="bottom"/>
          </w:tcPr>
          <w:p>
            <w:pPr>
              <w:spacing w:after="0"/>
              <w:rPr>
                <w:sz w:val="21"/>
                <w:szCs w:val="21"/>
                <w:color w:val="auto"/>
              </w:rPr>
            </w:pPr>
          </w:p>
        </w:tc>
        <w:tc>
          <w:tcPr>
            <w:tcW w:w="960" w:type="dxa"/>
            <w:vAlign w:val="bottom"/>
          </w:tcPr>
          <w:p>
            <w:pPr>
              <w:jc w:val="right"/>
              <w:ind w:right="230"/>
              <w:spacing w:after="0"/>
              <w:rPr>
                <w:sz w:val="20"/>
                <w:szCs w:val="20"/>
                <w:color w:val="auto"/>
              </w:rPr>
            </w:pPr>
            <w:r>
              <w:rPr>
                <w:rFonts w:ascii="Arial" w:cs="Arial" w:eastAsia="Arial" w:hAnsi="Arial"/>
                <w:sz w:val="18"/>
                <w:szCs w:val="18"/>
                <w:color w:val="auto"/>
              </w:rPr>
              <w:t>206</w:t>
            </w: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jc w:val="right"/>
              <w:ind w:right="130"/>
              <w:spacing w:after="0"/>
              <w:rPr>
                <w:sz w:val="20"/>
                <w:szCs w:val="20"/>
                <w:color w:val="auto"/>
              </w:rPr>
            </w:pPr>
            <w:r>
              <w:rPr>
                <w:rFonts w:ascii="Arial" w:cs="Arial" w:eastAsia="Arial" w:hAnsi="Arial"/>
                <w:sz w:val="18"/>
                <w:szCs w:val="18"/>
                <w:color w:val="auto"/>
              </w:rPr>
              <w:t>262</w:t>
            </w: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210"/>
              <w:spacing w:after="0"/>
              <w:rPr>
                <w:sz w:val="20"/>
                <w:szCs w:val="20"/>
                <w:color w:val="auto"/>
              </w:rPr>
            </w:pPr>
            <w:r>
              <w:rPr>
                <w:rFonts w:ascii="Arial" w:cs="Arial" w:eastAsia="Arial" w:hAnsi="Arial"/>
                <w:sz w:val="18"/>
                <w:szCs w:val="18"/>
                <w:color w:val="auto"/>
              </w:rPr>
              <w:t>293</w:t>
            </w:r>
          </w:p>
        </w:tc>
        <w:tc>
          <w:tcPr>
            <w:tcW w:w="580" w:type="dxa"/>
            <w:vAlign w:val="bottom"/>
          </w:tcPr>
          <w:p>
            <w:pPr>
              <w:spacing w:after="0"/>
              <w:rPr>
                <w:sz w:val="21"/>
                <w:szCs w:val="21"/>
                <w:color w:val="auto"/>
              </w:rPr>
            </w:pPr>
          </w:p>
        </w:tc>
      </w:tr>
      <w:tr>
        <w:trPr>
          <w:trHeight w:val="257"/>
        </w:trPr>
        <w:tc>
          <w:tcPr>
            <w:tcW w:w="4020" w:type="dxa"/>
            <w:vAlign w:val="bottom"/>
          </w:tcPr>
          <w:p>
            <w:pPr>
              <w:ind w:left="280"/>
              <w:spacing w:after="0"/>
              <w:rPr>
                <w:sz w:val="20"/>
                <w:szCs w:val="20"/>
                <w:color w:val="auto"/>
              </w:rPr>
            </w:pPr>
            <w:r>
              <w:rPr>
                <w:rFonts w:ascii="Arial" w:cs="Arial" w:eastAsia="Arial" w:hAnsi="Arial"/>
                <w:sz w:val="18"/>
                <w:szCs w:val="18"/>
                <w:color w:val="auto"/>
              </w:rPr>
              <w:t>Intercompany eliminations</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(179 )</w:t>
            </w:r>
          </w:p>
        </w:tc>
        <w:tc>
          <w:tcPr>
            <w:tcW w:w="68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(183 )</w:t>
            </w:r>
          </w:p>
        </w:tc>
        <w:tc>
          <w:tcPr>
            <w:tcW w:w="7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(198 )</w:t>
            </w:r>
          </w:p>
        </w:tc>
        <w:tc>
          <w:tcPr>
            <w:tcW w:w="580" w:type="dxa"/>
            <w:vAlign w:val="bottom"/>
            <w:tcBorders>
              <w:bottom w:val="single" w:sz="8" w:color="auto"/>
            </w:tcBorders>
          </w:tcPr>
          <w:p>
            <w:pPr>
              <w:spacing w:after="0"/>
              <w:rPr>
                <w:sz w:val="22"/>
                <w:szCs w:val="22"/>
                <w:color w:val="auto"/>
              </w:rPr>
            </w:pPr>
          </w:p>
        </w:tc>
      </w:tr>
      <w:tr>
        <w:trPr>
          <w:trHeight w:val="257"/>
        </w:trPr>
        <w:tc>
          <w:tcPr>
            <w:tcW w:w="402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272</w:t>
            </w:r>
          </w:p>
        </w:tc>
        <w:tc>
          <w:tcPr>
            <w:tcW w:w="68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351</w:t>
            </w:r>
          </w:p>
        </w:tc>
        <w:tc>
          <w:tcPr>
            <w:tcW w:w="7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310</w:t>
            </w:r>
          </w:p>
        </w:tc>
        <w:tc>
          <w:tcPr>
            <w:tcW w:w="580" w:type="dxa"/>
            <w:vAlign w:val="bottom"/>
            <w:tcBorders>
              <w:bottom w:val="single" w:sz="8" w:color="auto"/>
            </w:tcBorders>
          </w:tcPr>
          <w:p>
            <w:pPr>
              <w:spacing w:after="0"/>
              <w:rPr>
                <w:sz w:val="22"/>
                <w:szCs w:val="22"/>
                <w:color w:val="auto"/>
              </w:rPr>
            </w:pPr>
          </w:p>
        </w:tc>
      </w:t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42"/>
        </w:trPr>
        <w:tc>
          <w:tcPr>
            <w:tcW w:w="4020" w:type="dxa"/>
            <w:vAlign w:val="bottom"/>
          </w:tcPr>
          <w:p>
            <w:pPr>
              <w:ind w:left="280"/>
              <w:spacing w:after="0"/>
              <w:rPr>
                <w:sz w:val="20"/>
                <w:szCs w:val="20"/>
                <w:color w:val="auto"/>
              </w:rPr>
            </w:pPr>
            <w:r>
              <w:rPr>
                <w:rFonts w:ascii="Arial" w:cs="Arial" w:eastAsia="Arial" w:hAnsi="Arial"/>
                <w:sz w:val="18"/>
                <w:szCs w:val="18"/>
                <w:color w:val="auto"/>
              </w:rPr>
              <w:t>SoCalGas</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30"/>
              <w:spacing w:after="0"/>
              <w:rPr>
                <w:sz w:val="20"/>
                <w:szCs w:val="20"/>
                <w:color w:val="auto"/>
              </w:rPr>
            </w:pPr>
            <w:r>
              <w:rPr>
                <w:rFonts w:ascii="Arial" w:cs="Arial" w:eastAsia="Arial" w:hAnsi="Arial"/>
                <w:sz w:val="18"/>
                <w:szCs w:val="18"/>
                <w:color w:val="auto"/>
              </w:rPr>
              <w:t>27</w:t>
            </w:r>
          </w:p>
        </w:tc>
        <w:tc>
          <w:tcPr>
            <w:tcW w:w="68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30"/>
              <w:spacing w:after="0"/>
              <w:rPr>
                <w:sz w:val="20"/>
                <w:szCs w:val="20"/>
                <w:color w:val="auto"/>
              </w:rPr>
            </w:pPr>
            <w:r>
              <w:rPr>
                <w:rFonts w:ascii="Arial" w:cs="Arial" w:eastAsia="Arial" w:hAnsi="Arial"/>
                <w:sz w:val="18"/>
                <w:szCs w:val="18"/>
                <w:color w:val="auto"/>
              </w:rPr>
              <w:t>29</w:t>
            </w:r>
          </w:p>
        </w:tc>
        <w:tc>
          <w:tcPr>
            <w:tcW w:w="740" w:type="dxa"/>
            <w:vAlign w:val="bottom"/>
          </w:tcPr>
          <w:p>
            <w:pPr>
              <w:spacing w:after="0"/>
              <w:rPr>
                <w:sz w:val="21"/>
                <w:szCs w:val="21"/>
                <w:color w:val="auto"/>
              </w:rPr>
            </w:pP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10"/>
              <w:spacing w:after="0"/>
              <w:rPr>
                <w:sz w:val="20"/>
                <w:szCs w:val="20"/>
                <w:color w:val="auto"/>
              </w:rPr>
            </w:pPr>
            <w:r>
              <w:rPr>
                <w:rFonts w:ascii="Arial" w:cs="Arial" w:eastAsia="Arial" w:hAnsi="Arial"/>
                <w:sz w:val="18"/>
                <w:szCs w:val="18"/>
                <w:color w:val="auto"/>
              </w:rPr>
              <w:t>12</w:t>
            </w:r>
          </w:p>
        </w:tc>
        <w:tc>
          <w:tcPr>
            <w:tcW w:w="580" w:type="dxa"/>
            <w:vAlign w:val="bottom"/>
          </w:tcPr>
          <w:p>
            <w:pPr>
              <w:spacing w:after="0"/>
              <w:rPr>
                <w:sz w:val="21"/>
                <w:szCs w:val="21"/>
                <w:color w:val="auto"/>
              </w:rPr>
            </w:pPr>
          </w:p>
        </w:tc>
      </w:tr>
      <w:tr>
        <w:trPr>
          <w:trHeight w:val="243"/>
        </w:trPr>
        <w:tc>
          <w:tcPr>
            <w:tcW w:w="4020" w:type="dxa"/>
            <w:vAlign w:val="bottom"/>
          </w:tcPr>
          <w:p>
            <w:pPr>
              <w:ind w:left="280"/>
              <w:spacing w:after="0"/>
              <w:rPr>
                <w:sz w:val="20"/>
                <w:szCs w:val="20"/>
                <w:color w:val="auto"/>
              </w:rPr>
            </w:pPr>
            <w:r>
              <w:rPr>
                <w:rFonts w:ascii="Arial" w:cs="Arial" w:eastAsia="Arial" w:hAnsi="Arial"/>
                <w:sz w:val="18"/>
                <w:szCs w:val="18"/>
                <w:color w:val="auto"/>
              </w:rPr>
              <w:t>SDG&amp;E</w:t>
            </w:r>
          </w:p>
        </w:tc>
        <w:tc>
          <w:tcPr>
            <w:tcW w:w="300" w:type="dxa"/>
            <w:vAlign w:val="bottom"/>
          </w:tcPr>
          <w:p>
            <w:pPr>
              <w:spacing w:after="0"/>
              <w:rPr>
                <w:sz w:val="21"/>
                <w:szCs w:val="21"/>
                <w:color w:val="auto"/>
              </w:rPr>
            </w:pPr>
          </w:p>
        </w:tc>
        <w:tc>
          <w:tcPr>
            <w:tcW w:w="960" w:type="dxa"/>
            <w:vAlign w:val="bottom"/>
          </w:tcPr>
          <w:p>
            <w:pPr>
              <w:jc w:val="right"/>
              <w:ind w:right="230"/>
              <w:spacing w:after="0"/>
              <w:rPr>
                <w:sz w:val="20"/>
                <w:szCs w:val="20"/>
                <w:color w:val="auto"/>
              </w:rPr>
            </w:pPr>
            <w:r>
              <w:rPr>
                <w:rFonts w:ascii="Arial" w:cs="Arial" w:eastAsia="Arial" w:hAnsi="Arial"/>
                <w:sz w:val="18"/>
                <w:szCs w:val="18"/>
                <w:color w:val="auto"/>
              </w:rPr>
              <w:t>8</w:t>
            </w: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jc w:val="right"/>
              <w:ind w:right="130"/>
              <w:spacing w:after="0"/>
              <w:rPr>
                <w:sz w:val="20"/>
                <w:szCs w:val="20"/>
                <w:color w:val="auto"/>
              </w:rPr>
            </w:pPr>
            <w:r>
              <w:rPr>
                <w:rFonts w:ascii="Arial" w:cs="Arial" w:eastAsia="Arial" w:hAnsi="Arial"/>
                <w:sz w:val="18"/>
                <w:szCs w:val="18"/>
                <w:color w:val="auto"/>
              </w:rPr>
              <w:t>6</w:t>
            </w: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210"/>
              <w:spacing w:after="0"/>
              <w:rPr>
                <w:sz w:val="20"/>
                <w:szCs w:val="20"/>
                <w:color w:val="auto"/>
              </w:rPr>
            </w:pPr>
            <w:r>
              <w:rPr>
                <w:rFonts w:ascii="Arial" w:cs="Arial" w:eastAsia="Arial" w:hAnsi="Arial"/>
                <w:sz w:val="18"/>
                <w:szCs w:val="18"/>
                <w:color w:val="auto"/>
              </w:rPr>
              <w:t>23</w:t>
            </w:r>
          </w:p>
        </w:tc>
        <w:tc>
          <w:tcPr>
            <w:tcW w:w="580" w:type="dxa"/>
            <w:vAlign w:val="bottom"/>
          </w:tcPr>
          <w:p>
            <w:pPr>
              <w:spacing w:after="0"/>
              <w:rPr>
                <w:sz w:val="21"/>
                <w:szCs w:val="21"/>
                <w:color w:val="auto"/>
              </w:rPr>
            </w:pPr>
          </w:p>
        </w:tc>
      </w:tr>
      <w:tr>
        <w:trPr>
          <w:trHeight w:val="243"/>
        </w:trPr>
        <w:tc>
          <w:tcPr>
            <w:tcW w:w="4020" w:type="dxa"/>
            <w:vAlign w:val="bottom"/>
          </w:tcPr>
          <w:p>
            <w:pPr>
              <w:ind w:left="280"/>
              <w:spacing w:after="0"/>
              <w:rPr>
                <w:sz w:val="20"/>
                <w:szCs w:val="20"/>
                <w:color w:val="auto"/>
              </w:rPr>
            </w:pPr>
            <w:r>
              <w:rPr>
                <w:rFonts w:ascii="Arial" w:cs="Arial" w:eastAsia="Arial" w:hAnsi="Arial"/>
                <w:sz w:val="18"/>
                <w:szCs w:val="18"/>
                <w:color w:val="auto"/>
              </w:rPr>
              <w:t>Sempra Commodities</w:t>
            </w:r>
          </w:p>
        </w:tc>
        <w:tc>
          <w:tcPr>
            <w:tcW w:w="300" w:type="dxa"/>
            <w:vAlign w:val="bottom"/>
          </w:tcPr>
          <w:p>
            <w:pPr>
              <w:spacing w:after="0"/>
              <w:rPr>
                <w:sz w:val="21"/>
                <w:szCs w:val="21"/>
                <w:color w:val="auto"/>
              </w:rPr>
            </w:pPr>
          </w:p>
        </w:tc>
        <w:tc>
          <w:tcPr>
            <w:tcW w:w="960" w:type="dxa"/>
            <w:vAlign w:val="bottom"/>
          </w:tcPr>
          <w:p>
            <w:pPr>
              <w:jc w:val="right"/>
              <w:ind w:right="230"/>
              <w:spacing w:after="0"/>
              <w:rPr>
                <w:sz w:val="20"/>
                <w:szCs w:val="20"/>
                <w:color w:val="auto"/>
              </w:rPr>
            </w:pPr>
            <w:r>
              <w:rPr>
                <w:rFonts w:ascii="Arial" w:cs="Arial" w:eastAsia="Arial" w:hAnsi="Arial"/>
                <w:sz w:val="18"/>
                <w:szCs w:val="18"/>
                <w:color w:val="auto"/>
              </w:rPr>
              <w:t>17</w:t>
            </w: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jc w:val="right"/>
              <w:ind w:right="130"/>
              <w:spacing w:after="0"/>
              <w:rPr>
                <w:sz w:val="20"/>
                <w:szCs w:val="20"/>
                <w:color w:val="auto"/>
              </w:rPr>
            </w:pPr>
            <w:r>
              <w:rPr>
                <w:rFonts w:ascii="Arial" w:cs="Arial" w:eastAsia="Arial" w:hAnsi="Arial"/>
                <w:sz w:val="18"/>
                <w:szCs w:val="18"/>
                <w:color w:val="auto"/>
              </w:rPr>
              <w:t>10</w:t>
            </w: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210"/>
              <w:spacing w:after="0"/>
              <w:rPr>
                <w:sz w:val="20"/>
                <w:szCs w:val="20"/>
                <w:color w:val="auto"/>
              </w:rPr>
            </w:pPr>
            <w:r>
              <w:rPr>
                <w:rFonts w:ascii="Arial" w:cs="Arial" w:eastAsia="Arial" w:hAnsi="Arial"/>
                <w:sz w:val="18"/>
                <w:szCs w:val="18"/>
                <w:color w:val="auto"/>
              </w:rPr>
              <w:t>14</w:t>
            </w:r>
          </w:p>
        </w:tc>
        <w:tc>
          <w:tcPr>
            <w:tcW w:w="580" w:type="dxa"/>
            <w:vAlign w:val="bottom"/>
          </w:tcPr>
          <w:p>
            <w:pPr>
              <w:spacing w:after="0"/>
              <w:rPr>
                <w:sz w:val="21"/>
                <w:szCs w:val="21"/>
                <w:color w:val="auto"/>
              </w:rPr>
            </w:pPr>
          </w:p>
        </w:tc>
      </w:tr>
      <w:tr>
        <w:trPr>
          <w:trHeight w:val="243"/>
        </w:trPr>
        <w:tc>
          <w:tcPr>
            <w:tcW w:w="4020" w:type="dxa"/>
            <w:vAlign w:val="bottom"/>
          </w:tcPr>
          <w:p>
            <w:pPr>
              <w:ind w:left="280"/>
              <w:spacing w:after="0"/>
              <w:rPr>
                <w:sz w:val="20"/>
                <w:szCs w:val="20"/>
                <w:color w:val="auto"/>
              </w:rPr>
            </w:pPr>
            <w:r>
              <w:rPr>
                <w:rFonts w:ascii="Arial" w:cs="Arial" w:eastAsia="Arial" w:hAnsi="Arial"/>
                <w:sz w:val="18"/>
                <w:szCs w:val="18"/>
                <w:color w:val="auto"/>
              </w:rPr>
              <w:t>Sempra Generation</w:t>
            </w:r>
          </w:p>
        </w:tc>
        <w:tc>
          <w:tcPr>
            <w:tcW w:w="300" w:type="dxa"/>
            <w:vAlign w:val="bottom"/>
          </w:tcPr>
          <w:p>
            <w:pPr>
              <w:spacing w:after="0"/>
              <w:rPr>
                <w:sz w:val="21"/>
                <w:szCs w:val="21"/>
                <w:color w:val="auto"/>
              </w:rPr>
            </w:pPr>
          </w:p>
        </w:tc>
        <w:tc>
          <w:tcPr>
            <w:tcW w:w="960" w:type="dxa"/>
            <w:vAlign w:val="bottom"/>
          </w:tcPr>
          <w:p>
            <w:pPr>
              <w:jc w:val="right"/>
              <w:ind w:right="230"/>
              <w:spacing w:after="0"/>
              <w:rPr>
                <w:sz w:val="20"/>
                <w:szCs w:val="20"/>
                <w:color w:val="auto"/>
              </w:rPr>
            </w:pPr>
            <w:r>
              <w:rPr>
                <w:rFonts w:ascii="Arial" w:cs="Arial" w:eastAsia="Arial" w:hAnsi="Arial"/>
                <w:sz w:val="18"/>
                <w:szCs w:val="18"/>
                <w:color w:val="auto"/>
              </w:rPr>
              <w:t>28</w:t>
            </w: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jc w:val="right"/>
              <w:ind w:right="130"/>
              <w:spacing w:after="0"/>
              <w:rPr>
                <w:sz w:val="20"/>
                <w:szCs w:val="20"/>
                <w:color w:val="auto"/>
              </w:rPr>
            </w:pPr>
            <w:r>
              <w:rPr>
                <w:rFonts w:ascii="Arial" w:cs="Arial" w:eastAsia="Arial" w:hAnsi="Arial"/>
                <w:sz w:val="18"/>
                <w:szCs w:val="18"/>
                <w:color w:val="auto"/>
              </w:rPr>
              <w:t>32</w:t>
            </w: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210"/>
              <w:spacing w:after="0"/>
              <w:rPr>
                <w:sz w:val="20"/>
                <w:szCs w:val="20"/>
                <w:color w:val="auto"/>
              </w:rPr>
            </w:pPr>
            <w:r>
              <w:rPr>
                <w:rFonts w:ascii="Arial" w:cs="Arial" w:eastAsia="Arial" w:hAnsi="Arial"/>
                <w:sz w:val="18"/>
                <w:szCs w:val="18"/>
                <w:color w:val="auto"/>
              </w:rPr>
              <w:t>5</w:t>
            </w:r>
          </w:p>
        </w:tc>
        <w:tc>
          <w:tcPr>
            <w:tcW w:w="580" w:type="dxa"/>
            <w:vAlign w:val="bottom"/>
          </w:tcPr>
          <w:p>
            <w:pPr>
              <w:spacing w:after="0"/>
              <w:rPr>
                <w:sz w:val="21"/>
                <w:szCs w:val="21"/>
                <w:color w:val="auto"/>
              </w:rPr>
            </w:pPr>
          </w:p>
        </w:tc>
      </w:tr>
      <w:tr>
        <w:trPr>
          <w:trHeight w:val="243"/>
        </w:trPr>
        <w:tc>
          <w:tcPr>
            <w:tcW w:w="4020" w:type="dxa"/>
            <w:vAlign w:val="bottom"/>
          </w:tcPr>
          <w:p>
            <w:pPr>
              <w:ind w:left="280"/>
              <w:spacing w:after="0"/>
              <w:rPr>
                <w:sz w:val="20"/>
                <w:szCs w:val="20"/>
                <w:color w:val="auto"/>
              </w:rPr>
            </w:pPr>
            <w:r>
              <w:rPr>
                <w:rFonts w:ascii="Arial" w:cs="Arial" w:eastAsia="Arial" w:hAnsi="Arial"/>
                <w:sz w:val="18"/>
                <w:szCs w:val="18"/>
                <w:color w:val="auto"/>
              </w:rPr>
              <w:t>Sempra Pipelines &amp; Storage</w:t>
            </w:r>
          </w:p>
        </w:tc>
        <w:tc>
          <w:tcPr>
            <w:tcW w:w="300" w:type="dxa"/>
            <w:vAlign w:val="bottom"/>
          </w:tcPr>
          <w:p>
            <w:pPr>
              <w:spacing w:after="0"/>
              <w:rPr>
                <w:sz w:val="21"/>
                <w:szCs w:val="21"/>
                <w:color w:val="auto"/>
              </w:rPr>
            </w:pPr>
          </w:p>
        </w:tc>
        <w:tc>
          <w:tcPr>
            <w:tcW w:w="960" w:type="dxa"/>
            <w:vAlign w:val="bottom"/>
          </w:tcPr>
          <w:p>
            <w:pPr>
              <w:jc w:val="right"/>
              <w:ind w:right="230"/>
              <w:spacing w:after="0"/>
              <w:rPr>
                <w:sz w:val="20"/>
                <w:szCs w:val="20"/>
                <w:color w:val="auto"/>
              </w:rPr>
            </w:pPr>
            <w:r>
              <w:rPr>
                <w:rFonts w:ascii="Arial" w:cs="Arial" w:eastAsia="Arial" w:hAnsi="Arial"/>
                <w:sz w:val="18"/>
                <w:szCs w:val="18"/>
                <w:color w:val="auto"/>
              </w:rPr>
              <w:t>14</w:t>
            </w: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jc w:val="right"/>
              <w:ind w:right="130"/>
              <w:spacing w:after="0"/>
              <w:rPr>
                <w:sz w:val="20"/>
                <w:szCs w:val="20"/>
                <w:color w:val="auto"/>
              </w:rPr>
            </w:pPr>
            <w:r>
              <w:rPr>
                <w:rFonts w:ascii="Arial" w:cs="Arial" w:eastAsia="Arial" w:hAnsi="Arial"/>
                <w:sz w:val="18"/>
                <w:szCs w:val="18"/>
                <w:color w:val="auto"/>
              </w:rPr>
              <w:t>18</w:t>
            </w: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210"/>
              <w:spacing w:after="0"/>
              <w:rPr>
                <w:sz w:val="20"/>
                <w:szCs w:val="20"/>
                <w:color w:val="auto"/>
              </w:rPr>
            </w:pPr>
            <w:r>
              <w:rPr>
                <w:rFonts w:ascii="Arial" w:cs="Arial" w:eastAsia="Arial" w:hAnsi="Arial"/>
                <w:sz w:val="18"/>
                <w:szCs w:val="18"/>
                <w:color w:val="auto"/>
              </w:rPr>
              <w:t>17</w:t>
            </w:r>
          </w:p>
        </w:tc>
        <w:tc>
          <w:tcPr>
            <w:tcW w:w="580" w:type="dxa"/>
            <w:vAlign w:val="bottom"/>
          </w:tcPr>
          <w:p>
            <w:pPr>
              <w:spacing w:after="0"/>
              <w:rPr>
                <w:sz w:val="21"/>
                <w:szCs w:val="21"/>
                <w:color w:val="auto"/>
              </w:rPr>
            </w:pPr>
          </w:p>
        </w:tc>
      </w:tr>
      <w:tr>
        <w:trPr>
          <w:trHeight w:val="243"/>
        </w:trPr>
        <w:tc>
          <w:tcPr>
            <w:tcW w:w="4020" w:type="dxa"/>
            <w:vAlign w:val="bottom"/>
          </w:tcPr>
          <w:p>
            <w:pPr>
              <w:ind w:left="280"/>
              <w:spacing w:after="0"/>
              <w:rPr>
                <w:sz w:val="20"/>
                <w:szCs w:val="20"/>
                <w:color w:val="auto"/>
              </w:rPr>
            </w:pPr>
            <w:r>
              <w:rPr>
                <w:rFonts w:ascii="Arial" w:cs="Arial" w:eastAsia="Arial" w:hAnsi="Arial"/>
                <w:sz w:val="18"/>
                <w:szCs w:val="18"/>
                <w:color w:val="auto"/>
              </w:rPr>
              <w:t>All other</w:t>
            </w:r>
          </w:p>
        </w:tc>
        <w:tc>
          <w:tcPr>
            <w:tcW w:w="300" w:type="dxa"/>
            <w:vAlign w:val="bottom"/>
          </w:tcPr>
          <w:p>
            <w:pPr>
              <w:spacing w:after="0"/>
              <w:rPr>
                <w:sz w:val="21"/>
                <w:szCs w:val="21"/>
                <w:color w:val="auto"/>
              </w:rPr>
            </w:pPr>
          </w:p>
        </w:tc>
        <w:tc>
          <w:tcPr>
            <w:tcW w:w="960" w:type="dxa"/>
            <w:vAlign w:val="bottom"/>
          </w:tcPr>
          <w:p>
            <w:pPr>
              <w:jc w:val="right"/>
              <w:ind w:right="230"/>
              <w:spacing w:after="0"/>
              <w:rPr>
                <w:sz w:val="20"/>
                <w:szCs w:val="20"/>
                <w:color w:val="auto"/>
              </w:rPr>
            </w:pPr>
            <w:r>
              <w:rPr>
                <w:rFonts w:ascii="Arial" w:cs="Arial" w:eastAsia="Arial" w:hAnsi="Arial"/>
                <w:sz w:val="18"/>
                <w:szCs w:val="18"/>
                <w:color w:val="auto"/>
              </w:rPr>
              <w:t>157</w:t>
            </w: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jc w:val="right"/>
              <w:ind w:right="130"/>
              <w:spacing w:after="0"/>
              <w:rPr>
                <w:sz w:val="20"/>
                <w:szCs w:val="20"/>
                <w:color w:val="auto"/>
              </w:rPr>
            </w:pPr>
            <w:r>
              <w:rPr>
                <w:rFonts w:ascii="Arial" w:cs="Arial" w:eastAsia="Arial" w:hAnsi="Arial"/>
                <w:sz w:val="18"/>
                <w:szCs w:val="18"/>
                <w:color w:val="auto"/>
              </w:rPr>
              <w:t>197</w:t>
            </w: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210"/>
              <w:spacing w:after="0"/>
              <w:rPr>
                <w:sz w:val="20"/>
                <w:szCs w:val="20"/>
                <w:color w:val="auto"/>
              </w:rPr>
            </w:pPr>
            <w:r>
              <w:rPr>
                <w:rFonts w:ascii="Arial" w:cs="Arial" w:eastAsia="Arial" w:hAnsi="Arial"/>
                <w:sz w:val="18"/>
                <w:szCs w:val="18"/>
                <w:color w:val="auto"/>
              </w:rPr>
              <w:t>199</w:t>
            </w:r>
          </w:p>
        </w:tc>
        <w:tc>
          <w:tcPr>
            <w:tcW w:w="580" w:type="dxa"/>
            <w:vAlign w:val="bottom"/>
          </w:tcPr>
          <w:p>
            <w:pPr>
              <w:spacing w:after="0"/>
              <w:rPr>
                <w:sz w:val="21"/>
                <w:szCs w:val="21"/>
                <w:color w:val="auto"/>
              </w:rPr>
            </w:pPr>
          </w:p>
        </w:tc>
      </w:tr>
      <w:tr>
        <w:trPr>
          <w:trHeight w:val="257"/>
        </w:trPr>
        <w:tc>
          <w:tcPr>
            <w:tcW w:w="4020" w:type="dxa"/>
            <w:vAlign w:val="bottom"/>
          </w:tcPr>
          <w:p>
            <w:pPr>
              <w:ind w:left="280"/>
              <w:spacing w:after="0"/>
              <w:rPr>
                <w:sz w:val="20"/>
                <w:szCs w:val="20"/>
                <w:color w:val="auto"/>
              </w:rPr>
            </w:pPr>
            <w:r>
              <w:rPr>
                <w:rFonts w:ascii="Arial" w:cs="Arial" w:eastAsia="Arial" w:hAnsi="Arial"/>
                <w:sz w:val="18"/>
                <w:szCs w:val="18"/>
                <w:color w:val="auto"/>
              </w:rPr>
              <w:t>Intercompany eliminations</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(179 )</w:t>
            </w:r>
          </w:p>
        </w:tc>
        <w:tc>
          <w:tcPr>
            <w:tcW w:w="68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(183 )</w:t>
            </w:r>
          </w:p>
        </w:tc>
        <w:tc>
          <w:tcPr>
            <w:tcW w:w="7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(198 )</w:t>
            </w:r>
          </w:p>
        </w:tc>
        <w:tc>
          <w:tcPr>
            <w:tcW w:w="580" w:type="dxa"/>
            <w:vAlign w:val="bottom"/>
            <w:tcBorders>
              <w:bottom w:val="single" w:sz="8" w:color="auto"/>
            </w:tcBorders>
          </w:tcPr>
          <w:p>
            <w:pPr>
              <w:spacing w:after="0"/>
              <w:rPr>
                <w:sz w:val="22"/>
                <w:szCs w:val="22"/>
                <w:color w:val="auto"/>
              </w:rPr>
            </w:pPr>
          </w:p>
        </w:tc>
      </w:tr>
      <w:tr>
        <w:trPr>
          <w:trHeight w:val="257"/>
        </w:trPr>
        <w:tc>
          <w:tcPr>
            <w:tcW w:w="402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72</w:t>
            </w:r>
          </w:p>
        </w:tc>
        <w:tc>
          <w:tcPr>
            <w:tcW w:w="68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109</w:t>
            </w:r>
          </w:p>
        </w:tc>
        <w:tc>
          <w:tcPr>
            <w:tcW w:w="7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72</w:t>
            </w:r>
          </w:p>
        </w:tc>
        <w:tc>
          <w:tcPr>
            <w:tcW w:w="580" w:type="dxa"/>
            <w:vAlign w:val="bottom"/>
            <w:tcBorders>
              <w:bottom w:val="single" w:sz="8" w:color="auto"/>
            </w:tcBorders>
          </w:tcPr>
          <w:p>
            <w:pPr>
              <w:spacing w:after="0"/>
              <w:rPr>
                <w:sz w:val="22"/>
                <w:szCs w:val="22"/>
                <w:color w:val="auto"/>
              </w:rPr>
            </w:pPr>
          </w:p>
        </w:tc>
      </w:t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42"/>
        </w:trPr>
        <w:tc>
          <w:tcPr>
            <w:tcW w:w="4020" w:type="dxa"/>
            <w:vAlign w:val="bottom"/>
          </w:tcPr>
          <w:p>
            <w:pPr>
              <w:ind w:left="280"/>
              <w:spacing w:after="0"/>
              <w:rPr>
                <w:sz w:val="20"/>
                <w:szCs w:val="20"/>
                <w:color w:val="auto"/>
              </w:rPr>
            </w:pPr>
            <w:r>
              <w:rPr>
                <w:rFonts w:ascii="Arial" w:cs="Arial" w:eastAsia="Arial" w:hAnsi="Arial"/>
                <w:sz w:val="18"/>
                <w:szCs w:val="18"/>
                <w:color w:val="auto"/>
              </w:rPr>
              <w:t>SoCalGas</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30"/>
              <w:spacing w:after="0"/>
              <w:rPr>
                <w:sz w:val="20"/>
                <w:szCs w:val="20"/>
                <w:color w:val="auto"/>
              </w:rPr>
            </w:pPr>
            <w:r>
              <w:rPr>
                <w:rFonts w:ascii="Arial" w:cs="Arial" w:eastAsia="Arial" w:hAnsi="Arial"/>
                <w:sz w:val="18"/>
                <w:szCs w:val="18"/>
                <w:color w:val="auto"/>
              </w:rPr>
              <w:t>281</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41 %</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30"/>
              <w:spacing w:after="0"/>
              <w:rPr>
                <w:sz w:val="20"/>
                <w:szCs w:val="20"/>
                <w:color w:val="auto"/>
              </w:rPr>
            </w:pPr>
            <w:r>
              <w:rPr>
                <w:rFonts w:ascii="Arial" w:cs="Arial" w:eastAsia="Arial" w:hAnsi="Arial"/>
                <w:sz w:val="18"/>
                <w:szCs w:val="18"/>
                <w:color w:val="auto"/>
              </w:rPr>
              <w:t>267</w:t>
            </w:r>
          </w:p>
        </w:tc>
        <w:tc>
          <w:tcPr>
            <w:tcW w:w="740" w:type="dxa"/>
            <w:vAlign w:val="bottom"/>
          </w:tcPr>
          <w:p>
            <w:pPr>
              <w:jc w:val="right"/>
              <w:ind w:right="150"/>
              <w:spacing w:after="0"/>
              <w:rPr>
                <w:sz w:val="20"/>
                <w:szCs w:val="20"/>
                <w:color w:val="auto"/>
              </w:rPr>
            </w:pPr>
            <w:r>
              <w:rPr>
                <w:rFonts w:ascii="Arial" w:cs="Arial" w:eastAsia="Arial" w:hAnsi="Arial"/>
                <w:sz w:val="18"/>
                <w:szCs w:val="18"/>
                <w:color w:val="auto"/>
              </w:rPr>
              <w:t>41 %</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10"/>
              <w:spacing w:after="0"/>
              <w:rPr>
                <w:sz w:val="20"/>
                <w:szCs w:val="20"/>
                <w:color w:val="auto"/>
              </w:rPr>
            </w:pPr>
            <w:r>
              <w:rPr>
                <w:rFonts w:ascii="Arial" w:cs="Arial" w:eastAsia="Arial" w:hAnsi="Arial"/>
                <w:sz w:val="18"/>
                <w:szCs w:val="18"/>
                <w:color w:val="auto"/>
              </w:rPr>
              <w:t>264</w:t>
            </w:r>
          </w:p>
        </w:tc>
        <w:tc>
          <w:tcPr>
            <w:tcW w:w="580" w:type="dxa"/>
            <w:vAlign w:val="bottom"/>
          </w:tcPr>
          <w:p>
            <w:pPr>
              <w:jc w:val="right"/>
              <w:spacing w:after="0"/>
              <w:rPr>
                <w:sz w:val="20"/>
                <w:szCs w:val="20"/>
                <w:color w:val="auto"/>
              </w:rPr>
            </w:pPr>
            <w:r>
              <w:rPr>
                <w:rFonts w:ascii="Arial" w:cs="Arial" w:eastAsia="Arial" w:hAnsi="Arial"/>
                <w:sz w:val="18"/>
                <w:szCs w:val="18"/>
                <w:color w:val="auto"/>
              </w:rPr>
              <w:t>42 %</w:t>
            </w:r>
          </w:p>
        </w:tc>
      </w:tr>
      <w:tr>
        <w:trPr>
          <w:trHeight w:val="243"/>
        </w:trPr>
        <w:tc>
          <w:tcPr>
            <w:tcW w:w="4020" w:type="dxa"/>
            <w:vAlign w:val="bottom"/>
          </w:tcPr>
          <w:p>
            <w:pPr>
              <w:ind w:left="280"/>
              <w:spacing w:after="0"/>
              <w:rPr>
                <w:sz w:val="20"/>
                <w:szCs w:val="20"/>
                <w:color w:val="auto"/>
              </w:rPr>
            </w:pPr>
            <w:r>
              <w:rPr>
                <w:rFonts w:ascii="Arial" w:cs="Arial" w:eastAsia="Arial" w:hAnsi="Arial"/>
                <w:sz w:val="18"/>
                <w:szCs w:val="18"/>
                <w:color w:val="auto"/>
              </w:rPr>
              <w:t>SDG&amp;E</w:t>
            </w:r>
          </w:p>
        </w:tc>
        <w:tc>
          <w:tcPr>
            <w:tcW w:w="300" w:type="dxa"/>
            <w:vAlign w:val="bottom"/>
          </w:tcPr>
          <w:p>
            <w:pPr>
              <w:spacing w:after="0"/>
              <w:rPr>
                <w:sz w:val="21"/>
                <w:szCs w:val="21"/>
                <w:color w:val="auto"/>
              </w:rPr>
            </w:pPr>
          </w:p>
        </w:tc>
        <w:tc>
          <w:tcPr>
            <w:tcW w:w="960" w:type="dxa"/>
            <w:vAlign w:val="bottom"/>
          </w:tcPr>
          <w:p>
            <w:pPr>
              <w:jc w:val="right"/>
              <w:ind w:right="230"/>
              <w:spacing w:after="0"/>
              <w:rPr>
                <w:sz w:val="20"/>
                <w:szCs w:val="20"/>
                <w:color w:val="auto"/>
              </w:rPr>
            </w:pPr>
            <w:r>
              <w:rPr>
                <w:rFonts w:ascii="Arial" w:cs="Arial" w:eastAsia="Arial" w:hAnsi="Arial"/>
                <w:sz w:val="18"/>
                <w:szCs w:val="18"/>
                <w:color w:val="auto"/>
              </w:rPr>
              <w:t>301</w:t>
            </w:r>
          </w:p>
        </w:tc>
        <w:tc>
          <w:tcPr>
            <w:tcW w:w="680" w:type="dxa"/>
            <w:vAlign w:val="bottom"/>
          </w:tcPr>
          <w:p>
            <w:pPr>
              <w:jc w:val="right"/>
              <w:ind w:right="210"/>
              <w:spacing w:after="0"/>
              <w:rPr>
                <w:sz w:val="20"/>
                <w:szCs w:val="20"/>
                <w:color w:val="auto"/>
              </w:rPr>
            </w:pPr>
            <w:r>
              <w:rPr>
                <w:rFonts w:ascii="Arial" w:cs="Arial" w:eastAsia="Arial" w:hAnsi="Arial"/>
                <w:sz w:val="18"/>
                <w:szCs w:val="18"/>
                <w:color w:val="auto"/>
              </w:rPr>
              <w:t>44</w:t>
            </w:r>
          </w:p>
        </w:tc>
        <w:tc>
          <w:tcPr>
            <w:tcW w:w="280" w:type="dxa"/>
            <w:vAlign w:val="bottom"/>
          </w:tcPr>
          <w:p>
            <w:pPr>
              <w:spacing w:after="0"/>
              <w:rPr>
                <w:sz w:val="21"/>
                <w:szCs w:val="21"/>
                <w:color w:val="auto"/>
              </w:rPr>
            </w:pPr>
          </w:p>
        </w:tc>
        <w:tc>
          <w:tcPr>
            <w:tcW w:w="800" w:type="dxa"/>
            <w:vAlign w:val="bottom"/>
          </w:tcPr>
          <w:p>
            <w:pPr>
              <w:jc w:val="right"/>
              <w:ind w:right="130"/>
              <w:spacing w:after="0"/>
              <w:rPr>
                <w:sz w:val="20"/>
                <w:szCs w:val="20"/>
                <w:color w:val="auto"/>
              </w:rPr>
            </w:pPr>
            <w:r>
              <w:rPr>
                <w:rFonts w:ascii="Arial" w:cs="Arial" w:eastAsia="Arial" w:hAnsi="Arial"/>
                <w:sz w:val="18"/>
                <w:szCs w:val="18"/>
                <w:color w:val="auto"/>
              </w:rPr>
              <w:t>291</w:t>
            </w:r>
          </w:p>
        </w:tc>
        <w:tc>
          <w:tcPr>
            <w:tcW w:w="740" w:type="dxa"/>
            <w:vAlign w:val="bottom"/>
          </w:tcPr>
          <w:p>
            <w:pPr>
              <w:jc w:val="right"/>
              <w:ind w:right="330"/>
              <w:spacing w:after="0"/>
              <w:rPr>
                <w:sz w:val="20"/>
                <w:szCs w:val="20"/>
                <w:color w:val="auto"/>
              </w:rPr>
            </w:pPr>
            <w:r>
              <w:rPr>
                <w:rFonts w:ascii="Arial" w:cs="Arial" w:eastAsia="Arial" w:hAnsi="Arial"/>
                <w:sz w:val="18"/>
                <w:szCs w:val="18"/>
                <w:color w:val="auto"/>
              </w:rPr>
              <w:t>44</w:t>
            </w:r>
          </w:p>
        </w:tc>
        <w:tc>
          <w:tcPr>
            <w:tcW w:w="240" w:type="dxa"/>
            <w:vAlign w:val="bottom"/>
          </w:tcPr>
          <w:p>
            <w:pPr>
              <w:spacing w:after="0"/>
              <w:rPr>
                <w:sz w:val="21"/>
                <w:szCs w:val="21"/>
                <w:color w:val="auto"/>
              </w:rPr>
            </w:pPr>
          </w:p>
        </w:tc>
        <w:tc>
          <w:tcPr>
            <w:tcW w:w="880" w:type="dxa"/>
            <w:vAlign w:val="bottom"/>
          </w:tcPr>
          <w:p>
            <w:pPr>
              <w:jc w:val="right"/>
              <w:ind w:right="210"/>
              <w:spacing w:after="0"/>
              <w:rPr>
                <w:sz w:val="20"/>
                <w:szCs w:val="20"/>
                <w:color w:val="auto"/>
              </w:rPr>
            </w:pPr>
            <w:r>
              <w:rPr>
                <w:rFonts w:ascii="Arial" w:cs="Arial" w:eastAsia="Arial" w:hAnsi="Arial"/>
                <w:sz w:val="18"/>
                <w:szCs w:val="18"/>
                <w:color w:val="auto"/>
              </w:rPr>
              <w:t>264</w:t>
            </w:r>
          </w:p>
        </w:tc>
        <w:tc>
          <w:tcPr>
            <w:tcW w:w="580" w:type="dxa"/>
            <w:vAlign w:val="bottom"/>
          </w:tcPr>
          <w:p>
            <w:pPr>
              <w:jc w:val="right"/>
              <w:ind w:right="150"/>
              <w:spacing w:after="0"/>
              <w:rPr>
                <w:sz w:val="20"/>
                <w:szCs w:val="20"/>
                <w:color w:val="auto"/>
              </w:rPr>
            </w:pPr>
            <w:r>
              <w:rPr>
                <w:rFonts w:ascii="Arial" w:cs="Arial" w:eastAsia="Arial" w:hAnsi="Arial"/>
                <w:sz w:val="18"/>
                <w:szCs w:val="18"/>
                <w:color w:val="auto"/>
              </w:rPr>
              <w:t>42</w:t>
            </w:r>
          </w:p>
        </w:tc>
      </w:tr>
      <w:tr>
        <w:trPr>
          <w:trHeight w:val="243"/>
        </w:trPr>
        <w:tc>
          <w:tcPr>
            <w:tcW w:w="4020" w:type="dxa"/>
            <w:vAlign w:val="bottom"/>
          </w:tcPr>
          <w:p>
            <w:pPr>
              <w:ind w:left="280"/>
              <w:spacing w:after="0"/>
              <w:rPr>
                <w:sz w:val="20"/>
                <w:szCs w:val="20"/>
                <w:color w:val="auto"/>
              </w:rPr>
            </w:pPr>
            <w:r>
              <w:rPr>
                <w:rFonts w:ascii="Arial" w:cs="Arial" w:eastAsia="Arial" w:hAnsi="Arial"/>
                <w:sz w:val="18"/>
                <w:szCs w:val="18"/>
                <w:color w:val="auto"/>
              </w:rPr>
              <w:t>Sempra Commodities</w:t>
            </w:r>
          </w:p>
        </w:tc>
        <w:tc>
          <w:tcPr>
            <w:tcW w:w="300" w:type="dxa"/>
            <w:vAlign w:val="bottom"/>
          </w:tcPr>
          <w:p>
            <w:pPr>
              <w:spacing w:after="0"/>
              <w:rPr>
                <w:sz w:val="21"/>
                <w:szCs w:val="21"/>
                <w:color w:val="auto"/>
              </w:rPr>
            </w:pPr>
          </w:p>
        </w:tc>
        <w:tc>
          <w:tcPr>
            <w:tcW w:w="960" w:type="dxa"/>
            <w:vAlign w:val="bottom"/>
          </w:tcPr>
          <w:p>
            <w:pPr>
              <w:jc w:val="right"/>
              <w:ind w:right="230"/>
              <w:spacing w:after="0"/>
              <w:rPr>
                <w:sz w:val="20"/>
                <w:szCs w:val="20"/>
                <w:color w:val="auto"/>
              </w:rPr>
            </w:pPr>
            <w:r>
              <w:rPr>
                <w:rFonts w:ascii="Arial" w:cs="Arial" w:eastAsia="Arial" w:hAnsi="Arial"/>
                <w:sz w:val="18"/>
                <w:szCs w:val="18"/>
                <w:color w:val="auto"/>
              </w:rPr>
              <w:t>26</w:t>
            </w:r>
          </w:p>
        </w:tc>
        <w:tc>
          <w:tcPr>
            <w:tcW w:w="680" w:type="dxa"/>
            <w:vAlign w:val="bottom"/>
          </w:tcPr>
          <w:p>
            <w:pPr>
              <w:jc w:val="right"/>
              <w:ind w:right="210"/>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21"/>
                <w:szCs w:val="21"/>
                <w:color w:val="auto"/>
              </w:rPr>
            </w:pPr>
          </w:p>
        </w:tc>
        <w:tc>
          <w:tcPr>
            <w:tcW w:w="800" w:type="dxa"/>
            <w:vAlign w:val="bottom"/>
          </w:tcPr>
          <w:p>
            <w:pPr>
              <w:jc w:val="right"/>
              <w:ind w:right="130"/>
              <w:spacing w:after="0"/>
              <w:rPr>
                <w:sz w:val="20"/>
                <w:szCs w:val="20"/>
                <w:color w:val="auto"/>
              </w:rPr>
            </w:pPr>
            <w:r>
              <w:rPr>
                <w:rFonts w:ascii="Arial" w:cs="Arial" w:eastAsia="Arial" w:hAnsi="Arial"/>
                <w:sz w:val="18"/>
                <w:szCs w:val="18"/>
                <w:color w:val="auto"/>
              </w:rPr>
              <w:t>25</w:t>
            </w:r>
          </w:p>
        </w:tc>
        <w:tc>
          <w:tcPr>
            <w:tcW w:w="740" w:type="dxa"/>
            <w:vAlign w:val="bottom"/>
          </w:tcPr>
          <w:p>
            <w:pPr>
              <w:jc w:val="right"/>
              <w:ind w:right="330"/>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21"/>
                <w:szCs w:val="21"/>
                <w:color w:val="auto"/>
              </w:rPr>
            </w:pPr>
          </w:p>
        </w:tc>
        <w:tc>
          <w:tcPr>
            <w:tcW w:w="880" w:type="dxa"/>
            <w:vAlign w:val="bottom"/>
          </w:tcPr>
          <w:p>
            <w:pPr>
              <w:jc w:val="right"/>
              <w:ind w:right="210"/>
              <w:spacing w:after="0"/>
              <w:rPr>
                <w:sz w:val="20"/>
                <w:szCs w:val="20"/>
                <w:color w:val="auto"/>
              </w:rPr>
            </w:pPr>
            <w:r>
              <w:rPr>
                <w:rFonts w:ascii="Arial" w:cs="Arial" w:eastAsia="Arial" w:hAnsi="Arial"/>
                <w:sz w:val="18"/>
                <w:szCs w:val="18"/>
                <w:color w:val="auto"/>
              </w:rPr>
              <w:t>28</w:t>
            </w:r>
          </w:p>
        </w:tc>
        <w:tc>
          <w:tcPr>
            <w:tcW w:w="580" w:type="dxa"/>
            <w:vAlign w:val="bottom"/>
          </w:tcPr>
          <w:p>
            <w:pPr>
              <w:jc w:val="right"/>
              <w:ind w:right="150"/>
              <w:spacing w:after="0"/>
              <w:rPr>
                <w:sz w:val="20"/>
                <w:szCs w:val="20"/>
                <w:color w:val="auto"/>
              </w:rPr>
            </w:pPr>
            <w:r>
              <w:rPr>
                <w:rFonts w:ascii="Arial" w:cs="Arial" w:eastAsia="Arial" w:hAnsi="Arial"/>
                <w:sz w:val="18"/>
                <w:szCs w:val="18"/>
                <w:color w:val="auto"/>
              </w:rPr>
              <w:t>5</w:t>
            </w:r>
          </w:p>
        </w:tc>
      </w:tr>
      <w:tr>
        <w:trPr>
          <w:trHeight w:val="243"/>
        </w:trPr>
        <w:tc>
          <w:tcPr>
            <w:tcW w:w="4020" w:type="dxa"/>
            <w:vAlign w:val="bottom"/>
          </w:tcPr>
          <w:p>
            <w:pPr>
              <w:ind w:left="280"/>
              <w:spacing w:after="0"/>
              <w:rPr>
                <w:sz w:val="20"/>
                <w:szCs w:val="20"/>
                <w:color w:val="auto"/>
              </w:rPr>
            </w:pPr>
            <w:r>
              <w:rPr>
                <w:rFonts w:ascii="Arial" w:cs="Arial" w:eastAsia="Arial" w:hAnsi="Arial"/>
                <w:sz w:val="18"/>
                <w:szCs w:val="18"/>
                <w:color w:val="auto"/>
              </w:rPr>
              <w:t>Sempra Generation</w:t>
            </w:r>
          </w:p>
        </w:tc>
        <w:tc>
          <w:tcPr>
            <w:tcW w:w="300" w:type="dxa"/>
            <w:vAlign w:val="bottom"/>
          </w:tcPr>
          <w:p>
            <w:pPr>
              <w:spacing w:after="0"/>
              <w:rPr>
                <w:sz w:val="21"/>
                <w:szCs w:val="21"/>
                <w:color w:val="auto"/>
              </w:rPr>
            </w:pPr>
          </w:p>
        </w:tc>
        <w:tc>
          <w:tcPr>
            <w:tcW w:w="960" w:type="dxa"/>
            <w:vAlign w:val="bottom"/>
          </w:tcPr>
          <w:p>
            <w:pPr>
              <w:jc w:val="right"/>
              <w:ind w:right="230"/>
              <w:spacing w:after="0"/>
              <w:rPr>
                <w:sz w:val="20"/>
                <w:szCs w:val="20"/>
                <w:color w:val="auto"/>
              </w:rPr>
            </w:pPr>
            <w:r>
              <w:rPr>
                <w:rFonts w:ascii="Arial" w:cs="Arial" w:eastAsia="Arial" w:hAnsi="Arial"/>
                <w:sz w:val="18"/>
                <w:szCs w:val="18"/>
                <w:color w:val="auto"/>
              </w:rPr>
              <w:t>56</w:t>
            </w:r>
          </w:p>
        </w:tc>
        <w:tc>
          <w:tcPr>
            <w:tcW w:w="680" w:type="dxa"/>
            <w:vAlign w:val="bottom"/>
          </w:tcPr>
          <w:p>
            <w:pPr>
              <w:jc w:val="right"/>
              <w:ind w:right="210"/>
              <w:spacing w:after="0"/>
              <w:rPr>
                <w:sz w:val="20"/>
                <w:szCs w:val="20"/>
                <w:color w:val="auto"/>
              </w:rPr>
            </w:pPr>
            <w:r>
              <w:rPr>
                <w:rFonts w:ascii="Arial" w:cs="Arial" w:eastAsia="Arial" w:hAnsi="Arial"/>
                <w:sz w:val="18"/>
                <w:szCs w:val="18"/>
                <w:color w:val="auto"/>
              </w:rPr>
              <w:t>8</w:t>
            </w:r>
          </w:p>
        </w:tc>
        <w:tc>
          <w:tcPr>
            <w:tcW w:w="280" w:type="dxa"/>
            <w:vAlign w:val="bottom"/>
          </w:tcPr>
          <w:p>
            <w:pPr>
              <w:spacing w:after="0"/>
              <w:rPr>
                <w:sz w:val="21"/>
                <w:szCs w:val="21"/>
                <w:color w:val="auto"/>
              </w:rPr>
            </w:pPr>
          </w:p>
        </w:tc>
        <w:tc>
          <w:tcPr>
            <w:tcW w:w="800" w:type="dxa"/>
            <w:vAlign w:val="bottom"/>
          </w:tcPr>
          <w:p>
            <w:pPr>
              <w:jc w:val="right"/>
              <w:ind w:right="130"/>
              <w:spacing w:after="0"/>
              <w:rPr>
                <w:sz w:val="20"/>
                <w:szCs w:val="20"/>
                <w:color w:val="auto"/>
              </w:rPr>
            </w:pPr>
            <w:r>
              <w:rPr>
                <w:rFonts w:ascii="Arial" w:cs="Arial" w:eastAsia="Arial" w:hAnsi="Arial"/>
                <w:sz w:val="18"/>
                <w:szCs w:val="18"/>
                <w:color w:val="auto"/>
              </w:rPr>
              <w:t>46</w:t>
            </w:r>
          </w:p>
        </w:tc>
        <w:tc>
          <w:tcPr>
            <w:tcW w:w="740" w:type="dxa"/>
            <w:vAlign w:val="bottom"/>
          </w:tcPr>
          <w:p>
            <w:pPr>
              <w:jc w:val="right"/>
              <w:ind w:right="330"/>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21"/>
                <w:szCs w:val="21"/>
                <w:color w:val="auto"/>
              </w:rPr>
            </w:pPr>
          </w:p>
        </w:tc>
        <w:tc>
          <w:tcPr>
            <w:tcW w:w="880" w:type="dxa"/>
            <w:vAlign w:val="bottom"/>
          </w:tcPr>
          <w:p>
            <w:pPr>
              <w:jc w:val="right"/>
              <w:ind w:right="210"/>
              <w:spacing w:after="0"/>
              <w:rPr>
                <w:sz w:val="20"/>
                <w:szCs w:val="20"/>
                <w:color w:val="auto"/>
              </w:rPr>
            </w:pPr>
            <w:r>
              <w:rPr>
                <w:rFonts w:ascii="Arial" w:cs="Arial" w:eastAsia="Arial" w:hAnsi="Arial"/>
                <w:sz w:val="18"/>
                <w:szCs w:val="18"/>
                <w:color w:val="auto"/>
              </w:rPr>
              <w:t>39</w:t>
            </w:r>
          </w:p>
        </w:tc>
        <w:tc>
          <w:tcPr>
            <w:tcW w:w="580" w:type="dxa"/>
            <w:vAlign w:val="bottom"/>
          </w:tcPr>
          <w:p>
            <w:pPr>
              <w:jc w:val="right"/>
              <w:ind w:right="150"/>
              <w:spacing w:after="0"/>
              <w:rPr>
                <w:sz w:val="20"/>
                <w:szCs w:val="20"/>
                <w:color w:val="auto"/>
              </w:rPr>
            </w:pPr>
            <w:r>
              <w:rPr>
                <w:rFonts w:ascii="Arial" w:cs="Arial" w:eastAsia="Arial" w:hAnsi="Arial"/>
                <w:sz w:val="18"/>
                <w:szCs w:val="18"/>
                <w:color w:val="auto"/>
              </w:rPr>
              <w:t>6</w:t>
            </w:r>
          </w:p>
        </w:tc>
      </w:tr>
      <w:tr>
        <w:trPr>
          <w:trHeight w:val="243"/>
        </w:trPr>
        <w:tc>
          <w:tcPr>
            <w:tcW w:w="4020" w:type="dxa"/>
            <w:vAlign w:val="bottom"/>
          </w:tcPr>
          <w:p>
            <w:pPr>
              <w:ind w:left="280"/>
              <w:spacing w:after="0"/>
              <w:rPr>
                <w:sz w:val="20"/>
                <w:szCs w:val="20"/>
                <w:color w:val="auto"/>
              </w:rPr>
            </w:pPr>
            <w:r>
              <w:rPr>
                <w:rFonts w:ascii="Arial" w:cs="Arial" w:eastAsia="Arial" w:hAnsi="Arial"/>
                <w:sz w:val="18"/>
                <w:szCs w:val="18"/>
                <w:color w:val="auto"/>
              </w:rPr>
              <w:t>Sempra Pipelines &amp; Storage</w:t>
            </w:r>
          </w:p>
        </w:tc>
        <w:tc>
          <w:tcPr>
            <w:tcW w:w="300" w:type="dxa"/>
            <w:vAlign w:val="bottom"/>
          </w:tcPr>
          <w:p>
            <w:pPr>
              <w:spacing w:after="0"/>
              <w:rPr>
                <w:sz w:val="21"/>
                <w:szCs w:val="21"/>
                <w:color w:val="auto"/>
              </w:rPr>
            </w:pPr>
          </w:p>
        </w:tc>
        <w:tc>
          <w:tcPr>
            <w:tcW w:w="960" w:type="dxa"/>
            <w:vAlign w:val="bottom"/>
          </w:tcPr>
          <w:p>
            <w:pPr>
              <w:jc w:val="right"/>
              <w:ind w:right="230"/>
              <w:spacing w:after="0"/>
              <w:rPr>
                <w:sz w:val="20"/>
                <w:szCs w:val="20"/>
                <w:color w:val="auto"/>
              </w:rPr>
            </w:pPr>
            <w:r>
              <w:rPr>
                <w:rFonts w:ascii="Arial" w:cs="Arial" w:eastAsia="Arial" w:hAnsi="Arial"/>
                <w:sz w:val="18"/>
                <w:szCs w:val="18"/>
                <w:color w:val="auto"/>
              </w:rPr>
              <w:t>11</w:t>
            </w:r>
          </w:p>
        </w:tc>
        <w:tc>
          <w:tcPr>
            <w:tcW w:w="680" w:type="dxa"/>
            <w:vAlign w:val="bottom"/>
          </w:tcPr>
          <w:p>
            <w:pPr>
              <w:jc w:val="right"/>
              <w:ind w:right="210"/>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21"/>
                <w:szCs w:val="21"/>
                <w:color w:val="auto"/>
              </w:rPr>
            </w:pPr>
          </w:p>
        </w:tc>
        <w:tc>
          <w:tcPr>
            <w:tcW w:w="800" w:type="dxa"/>
            <w:vAlign w:val="bottom"/>
          </w:tcPr>
          <w:p>
            <w:pPr>
              <w:jc w:val="right"/>
              <w:ind w:right="130"/>
              <w:spacing w:after="0"/>
              <w:rPr>
                <w:sz w:val="20"/>
                <w:szCs w:val="20"/>
                <w:color w:val="auto"/>
              </w:rPr>
            </w:pPr>
            <w:r>
              <w:rPr>
                <w:rFonts w:ascii="Arial" w:cs="Arial" w:eastAsia="Arial" w:hAnsi="Arial"/>
                <w:sz w:val="18"/>
                <w:szCs w:val="18"/>
                <w:color w:val="auto"/>
              </w:rPr>
              <w:t>12</w:t>
            </w:r>
          </w:p>
        </w:tc>
        <w:tc>
          <w:tcPr>
            <w:tcW w:w="740" w:type="dxa"/>
            <w:vAlign w:val="bottom"/>
          </w:tcPr>
          <w:p>
            <w:pPr>
              <w:jc w:val="right"/>
              <w:ind w:right="33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21"/>
                <w:szCs w:val="21"/>
                <w:color w:val="auto"/>
              </w:rPr>
            </w:pPr>
          </w:p>
        </w:tc>
        <w:tc>
          <w:tcPr>
            <w:tcW w:w="880" w:type="dxa"/>
            <w:vAlign w:val="bottom"/>
          </w:tcPr>
          <w:p>
            <w:pPr>
              <w:jc w:val="right"/>
              <w:ind w:right="210"/>
              <w:spacing w:after="0"/>
              <w:rPr>
                <w:sz w:val="20"/>
                <w:szCs w:val="20"/>
                <w:color w:val="auto"/>
              </w:rPr>
            </w:pPr>
            <w:r>
              <w:rPr>
                <w:rFonts w:ascii="Arial" w:cs="Arial" w:eastAsia="Arial" w:hAnsi="Arial"/>
                <w:sz w:val="18"/>
                <w:szCs w:val="18"/>
                <w:color w:val="auto"/>
              </w:rPr>
              <w:t>12</w:t>
            </w:r>
          </w:p>
        </w:tc>
        <w:tc>
          <w:tcPr>
            <w:tcW w:w="580" w:type="dxa"/>
            <w:vAlign w:val="bottom"/>
          </w:tcPr>
          <w:p>
            <w:pPr>
              <w:jc w:val="right"/>
              <w:ind w:right="150"/>
              <w:spacing w:after="0"/>
              <w:rPr>
                <w:sz w:val="20"/>
                <w:szCs w:val="20"/>
                <w:color w:val="auto"/>
              </w:rPr>
            </w:pPr>
            <w:r>
              <w:rPr>
                <w:rFonts w:ascii="Arial" w:cs="Arial" w:eastAsia="Arial" w:hAnsi="Arial"/>
                <w:sz w:val="18"/>
                <w:szCs w:val="18"/>
                <w:color w:val="auto"/>
              </w:rPr>
              <w:t>2</w:t>
            </w:r>
          </w:p>
        </w:tc>
      </w:tr>
      <w:tr>
        <w:trPr>
          <w:trHeight w:val="257"/>
        </w:trPr>
        <w:tc>
          <w:tcPr>
            <w:tcW w:w="4020" w:type="dxa"/>
            <w:vAlign w:val="bottom"/>
          </w:tcPr>
          <w:p>
            <w:pPr>
              <w:ind w:left="280"/>
              <w:spacing w:after="0"/>
              <w:rPr>
                <w:sz w:val="20"/>
                <w:szCs w:val="20"/>
                <w:color w:val="auto"/>
              </w:rPr>
            </w:pPr>
            <w:r>
              <w:rPr>
                <w:rFonts w:ascii="Arial" w:cs="Arial" w:eastAsia="Arial" w:hAnsi="Arial"/>
                <w:sz w:val="18"/>
                <w:szCs w:val="18"/>
                <w:color w:val="auto"/>
              </w:rPr>
              <w:t>All other</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11</w:t>
            </w:r>
          </w:p>
        </w:tc>
        <w:tc>
          <w:tcPr>
            <w:tcW w:w="6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w:t>
            </w:r>
          </w:p>
        </w:tc>
        <w:tc>
          <w:tcPr>
            <w:tcW w:w="2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16</w:t>
            </w:r>
          </w:p>
        </w:tc>
        <w:tc>
          <w:tcPr>
            <w:tcW w:w="7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w:t>
            </w: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19</w:t>
            </w:r>
          </w:p>
        </w:tc>
        <w:tc>
          <w:tcPr>
            <w:tcW w:w="5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w:t>
            </w:r>
          </w:p>
        </w:tc>
      </w:tr>
      <w:tr>
        <w:trPr>
          <w:trHeight w:val="257"/>
        </w:trPr>
        <w:tc>
          <w:tcPr>
            <w:tcW w:w="402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686</w:t>
            </w: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100 %</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657</w:t>
            </w:r>
          </w:p>
        </w:tc>
        <w:tc>
          <w:tcPr>
            <w:tcW w:w="7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3"/>
              </w:rPr>
              <w:t>100 %</w:t>
            </w: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626</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100 %</w:t>
            </w:r>
          </w:p>
        </w:tc>
      </w:t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42"/>
        </w:trPr>
        <w:tc>
          <w:tcPr>
            <w:tcW w:w="4020" w:type="dxa"/>
            <w:vAlign w:val="bottom"/>
          </w:tcPr>
          <w:p>
            <w:pPr>
              <w:ind w:left="280"/>
              <w:spacing w:after="0"/>
              <w:rPr>
                <w:sz w:val="20"/>
                <w:szCs w:val="20"/>
                <w:color w:val="auto"/>
              </w:rPr>
            </w:pPr>
            <w:r>
              <w:rPr>
                <w:rFonts w:ascii="Arial" w:cs="Arial" w:eastAsia="Arial" w:hAnsi="Arial"/>
                <w:sz w:val="18"/>
                <w:szCs w:val="18"/>
                <w:color w:val="auto"/>
              </w:rPr>
              <w:t>SoCalGas</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30"/>
              <w:spacing w:after="0"/>
              <w:rPr>
                <w:sz w:val="20"/>
                <w:szCs w:val="20"/>
                <w:color w:val="auto"/>
              </w:rPr>
            </w:pPr>
            <w:r>
              <w:rPr>
                <w:rFonts w:ascii="Arial" w:cs="Arial" w:eastAsia="Arial" w:hAnsi="Arial"/>
                <w:sz w:val="18"/>
                <w:szCs w:val="18"/>
                <w:color w:val="auto"/>
              </w:rPr>
              <w:t>160</w:t>
            </w:r>
          </w:p>
        </w:tc>
        <w:tc>
          <w:tcPr>
            <w:tcW w:w="68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30"/>
              <w:spacing w:after="0"/>
              <w:rPr>
                <w:sz w:val="20"/>
                <w:szCs w:val="20"/>
                <w:color w:val="auto"/>
              </w:rPr>
            </w:pPr>
            <w:r>
              <w:rPr>
                <w:rFonts w:ascii="Arial" w:cs="Arial" w:eastAsia="Arial" w:hAnsi="Arial"/>
                <w:sz w:val="18"/>
                <w:szCs w:val="18"/>
                <w:color w:val="auto"/>
              </w:rPr>
              <w:t>173</w:t>
            </w:r>
          </w:p>
        </w:tc>
        <w:tc>
          <w:tcPr>
            <w:tcW w:w="740" w:type="dxa"/>
            <w:vAlign w:val="bottom"/>
          </w:tcPr>
          <w:p>
            <w:pPr>
              <w:spacing w:after="0"/>
              <w:rPr>
                <w:sz w:val="21"/>
                <w:szCs w:val="21"/>
                <w:color w:val="auto"/>
              </w:rPr>
            </w:pP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10"/>
              <w:spacing w:after="0"/>
              <w:rPr>
                <w:sz w:val="20"/>
                <w:szCs w:val="20"/>
                <w:color w:val="auto"/>
              </w:rPr>
            </w:pPr>
            <w:r>
              <w:rPr>
                <w:rFonts w:ascii="Arial" w:cs="Arial" w:eastAsia="Arial" w:hAnsi="Arial"/>
                <w:sz w:val="18"/>
                <w:szCs w:val="18"/>
                <w:color w:val="auto"/>
              </w:rPr>
              <w:t>97</w:t>
            </w:r>
          </w:p>
        </w:tc>
        <w:tc>
          <w:tcPr>
            <w:tcW w:w="580" w:type="dxa"/>
            <w:vAlign w:val="bottom"/>
          </w:tcPr>
          <w:p>
            <w:pPr>
              <w:spacing w:after="0"/>
              <w:rPr>
                <w:sz w:val="21"/>
                <w:szCs w:val="21"/>
                <w:color w:val="auto"/>
              </w:rPr>
            </w:pPr>
          </w:p>
        </w:tc>
      </w:tr>
      <w:tr>
        <w:trPr>
          <w:trHeight w:val="243"/>
        </w:trPr>
        <w:tc>
          <w:tcPr>
            <w:tcW w:w="4020" w:type="dxa"/>
            <w:vAlign w:val="bottom"/>
          </w:tcPr>
          <w:p>
            <w:pPr>
              <w:ind w:left="280"/>
              <w:spacing w:after="0"/>
              <w:rPr>
                <w:sz w:val="20"/>
                <w:szCs w:val="20"/>
                <w:color w:val="auto"/>
              </w:rPr>
            </w:pPr>
            <w:r>
              <w:rPr>
                <w:rFonts w:ascii="Arial" w:cs="Arial" w:eastAsia="Arial" w:hAnsi="Arial"/>
                <w:sz w:val="18"/>
                <w:szCs w:val="18"/>
                <w:color w:val="auto"/>
              </w:rPr>
              <w:t>SDG&amp;E</w:t>
            </w:r>
          </w:p>
        </w:tc>
        <w:tc>
          <w:tcPr>
            <w:tcW w:w="300" w:type="dxa"/>
            <w:vAlign w:val="bottom"/>
          </w:tcPr>
          <w:p>
            <w:pPr>
              <w:spacing w:after="0"/>
              <w:rPr>
                <w:sz w:val="21"/>
                <w:szCs w:val="21"/>
                <w:color w:val="auto"/>
              </w:rPr>
            </w:pPr>
          </w:p>
        </w:tc>
        <w:tc>
          <w:tcPr>
            <w:tcW w:w="960" w:type="dxa"/>
            <w:vAlign w:val="bottom"/>
          </w:tcPr>
          <w:p>
            <w:pPr>
              <w:jc w:val="right"/>
              <w:ind w:right="230"/>
              <w:spacing w:after="0"/>
              <w:rPr>
                <w:sz w:val="20"/>
                <w:szCs w:val="20"/>
                <w:color w:val="auto"/>
              </w:rPr>
            </w:pPr>
            <w:r>
              <w:rPr>
                <w:rFonts w:ascii="Arial" w:cs="Arial" w:eastAsia="Arial" w:hAnsi="Arial"/>
                <w:sz w:val="18"/>
                <w:szCs w:val="18"/>
                <w:color w:val="auto"/>
              </w:rPr>
              <w:t>135</w:t>
            </w: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jc w:val="right"/>
              <w:ind w:right="130"/>
              <w:spacing w:after="0"/>
              <w:rPr>
                <w:sz w:val="20"/>
                <w:szCs w:val="20"/>
                <w:color w:val="auto"/>
              </w:rPr>
            </w:pPr>
            <w:r>
              <w:rPr>
                <w:rFonts w:ascii="Arial" w:cs="Arial" w:eastAsia="Arial" w:hAnsi="Arial"/>
                <w:sz w:val="18"/>
                <w:szCs w:val="18"/>
                <w:color w:val="auto"/>
              </w:rPr>
              <w:t>152</w:t>
            </w: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210"/>
              <w:spacing w:after="0"/>
              <w:rPr>
                <w:sz w:val="20"/>
                <w:szCs w:val="20"/>
                <w:color w:val="auto"/>
              </w:rPr>
            </w:pPr>
            <w:r>
              <w:rPr>
                <w:rFonts w:ascii="Arial" w:cs="Arial" w:eastAsia="Arial" w:hAnsi="Arial"/>
                <w:sz w:val="18"/>
                <w:szCs w:val="18"/>
                <w:color w:val="auto"/>
              </w:rPr>
              <w:t>89</w:t>
            </w:r>
          </w:p>
        </w:tc>
        <w:tc>
          <w:tcPr>
            <w:tcW w:w="580" w:type="dxa"/>
            <w:vAlign w:val="bottom"/>
          </w:tcPr>
          <w:p>
            <w:pPr>
              <w:spacing w:after="0"/>
              <w:rPr>
                <w:sz w:val="21"/>
                <w:szCs w:val="21"/>
                <w:color w:val="auto"/>
              </w:rPr>
            </w:pPr>
          </w:p>
        </w:tc>
      </w:tr>
      <w:tr>
        <w:trPr>
          <w:trHeight w:val="243"/>
        </w:trPr>
        <w:tc>
          <w:tcPr>
            <w:tcW w:w="4020" w:type="dxa"/>
            <w:vAlign w:val="bottom"/>
          </w:tcPr>
          <w:p>
            <w:pPr>
              <w:ind w:left="280"/>
              <w:spacing w:after="0"/>
              <w:rPr>
                <w:sz w:val="20"/>
                <w:szCs w:val="20"/>
                <w:color w:val="auto"/>
              </w:rPr>
            </w:pPr>
            <w:r>
              <w:rPr>
                <w:rFonts w:ascii="Arial" w:cs="Arial" w:eastAsia="Arial" w:hAnsi="Arial"/>
                <w:sz w:val="18"/>
                <w:szCs w:val="18"/>
                <w:color w:val="auto"/>
              </w:rPr>
              <w:t>Sempra Commodities</w:t>
            </w:r>
          </w:p>
        </w:tc>
        <w:tc>
          <w:tcPr>
            <w:tcW w:w="300" w:type="dxa"/>
            <w:vAlign w:val="bottom"/>
          </w:tcPr>
          <w:p>
            <w:pPr>
              <w:spacing w:after="0"/>
              <w:rPr>
                <w:sz w:val="21"/>
                <w:szCs w:val="21"/>
                <w:color w:val="auto"/>
              </w:rPr>
            </w:pPr>
          </w:p>
        </w:tc>
        <w:tc>
          <w:tcPr>
            <w:tcW w:w="960" w:type="dxa"/>
            <w:vAlign w:val="bottom"/>
          </w:tcPr>
          <w:p>
            <w:pPr>
              <w:jc w:val="right"/>
              <w:ind w:right="230"/>
              <w:spacing w:after="0"/>
              <w:rPr>
                <w:sz w:val="20"/>
                <w:szCs w:val="20"/>
                <w:color w:val="auto"/>
              </w:rPr>
            </w:pPr>
            <w:r>
              <w:rPr>
                <w:rFonts w:ascii="Arial" w:cs="Arial" w:eastAsia="Arial" w:hAnsi="Arial"/>
                <w:sz w:val="18"/>
                <w:szCs w:val="18"/>
                <w:color w:val="auto"/>
              </w:rPr>
              <w:t>252</w:t>
            </w: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jc w:val="right"/>
              <w:ind w:right="130"/>
              <w:spacing w:after="0"/>
              <w:rPr>
                <w:sz w:val="20"/>
                <w:szCs w:val="20"/>
                <w:color w:val="auto"/>
              </w:rPr>
            </w:pPr>
            <w:r>
              <w:rPr>
                <w:rFonts w:ascii="Arial" w:cs="Arial" w:eastAsia="Arial" w:hAnsi="Arial"/>
                <w:sz w:val="18"/>
                <w:szCs w:val="18"/>
                <w:color w:val="auto"/>
              </w:rPr>
              <w:t>294</w:t>
            </w: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210"/>
              <w:spacing w:after="0"/>
              <w:rPr>
                <w:sz w:val="20"/>
                <w:szCs w:val="20"/>
                <w:color w:val="auto"/>
              </w:rPr>
            </w:pPr>
            <w:r>
              <w:rPr>
                <w:rFonts w:ascii="Arial" w:cs="Arial" w:eastAsia="Arial" w:hAnsi="Arial"/>
                <w:sz w:val="18"/>
                <w:szCs w:val="18"/>
                <w:color w:val="auto"/>
              </w:rPr>
              <w:t>192</w:t>
            </w:r>
          </w:p>
        </w:tc>
        <w:tc>
          <w:tcPr>
            <w:tcW w:w="580" w:type="dxa"/>
            <w:vAlign w:val="bottom"/>
          </w:tcPr>
          <w:p>
            <w:pPr>
              <w:spacing w:after="0"/>
              <w:rPr>
                <w:sz w:val="21"/>
                <w:szCs w:val="21"/>
                <w:color w:val="auto"/>
              </w:rPr>
            </w:pPr>
          </w:p>
        </w:tc>
      </w:tr>
      <w:tr>
        <w:trPr>
          <w:trHeight w:val="243"/>
        </w:trPr>
        <w:tc>
          <w:tcPr>
            <w:tcW w:w="4020" w:type="dxa"/>
            <w:vAlign w:val="bottom"/>
          </w:tcPr>
          <w:p>
            <w:pPr>
              <w:ind w:left="280"/>
              <w:spacing w:after="0"/>
              <w:rPr>
                <w:sz w:val="20"/>
                <w:szCs w:val="20"/>
                <w:color w:val="auto"/>
              </w:rPr>
            </w:pPr>
            <w:r>
              <w:rPr>
                <w:rFonts w:ascii="Arial" w:cs="Arial" w:eastAsia="Arial" w:hAnsi="Arial"/>
                <w:sz w:val="18"/>
                <w:szCs w:val="18"/>
                <w:color w:val="auto"/>
              </w:rPr>
              <w:t>Sempra Generation</w:t>
            </w:r>
          </w:p>
        </w:tc>
        <w:tc>
          <w:tcPr>
            <w:tcW w:w="300" w:type="dxa"/>
            <w:vAlign w:val="bottom"/>
          </w:tcPr>
          <w:p>
            <w:pPr>
              <w:spacing w:after="0"/>
              <w:rPr>
                <w:sz w:val="21"/>
                <w:szCs w:val="21"/>
                <w:color w:val="auto"/>
              </w:rPr>
            </w:pPr>
          </w:p>
        </w:tc>
        <w:tc>
          <w:tcPr>
            <w:tcW w:w="960" w:type="dxa"/>
            <w:vAlign w:val="bottom"/>
          </w:tcPr>
          <w:p>
            <w:pPr>
              <w:jc w:val="right"/>
              <w:ind w:right="230"/>
              <w:spacing w:after="0"/>
              <w:rPr>
                <w:sz w:val="20"/>
                <w:szCs w:val="20"/>
                <w:color w:val="auto"/>
              </w:rPr>
            </w:pPr>
            <w:r>
              <w:rPr>
                <w:rFonts w:ascii="Arial" w:cs="Arial" w:eastAsia="Arial" w:hAnsi="Arial"/>
                <w:sz w:val="18"/>
                <w:szCs w:val="18"/>
                <w:color w:val="auto"/>
              </w:rPr>
              <w:t>111</w:t>
            </w: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jc w:val="right"/>
              <w:ind w:right="130"/>
              <w:spacing w:after="0"/>
              <w:rPr>
                <w:sz w:val="20"/>
                <w:szCs w:val="20"/>
                <w:color w:val="auto"/>
              </w:rPr>
            </w:pPr>
            <w:r>
              <w:rPr>
                <w:rFonts w:ascii="Arial" w:cs="Arial" w:eastAsia="Arial" w:hAnsi="Arial"/>
                <w:sz w:val="18"/>
                <w:szCs w:val="18"/>
                <w:color w:val="auto"/>
              </w:rPr>
              <w:t>243</w:t>
            </w: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210"/>
              <w:spacing w:after="0"/>
              <w:rPr>
                <w:sz w:val="20"/>
                <w:szCs w:val="20"/>
                <w:color w:val="auto"/>
              </w:rPr>
            </w:pPr>
            <w:r>
              <w:rPr>
                <w:rFonts w:ascii="Arial" w:cs="Arial" w:eastAsia="Arial" w:hAnsi="Arial"/>
                <w:sz w:val="18"/>
                <w:szCs w:val="18"/>
                <w:color w:val="auto"/>
              </w:rPr>
              <w:t>103</w:t>
            </w:r>
          </w:p>
        </w:tc>
        <w:tc>
          <w:tcPr>
            <w:tcW w:w="580" w:type="dxa"/>
            <w:vAlign w:val="bottom"/>
          </w:tcPr>
          <w:p>
            <w:pPr>
              <w:spacing w:after="0"/>
              <w:rPr>
                <w:sz w:val="21"/>
                <w:szCs w:val="21"/>
                <w:color w:val="auto"/>
              </w:rPr>
            </w:pPr>
          </w:p>
        </w:tc>
      </w:tr>
      <w:tr>
        <w:trPr>
          <w:trHeight w:val="243"/>
        </w:trPr>
        <w:tc>
          <w:tcPr>
            <w:tcW w:w="4020" w:type="dxa"/>
            <w:vAlign w:val="bottom"/>
          </w:tcPr>
          <w:p>
            <w:pPr>
              <w:ind w:left="280"/>
              <w:spacing w:after="0"/>
              <w:rPr>
                <w:sz w:val="20"/>
                <w:szCs w:val="20"/>
                <w:color w:val="auto"/>
              </w:rPr>
            </w:pPr>
            <w:r>
              <w:rPr>
                <w:rFonts w:ascii="Arial" w:cs="Arial" w:eastAsia="Arial" w:hAnsi="Arial"/>
                <w:sz w:val="18"/>
                <w:szCs w:val="18"/>
                <w:color w:val="auto"/>
              </w:rPr>
              <w:t>Sempra Pipelines &amp; Storage</w:t>
            </w:r>
          </w:p>
        </w:tc>
        <w:tc>
          <w:tcPr>
            <w:tcW w:w="300" w:type="dxa"/>
            <w:vAlign w:val="bottom"/>
          </w:tcPr>
          <w:p>
            <w:pPr>
              <w:spacing w:after="0"/>
              <w:rPr>
                <w:sz w:val="21"/>
                <w:szCs w:val="21"/>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(2 )</w:t>
            </w: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jc w:val="right"/>
              <w:ind w:right="130"/>
              <w:spacing w:after="0"/>
              <w:rPr>
                <w:sz w:val="20"/>
                <w:szCs w:val="20"/>
                <w:color w:val="auto"/>
              </w:rPr>
            </w:pPr>
            <w:r>
              <w:rPr>
                <w:rFonts w:ascii="Arial" w:cs="Arial" w:eastAsia="Arial" w:hAnsi="Arial"/>
                <w:sz w:val="18"/>
                <w:szCs w:val="18"/>
                <w:color w:val="auto"/>
              </w:rPr>
              <w:t>12</w:t>
            </w: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210"/>
              <w:spacing w:after="0"/>
              <w:rPr>
                <w:sz w:val="20"/>
                <w:szCs w:val="20"/>
                <w:color w:val="auto"/>
              </w:rPr>
            </w:pPr>
            <w:r>
              <w:rPr>
                <w:rFonts w:ascii="Arial" w:cs="Arial" w:eastAsia="Arial" w:hAnsi="Arial"/>
                <w:sz w:val="18"/>
                <w:szCs w:val="18"/>
                <w:color w:val="auto"/>
              </w:rPr>
              <w:t>3</w:t>
            </w:r>
          </w:p>
        </w:tc>
        <w:tc>
          <w:tcPr>
            <w:tcW w:w="580" w:type="dxa"/>
            <w:vAlign w:val="bottom"/>
          </w:tcPr>
          <w:p>
            <w:pPr>
              <w:spacing w:after="0"/>
              <w:rPr>
                <w:sz w:val="21"/>
                <w:szCs w:val="21"/>
                <w:color w:val="auto"/>
              </w:rPr>
            </w:pPr>
          </w:p>
        </w:tc>
      </w:tr>
      <w:tr>
        <w:trPr>
          <w:trHeight w:val="257"/>
        </w:trPr>
        <w:tc>
          <w:tcPr>
            <w:tcW w:w="4020" w:type="dxa"/>
            <w:vAlign w:val="bottom"/>
          </w:tcPr>
          <w:p>
            <w:pPr>
              <w:ind w:left="280"/>
              <w:spacing w:after="0"/>
              <w:rPr>
                <w:sz w:val="20"/>
                <w:szCs w:val="20"/>
                <w:color w:val="auto"/>
              </w:rPr>
            </w:pPr>
            <w:r>
              <w:rPr>
                <w:rFonts w:ascii="Arial" w:cs="Arial" w:eastAsia="Arial" w:hAnsi="Arial"/>
                <w:sz w:val="18"/>
                <w:szCs w:val="18"/>
                <w:color w:val="auto"/>
              </w:rPr>
              <w:t>All other</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(132 )</w:t>
            </w:r>
          </w:p>
        </w:tc>
        <w:tc>
          <w:tcPr>
            <w:tcW w:w="68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(233 )</w:t>
            </w:r>
          </w:p>
        </w:tc>
        <w:tc>
          <w:tcPr>
            <w:tcW w:w="7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(450 )</w:t>
            </w:r>
          </w:p>
        </w:tc>
        <w:tc>
          <w:tcPr>
            <w:tcW w:w="580" w:type="dxa"/>
            <w:vAlign w:val="bottom"/>
            <w:tcBorders>
              <w:bottom w:val="single" w:sz="8" w:color="auto"/>
            </w:tcBorders>
          </w:tcPr>
          <w:p>
            <w:pPr>
              <w:spacing w:after="0"/>
              <w:rPr>
                <w:sz w:val="22"/>
                <w:szCs w:val="22"/>
                <w:color w:val="auto"/>
              </w:rPr>
            </w:pPr>
          </w:p>
        </w:tc>
      </w:tr>
      <w:tr>
        <w:trPr>
          <w:trHeight w:val="257"/>
        </w:trPr>
        <w:tc>
          <w:tcPr>
            <w:tcW w:w="402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524</w:t>
            </w:r>
          </w:p>
        </w:tc>
        <w:tc>
          <w:tcPr>
            <w:tcW w:w="68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641</w:t>
            </w:r>
          </w:p>
        </w:tc>
        <w:tc>
          <w:tcPr>
            <w:tcW w:w="7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34</w:t>
            </w:r>
          </w:p>
        </w:tc>
        <w:tc>
          <w:tcPr>
            <w:tcW w:w="580" w:type="dxa"/>
            <w:vAlign w:val="bottom"/>
            <w:tcBorders>
              <w:bottom w:val="single" w:sz="8" w:color="auto"/>
            </w:tcBorders>
          </w:tcPr>
          <w:p>
            <w:pPr>
              <w:spacing w:after="0"/>
              <w:rPr>
                <w:sz w:val="22"/>
                <w:szCs w:val="22"/>
                <w:color w:val="auto"/>
              </w:rPr>
            </w:pPr>
          </w:p>
        </w:tc>
      </w:tr>
      <w:tr>
        <w:trPr>
          <w:trHeight w:val="215"/>
        </w:trPr>
        <w:tc>
          <w:tcPr>
            <w:tcW w:w="4020" w:type="dxa"/>
            <w:vAlign w:val="bottom"/>
          </w:tcPr>
          <w:p>
            <w:pPr>
              <w:spacing w:after="0"/>
              <w:rPr>
                <w:sz w:val="20"/>
                <w:szCs w:val="20"/>
                <w:color w:val="auto"/>
              </w:rPr>
            </w:pPr>
            <w:r>
              <w:rPr>
                <w:rFonts w:ascii="Arial" w:cs="Arial" w:eastAsia="Arial" w:hAnsi="Arial"/>
                <w:sz w:val="18"/>
                <w:szCs w:val="18"/>
                <w:color w:val="auto"/>
              </w:rPr>
              <w:t>EQUITY IN EARNINGS (LOSSES) OF</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UNCONSOLIDATED SUBSIDIARIES</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43"/>
        </w:trPr>
        <w:tc>
          <w:tcPr>
            <w:tcW w:w="4020" w:type="dxa"/>
            <w:vAlign w:val="bottom"/>
          </w:tcPr>
          <w:p>
            <w:pPr>
              <w:spacing w:after="0"/>
              <w:rPr>
                <w:sz w:val="20"/>
                <w:szCs w:val="20"/>
                <w:color w:val="auto"/>
              </w:rPr>
            </w:pPr>
            <w:r>
              <w:rPr>
                <w:rFonts w:ascii="Arial" w:cs="Arial" w:eastAsia="Arial" w:hAnsi="Arial"/>
                <w:sz w:val="18"/>
                <w:szCs w:val="18"/>
                <w:color w:val="auto"/>
              </w:rPr>
              <w:t>Earnings (losses) recorded before tax:</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80" w:type="dxa"/>
            <w:vAlign w:val="bottom"/>
          </w:tcPr>
          <w:p>
            <w:pPr>
              <w:spacing w:after="0"/>
              <w:rPr>
                <w:sz w:val="21"/>
                <w:szCs w:val="21"/>
                <w:color w:val="auto"/>
              </w:rPr>
            </w:pPr>
          </w:p>
        </w:tc>
      </w:tr>
      <w:tr>
        <w:trPr>
          <w:trHeight w:val="243"/>
        </w:trPr>
        <w:tc>
          <w:tcPr>
            <w:tcW w:w="4020" w:type="dxa"/>
            <w:vAlign w:val="bottom"/>
          </w:tcPr>
          <w:p>
            <w:pPr>
              <w:ind w:left="280"/>
              <w:spacing w:after="0"/>
              <w:rPr>
                <w:sz w:val="20"/>
                <w:szCs w:val="20"/>
                <w:color w:val="auto"/>
              </w:rPr>
            </w:pPr>
            <w:r>
              <w:rPr>
                <w:rFonts w:ascii="Arial" w:cs="Arial" w:eastAsia="Arial" w:hAnsi="Arial"/>
                <w:sz w:val="18"/>
                <w:szCs w:val="18"/>
                <w:color w:val="auto"/>
              </w:rPr>
              <w:t>Sempra Generation</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30"/>
              <w:spacing w:after="0"/>
              <w:rPr>
                <w:sz w:val="20"/>
                <w:szCs w:val="20"/>
                <w:color w:val="auto"/>
              </w:rPr>
            </w:pPr>
            <w:r>
              <w:rPr>
                <w:rFonts w:ascii="Arial" w:cs="Arial" w:eastAsia="Arial" w:hAnsi="Arial"/>
                <w:sz w:val="18"/>
                <w:szCs w:val="18"/>
                <w:color w:val="auto"/>
              </w:rPr>
              <w:t>9</w:t>
            </w:r>
          </w:p>
        </w:tc>
        <w:tc>
          <w:tcPr>
            <w:tcW w:w="68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30"/>
              <w:spacing w:after="0"/>
              <w:rPr>
                <w:sz w:val="20"/>
                <w:szCs w:val="20"/>
                <w:color w:val="auto"/>
              </w:rPr>
            </w:pPr>
            <w:r>
              <w:rPr>
                <w:rFonts w:ascii="Arial" w:cs="Arial" w:eastAsia="Arial" w:hAnsi="Arial"/>
                <w:sz w:val="18"/>
                <w:szCs w:val="18"/>
                <w:color w:val="auto"/>
              </w:rPr>
              <w:t>354</w:t>
            </w:r>
          </w:p>
        </w:tc>
        <w:tc>
          <w:tcPr>
            <w:tcW w:w="740" w:type="dxa"/>
            <w:vAlign w:val="bottom"/>
          </w:tcPr>
          <w:p>
            <w:pPr>
              <w:spacing w:after="0"/>
              <w:rPr>
                <w:sz w:val="21"/>
                <w:szCs w:val="21"/>
                <w:color w:val="auto"/>
              </w:rPr>
            </w:pP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10"/>
              <w:spacing w:after="0"/>
              <w:rPr>
                <w:sz w:val="20"/>
                <w:szCs w:val="20"/>
                <w:color w:val="auto"/>
              </w:rPr>
            </w:pPr>
            <w:r>
              <w:rPr>
                <w:rFonts w:ascii="Arial" w:cs="Arial" w:eastAsia="Arial" w:hAnsi="Arial"/>
                <w:sz w:val="18"/>
                <w:szCs w:val="18"/>
                <w:color w:val="auto"/>
              </w:rPr>
              <w:t>25</w:t>
            </w:r>
          </w:p>
        </w:tc>
        <w:tc>
          <w:tcPr>
            <w:tcW w:w="580" w:type="dxa"/>
            <w:vAlign w:val="bottom"/>
          </w:tcPr>
          <w:p>
            <w:pPr>
              <w:spacing w:after="0"/>
              <w:rPr>
                <w:sz w:val="21"/>
                <w:szCs w:val="21"/>
                <w:color w:val="auto"/>
              </w:rPr>
            </w:pPr>
          </w:p>
        </w:tc>
      </w:tr>
      <w:tr>
        <w:trPr>
          <w:trHeight w:val="243"/>
        </w:trPr>
        <w:tc>
          <w:tcPr>
            <w:tcW w:w="4020" w:type="dxa"/>
            <w:vAlign w:val="bottom"/>
          </w:tcPr>
          <w:p>
            <w:pPr>
              <w:ind w:left="280"/>
              <w:spacing w:after="0"/>
              <w:rPr>
                <w:sz w:val="20"/>
                <w:szCs w:val="20"/>
                <w:color w:val="auto"/>
              </w:rPr>
            </w:pPr>
            <w:r>
              <w:rPr>
                <w:rFonts w:ascii="Arial" w:cs="Arial" w:eastAsia="Arial" w:hAnsi="Arial"/>
                <w:sz w:val="18"/>
                <w:szCs w:val="18"/>
                <w:color w:val="auto"/>
              </w:rPr>
              <w:t>Sempra Pipelines &amp; Storage</w:t>
            </w:r>
          </w:p>
        </w:tc>
        <w:tc>
          <w:tcPr>
            <w:tcW w:w="300" w:type="dxa"/>
            <w:vAlign w:val="bottom"/>
          </w:tcPr>
          <w:p>
            <w:pPr>
              <w:spacing w:after="0"/>
              <w:rPr>
                <w:sz w:val="21"/>
                <w:szCs w:val="21"/>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(4 )</w:t>
            </w: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jc w:val="right"/>
              <w:ind w:right="130"/>
              <w:spacing w:after="0"/>
              <w:rPr>
                <w:sz w:val="20"/>
                <w:szCs w:val="20"/>
                <w:color w:val="auto"/>
              </w:rPr>
            </w:pPr>
            <w:r>
              <w:rPr>
                <w:rFonts w:ascii="Arial" w:cs="Arial" w:eastAsia="Arial" w:hAnsi="Arial"/>
                <w:sz w:val="18"/>
                <w:szCs w:val="18"/>
                <w:color w:val="auto"/>
              </w:rPr>
              <w:t>1</w:t>
            </w: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1"/>
                <w:szCs w:val="21"/>
                <w:color w:val="auto"/>
              </w:rPr>
            </w:pPr>
          </w:p>
        </w:tc>
      </w:tr>
      <w:tr>
        <w:trPr>
          <w:trHeight w:val="257"/>
        </w:trPr>
        <w:tc>
          <w:tcPr>
            <w:tcW w:w="4020" w:type="dxa"/>
            <w:vAlign w:val="bottom"/>
          </w:tcPr>
          <w:p>
            <w:pPr>
              <w:ind w:left="280"/>
              <w:spacing w:after="0"/>
              <w:rPr>
                <w:sz w:val="20"/>
                <w:szCs w:val="20"/>
                <w:color w:val="auto"/>
              </w:rPr>
            </w:pPr>
            <w:r>
              <w:rPr>
                <w:rFonts w:ascii="Arial" w:cs="Arial" w:eastAsia="Arial" w:hAnsi="Arial"/>
                <w:sz w:val="18"/>
                <w:szCs w:val="18"/>
                <w:color w:val="auto"/>
              </w:rPr>
              <w:t>All other</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(14 )</w:t>
            </w:r>
          </w:p>
        </w:tc>
        <w:tc>
          <w:tcPr>
            <w:tcW w:w="68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(17 )</w:t>
            </w:r>
          </w:p>
        </w:tc>
        <w:tc>
          <w:tcPr>
            <w:tcW w:w="7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(14 )</w:t>
            </w:r>
          </w:p>
        </w:tc>
        <w:tc>
          <w:tcPr>
            <w:tcW w:w="580" w:type="dxa"/>
            <w:vAlign w:val="bottom"/>
            <w:tcBorders>
              <w:bottom w:val="single" w:sz="8" w:color="auto"/>
            </w:tcBorders>
          </w:tcPr>
          <w:p>
            <w:pPr>
              <w:spacing w:after="0"/>
              <w:rPr>
                <w:sz w:val="22"/>
                <w:szCs w:val="22"/>
                <w:color w:val="auto"/>
              </w:rPr>
            </w:pPr>
          </w:p>
        </w:tc>
      </w:tr>
      <w:tr>
        <w:trPr>
          <w:trHeight w:val="257"/>
        </w:trPr>
        <w:tc>
          <w:tcPr>
            <w:tcW w:w="4020" w:type="dxa"/>
            <w:vAlign w:val="bottom"/>
          </w:tcPr>
          <w:p>
            <w:pPr>
              <w:ind w:left="64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(9 )</w:t>
            </w:r>
          </w:p>
        </w:tc>
        <w:tc>
          <w:tcPr>
            <w:tcW w:w="68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338</w:t>
            </w:r>
          </w:p>
        </w:tc>
        <w:tc>
          <w:tcPr>
            <w:tcW w:w="7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11</w:t>
            </w:r>
          </w:p>
        </w:tc>
        <w:tc>
          <w:tcPr>
            <w:tcW w:w="580" w:type="dxa"/>
            <w:vAlign w:val="bottom"/>
            <w:tcBorders>
              <w:bottom w:val="single" w:sz="8" w:color="auto"/>
            </w:tcBorders>
          </w:tcPr>
          <w:p>
            <w:pPr>
              <w:spacing w:after="0"/>
              <w:rPr>
                <w:sz w:val="22"/>
                <w:szCs w:val="22"/>
                <w:color w:val="auto"/>
              </w:rPr>
            </w:pPr>
          </w:p>
        </w:tc>
      </w:t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Earnings (losses) recorded net of tax:</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43"/>
        </w:trPr>
        <w:tc>
          <w:tcPr>
            <w:tcW w:w="4020" w:type="dxa"/>
            <w:vAlign w:val="bottom"/>
          </w:tcPr>
          <w:p>
            <w:pPr>
              <w:ind w:left="280"/>
              <w:spacing w:after="0"/>
              <w:rPr>
                <w:sz w:val="20"/>
                <w:szCs w:val="20"/>
                <w:color w:val="auto"/>
              </w:rPr>
            </w:pPr>
            <w:r>
              <w:rPr>
                <w:rFonts w:ascii="Arial" w:cs="Arial" w:eastAsia="Arial" w:hAnsi="Arial"/>
                <w:sz w:val="18"/>
                <w:szCs w:val="18"/>
                <w:color w:val="auto"/>
              </w:rPr>
              <w:t>Sempra Pipelines &amp; Storage</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30"/>
              <w:spacing w:after="0"/>
              <w:rPr>
                <w:sz w:val="20"/>
                <w:szCs w:val="20"/>
                <w:color w:val="auto"/>
              </w:rPr>
            </w:pPr>
            <w:r>
              <w:rPr>
                <w:rFonts w:ascii="Arial" w:cs="Arial" w:eastAsia="Arial" w:hAnsi="Arial"/>
                <w:sz w:val="18"/>
                <w:szCs w:val="18"/>
                <w:color w:val="auto"/>
              </w:rPr>
              <w:t>59</w:t>
            </w:r>
          </w:p>
        </w:tc>
        <w:tc>
          <w:tcPr>
            <w:tcW w:w="68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(166 )</w:t>
            </w:r>
          </w:p>
        </w:tc>
        <w:tc>
          <w:tcPr>
            <w:tcW w:w="740" w:type="dxa"/>
            <w:vAlign w:val="bottom"/>
          </w:tcPr>
          <w:p>
            <w:pPr>
              <w:spacing w:after="0"/>
              <w:rPr>
                <w:sz w:val="21"/>
                <w:szCs w:val="21"/>
                <w:color w:val="auto"/>
              </w:rPr>
            </w:pP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10"/>
              <w:spacing w:after="0"/>
              <w:rPr>
                <w:sz w:val="20"/>
                <w:szCs w:val="20"/>
                <w:color w:val="auto"/>
              </w:rPr>
            </w:pPr>
            <w:r>
              <w:rPr>
                <w:rFonts w:ascii="Arial" w:cs="Arial" w:eastAsia="Arial" w:hAnsi="Arial"/>
                <w:sz w:val="18"/>
                <w:szCs w:val="18"/>
                <w:color w:val="auto"/>
              </w:rPr>
              <w:t>55</w:t>
            </w:r>
          </w:p>
        </w:tc>
        <w:tc>
          <w:tcPr>
            <w:tcW w:w="580" w:type="dxa"/>
            <w:vAlign w:val="bottom"/>
          </w:tcPr>
          <w:p>
            <w:pPr>
              <w:spacing w:after="0"/>
              <w:rPr>
                <w:sz w:val="21"/>
                <w:szCs w:val="21"/>
                <w:color w:val="auto"/>
              </w:rPr>
            </w:pPr>
          </w:p>
        </w:tc>
      </w:tr>
      <w:tr>
        <w:trPr>
          <w:trHeight w:val="250"/>
        </w:trPr>
        <w:tc>
          <w:tcPr>
            <w:tcW w:w="4020" w:type="dxa"/>
            <w:vAlign w:val="bottom"/>
          </w:tcPr>
          <w:p>
            <w:pPr>
              <w:ind w:left="280"/>
              <w:spacing w:after="0"/>
              <w:rPr>
                <w:sz w:val="20"/>
                <w:szCs w:val="20"/>
                <w:color w:val="auto"/>
              </w:rPr>
            </w:pPr>
            <w:r>
              <w:rPr>
                <w:rFonts w:ascii="Arial" w:cs="Arial" w:eastAsia="Arial" w:hAnsi="Arial"/>
                <w:sz w:val="18"/>
                <w:szCs w:val="18"/>
                <w:color w:val="auto"/>
              </w:rPr>
              <w:t>Sempra Commodities</w:t>
            </w: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40</w:t>
            </w:r>
          </w:p>
        </w:tc>
        <w:tc>
          <w:tcPr>
            <w:tcW w:w="6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(16 )</w:t>
            </w:r>
          </w:p>
        </w:tc>
        <w:tc>
          <w:tcPr>
            <w:tcW w:w="7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spacing w:after="0"/>
              <w:rPr>
                <w:sz w:val="21"/>
                <w:szCs w:val="21"/>
                <w:color w:val="auto"/>
              </w:rPr>
            </w:pPr>
          </w:p>
        </w:tc>
      </w:tr>
      <w:tr>
        <w:trPr>
          <w:trHeight w:val="264"/>
        </w:trPr>
        <w:tc>
          <w:tcPr>
            <w:tcW w:w="402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99</w:t>
            </w:r>
          </w:p>
        </w:tc>
        <w:tc>
          <w:tcPr>
            <w:tcW w:w="68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(182 )</w:t>
            </w:r>
          </w:p>
        </w:tc>
        <w:tc>
          <w:tcPr>
            <w:tcW w:w="7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55</w:t>
            </w:r>
          </w:p>
        </w:tc>
        <w:tc>
          <w:tcPr>
            <w:tcW w:w="580" w:type="dxa"/>
            <w:vAlign w:val="bottom"/>
            <w:tcBorders>
              <w:bottom w:val="single" w:sz="8" w:color="auto"/>
            </w:tcBorders>
          </w:tcPr>
          <w:p>
            <w:pPr>
              <w:spacing w:after="0"/>
              <w:rPr>
                <w:sz w:val="22"/>
                <w:szCs w:val="22"/>
                <w:color w:val="auto"/>
              </w:rPr>
            </w:pPr>
          </w:p>
        </w:tc>
      </w:tr>
    </w:tbl>
    <w:p>
      <w:pPr>
        <w:spacing w:after="0" w:line="200" w:lineRule="exact"/>
        <w:rPr>
          <w:sz w:val="20"/>
          <w:szCs w:val="20"/>
          <w:color w:val="auto"/>
        </w:rPr>
      </w:pPr>
    </w:p>
    <w:p>
      <w:pPr>
        <w:sectPr>
          <w:pgSz w:w="11900" w:h="16838" w:orient="portrait"/>
          <w:cols w:equalWidth="0" w:num="1">
            <w:col w:w="10460"/>
          </w:cols>
          <w:pgMar w:left="240" w:top="409" w:right="1199" w:bottom="1440" w:gutter="0" w:footer="0" w:header="0"/>
        </w:sectPr>
      </w:pP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color w:val="auto"/>
        </w:rPr>
        <w:t>124</w:t>
      </w:r>
    </w:p>
    <w:p>
      <w:pPr>
        <w:sectPr>
          <w:pgSz w:w="11900" w:h="16838" w:orient="portrait"/>
          <w:cols w:equalWidth="0" w:num="1">
            <w:col w:w="10460"/>
          </w:cols>
          <w:pgMar w:left="240" w:top="409" w:right="1199" w:bottom="1440" w:gutter="0" w:footer="0" w:header="0"/>
          <w:type w:val="continuous"/>
        </w:sectPr>
      </w:pPr>
    </w:p>
    <w:bookmarkStart w:id="192" w:name="page193"/>
    <w:bookmarkEnd w:id="192"/>
    <w:tbl>
      <w:tblPr>
        <w:tblLayout w:type="fixed"/>
        <w:tblInd w:w="1060" w:type="dxa"/>
        <w:tblCellMar>
          <w:top w:w="0" w:type="dxa"/>
          <w:left w:w="0" w:type="dxa"/>
          <w:bottom w:w="0" w:type="dxa"/>
          <w:right w:w="0" w:type="dxa"/>
        </w:tblCellMar>
      </w:tblPr>
      <w:tr>
        <w:trPr>
          <w:trHeight w:val="237"/>
        </w:trPr>
        <w:tc>
          <w:tcPr>
            <w:tcW w:w="40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4400" w:type="dxa"/>
            <w:vAlign w:val="bottom"/>
            <w:tcBorders>
              <w:bottom w:val="single" w:sz="8" w:color="auto"/>
            </w:tcBorders>
            <w:gridSpan w:val="7"/>
          </w:tcPr>
          <w:p>
            <w:pPr>
              <w:jc w:val="right"/>
              <w:ind w:right="310"/>
              <w:spacing w:after="0"/>
              <w:rPr>
                <w:sz w:val="20"/>
                <w:szCs w:val="20"/>
                <w:color w:val="auto"/>
              </w:rPr>
            </w:pPr>
            <w:r>
              <w:rPr>
                <w:rFonts w:ascii="Arial" w:cs="Arial" w:eastAsia="Arial" w:hAnsi="Arial"/>
                <w:sz w:val="18"/>
                <w:szCs w:val="18"/>
                <w:color w:val="auto"/>
              </w:rPr>
              <w:t>At December 31 or years ended December 31,</w:t>
            </w:r>
          </w:p>
        </w:tc>
        <w:tc>
          <w:tcPr>
            <w:tcW w:w="580" w:type="dxa"/>
            <w:vAlign w:val="bottom"/>
            <w:tcBorders>
              <w:bottom w:val="single" w:sz="8" w:color="auto"/>
            </w:tcBorders>
          </w:tcPr>
          <w:p>
            <w:pPr>
              <w:spacing w:after="0"/>
              <w:rPr>
                <w:sz w:val="20"/>
                <w:szCs w:val="20"/>
                <w:color w:val="auto"/>
              </w:rPr>
            </w:pPr>
          </w:p>
        </w:tc>
      </w:tr>
      <w:tr>
        <w:trPr>
          <w:trHeight w:val="237"/>
        </w:trPr>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(Dollars in millions)</w:t>
            </w: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2007</w:t>
            </w:r>
          </w:p>
        </w:tc>
        <w:tc>
          <w:tcPr>
            <w:tcW w:w="6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2006</w:t>
            </w:r>
          </w:p>
        </w:tc>
        <w:tc>
          <w:tcPr>
            <w:tcW w:w="6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2005</w:t>
            </w:r>
          </w:p>
        </w:tc>
        <w:tc>
          <w:tcPr>
            <w:tcW w:w="580" w:type="dxa"/>
            <w:vAlign w:val="bottom"/>
            <w:tcBorders>
              <w:bottom w:val="single" w:sz="8" w:color="auto"/>
            </w:tcBorders>
          </w:tcPr>
          <w:p>
            <w:pPr>
              <w:spacing w:after="0"/>
              <w:rPr>
                <w:sz w:val="20"/>
                <w:szCs w:val="20"/>
                <w:color w:val="auto"/>
              </w:rPr>
            </w:pPr>
          </w:p>
        </w:tc>
      </w:tr>
      <w:tr>
        <w:trPr>
          <w:trHeight w:val="230"/>
        </w:trPr>
        <w:tc>
          <w:tcPr>
            <w:tcW w:w="40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42"/>
        </w:trPr>
        <w:tc>
          <w:tcPr>
            <w:tcW w:w="4020" w:type="dxa"/>
            <w:vAlign w:val="bottom"/>
          </w:tcPr>
          <w:p>
            <w:pPr>
              <w:ind w:left="280"/>
              <w:spacing w:after="0"/>
              <w:rPr>
                <w:sz w:val="20"/>
                <w:szCs w:val="20"/>
                <w:color w:val="auto"/>
              </w:rPr>
            </w:pPr>
            <w:r>
              <w:rPr>
                <w:rFonts w:ascii="Arial" w:cs="Arial" w:eastAsia="Arial" w:hAnsi="Arial"/>
                <w:sz w:val="18"/>
                <w:szCs w:val="18"/>
                <w:color w:val="auto"/>
              </w:rPr>
              <w:t>SoCalGas*</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90"/>
              <w:spacing w:after="0"/>
              <w:rPr>
                <w:sz w:val="20"/>
                <w:szCs w:val="20"/>
                <w:color w:val="auto"/>
              </w:rPr>
            </w:pPr>
            <w:r>
              <w:rPr>
                <w:rFonts w:ascii="Arial" w:cs="Arial" w:eastAsia="Arial" w:hAnsi="Arial"/>
                <w:sz w:val="18"/>
                <w:szCs w:val="18"/>
                <w:color w:val="auto"/>
              </w:rPr>
              <w:t>230</w:t>
            </w: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21 %</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223</w:t>
            </w:r>
          </w:p>
        </w:tc>
        <w:tc>
          <w:tcPr>
            <w:tcW w:w="660" w:type="dxa"/>
            <w:vAlign w:val="bottom"/>
          </w:tcPr>
          <w:p>
            <w:pPr>
              <w:jc w:val="right"/>
              <w:ind w:right="70"/>
              <w:spacing w:after="0"/>
              <w:rPr>
                <w:sz w:val="20"/>
                <w:szCs w:val="20"/>
                <w:color w:val="auto"/>
              </w:rPr>
            </w:pPr>
            <w:r>
              <w:rPr>
                <w:rFonts w:ascii="Arial" w:cs="Arial" w:eastAsia="Arial" w:hAnsi="Arial"/>
                <w:sz w:val="18"/>
                <w:szCs w:val="18"/>
                <w:color w:val="auto"/>
              </w:rPr>
              <w:t>16 %</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50"/>
              <w:spacing w:after="0"/>
              <w:rPr>
                <w:sz w:val="20"/>
                <w:szCs w:val="20"/>
                <w:color w:val="auto"/>
              </w:rPr>
            </w:pPr>
            <w:r>
              <w:rPr>
                <w:rFonts w:ascii="Arial" w:cs="Arial" w:eastAsia="Arial" w:hAnsi="Arial"/>
                <w:sz w:val="18"/>
                <w:szCs w:val="18"/>
                <w:color w:val="auto"/>
              </w:rPr>
              <w:t>211</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23 %</w:t>
            </w:r>
          </w:p>
        </w:tc>
      </w:tr>
      <w:tr>
        <w:trPr>
          <w:trHeight w:val="243"/>
        </w:trPr>
        <w:tc>
          <w:tcPr>
            <w:tcW w:w="4020" w:type="dxa"/>
            <w:vAlign w:val="bottom"/>
          </w:tcPr>
          <w:p>
            <w:pPr>
              <w:ind w:left="280"/>
              <w:spacing w:after="0"/>
              <w:rPr>
                <w:sz w:val="20"/>
                <w:szCs w:val="20"/>
                <w:color w:val="auto"/>
              </w:rPr>
            </w:pPr>
            <w:r>
              <w:rPr>
                <w:rFonts w:ascii="Arial" w:cs="Arial" w:eastAsia="Arial" w:hAnsi="Arial"/>
                <w:sz w:val="18"/>
                <w:szCs w:val="18"/>
                <w:color w:val="auto"/>
              </w:rPr>
              <w:t>SDG&amp;E*</w:t>
            </w:r>
          </w:p>
        </w:tc>
        <w:tc>
          <w:tcPr>
            <w:tcW w:w="300" w:type="dxa"/>
            <w:vAlign w:val="bottom"/>
          </w:tcPr>
          <w:p>
            <w:pPr>
              <w:spacing w:after="0"/>
              <w:rPr>
                <w:sz w:val="21"/>
                <w:szCs w:val="21"/>
                <w:color w:val="auto"/>
              </w:rPr>
            </w:pPr>
          </w:p>
        </w:tc>
        <w:tc>
          <w:tcPr>
            <w:tcW w:w="900" w:type="dxa"/>
            <w:vAlign w:val="bottom"/>
          </w:tcPr>
          <w:p>
            <w:pPr>
              <w:jc w:val="right"/>
              <w:ind w:right="190"/>
              <w:spacing w:after="0"/>
              <w:rPr>
                <w:sz w:val="20"/>
                <w:szCs w:val="20"/>
                <w:color w:val="auto"/>
              </w:rPr>
            </w:pPr>
            <w:r>
              <w:rPr>
                <w:rFonts w:ascii="Arial" w:cs="Arial" w:eastAsia="Arial" w:hAnsi="Arial"/>
                <w:sz w:val="18"/>
                <w:szCs w:val="18"/>
                <w:color w:val="auto"/>
              </w:rPr>
              <w:t>283</w:t>
            </w:r>
          </w:p>
        </w:tc>
        <w:tc>
          <w:tcPr>
            <w:tcW w:w="640" w:type="dxa"/>
            <w:vAlign w:val="bottom"/>
          </w:tcPr>
          <w:p>
            <w:pPr>
              <w:jc w:val="right"/>
              <w:ind w:right="210"/>
              <w:spacing w:after="0"/>
              <w:rPr>
                <w:sz w:val="20"/>
                <w:szCs w:val="20"/>
                <w:color w:val="auto"/>
              </w:rPr>
            </w:pPr>
            <w:r>
              <w:rPr>
                <w:rFonts w:ascii="Arial" w:cs="Arial" w:eastAsia="Arial" w:hAnsi="Arial"/>
                <w:sz w:val="18"/>
                <w:szCs w:val="18"/>
                <w:color w:val="auto"/>
              </w:rPr>
              <w:t>25</w:t>
            </w:r>
          </w:p>
        </w:tc>
        <w:tc>
          <w:tcPr>
            <w:tcW w:w="320" w:type="dxa"/>
            <w:vAlign w:val="bottom"/>
          </w:tcPr>
          <w:p>
            <w:pPr>
              <w:spacing w:after="0"/>
              <w:rPr>
                <w:sz w:val="21"/>
                <w:szCs w:val="21"/>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237</w:t>
            </w:r>
          </w:p>
        </w:tc>
        <w:tc>
          <w:tcPr>
            <w:tcW w:w="660" w:type="dxa"/>
            <w:vAlign w:val="bottom"/>
          </w:tcPr>
          <w:p>
            <w:pPr>
              <w:jc w:val="right"/>
              <w:ind w:right="250"/>
              <w:spacing w:after="0"/>
              <w:rPr>
                <w:sz w:val="20"/>
                <w:szCs w:val="20"/>
                <w:color w:val="auto"/>
              </w:rPr>
            </w:pPr>
            <w:r>
              <w:rPr>
                <w:rFonts w:ascii="Arial" w:cs="Arial" w:eastAsia="Arial" w:hAnsi="Arial"/>
                <w:sz w:val="18"/>
                <w:szCs w:val="18"/>
                <w:color w:val="auto"/>
              </w:rPr>
              <w:t>17</w:t>
            </w:r>
          </w:p>
        </w:tc>
        <w:tc>
          <w:tcPr>
            <w:tcW w:w="340" w:type="dxa"/>
            <w:vAlign w:val="bottom"/>
          </w:tcPr>
          <w:p>
            <w:pPr>
              <w:spacing w:after="0"/>
              <w:rPr>
                <w:sz w:val="21"/>
                <w:szCs w:val="21"/>
                <w:color w:val="auto"/>
              </w:rPr>
            </w:pPr>
          </w:p>
        </w:tc>
        <w:tc>
          <w:tcPr>
            <w:tcW w:w="800" w:type="dxa"/>
            <w:vAlign w:val="bottom"/>
          </w:tcPr>
          <w:p>
            <w:pPr>
              <w:jc w:val="right"/>
              <w:ind w:right="150"/>
              <w:spacing w:after="0"/>
              <w:rPr>
                <w:sz w:val="20"/>
                <w:szCs w:val="20"/>
                <w:color w:val="auto"/>
              </w:rPr>
            </w:pPr>
            <w:r>
              <w:rPr>
                <w:rFonts w:ascii="Arial" w:cs="Arial" w:eastAsia="Arial" w:hAnsi="Arial"/>
                <w:sz w:val="18"/>
                <w:szCs w:val="18"/>
                <w:color w:val="auto"/>
              </w:rPr>
              <w:t>262</w:t>
            </w:r>
          </w:p>
        </w:tc>
        <w:tc>
          <w:tcPr>
            <w:tcW w:w="580" w:type="dxa"/>
            <w:vAlign w:val="bottom"/>
          </w:tcPr>
          <w:p>
            <w:pPr>
              <w:jc w:val="right"/>
              <w:ind w:right="190"/>
              <w:spacing w:after="0"/>
              <w:rPr>
                <w:sz w:val="20"/>
                <w:szCs w:val="20"/>
                <w:color w:val="auto"/>
              </w:rPr>
            </w:pPr>
            <w:r>
              <w:rPr>
                <w:rFonts w:ascii="Arial" w:cs="Arial" w:eastAsia="Arial" w:hAnsi="Arial"/>
                <w:sz w:val="18"/>
                <w:szCs w:val="18"/>
                <w:color w:val="auto"/>
              </w:rPr>
              <w:t>28</w:t>
            </w:r>
          </w:p>
        </w:tc>
      </w:tr>
      <w:tr>
        <w:trPr>
          <w:trHeight w:val="243"/>
        </w:trPr>
        <w:tc>
          <w:tcPr>
            <w:tcW w:w="4020" w:type="dxa"/>
            <w:vAlign w:val="bottom"/>
          </w:tcPr>
          <w:p>
            <w:pPr>
              <w:ind w:left="280"/>
              <w:spacing w:after="0"/>
              <w:rPr>
                <w:sz w:val="20"/>
                <w:szCs w:val="20"/>
                <w:color w:val="auto"/>
              </w:rPr>
            </w:pPr>
            <w:r>
              <w:rPr>
                <w:rFonts w:ascii="Arial" w:cs="Arial" w:eastAsia="Arial" w:hAnsi="Arial"/>
                <w:sz w:val="18"/>
                <w:szCs w:val="18"/>
                <w:color w:val="auto"/>
              </w:rPr>
              <w:t>Sempra Commodities</w:t>
            </w:r>
          </w:p>
        </w:tc>
        <w:tc>
          <w:tcPr>
            <w:tcW w:w="300" w:type="dxa"/>
            <w:vAlign w:val="bottom"/>
          </w:tcPr>
          <w:p>
            <w:pPr>
              <w:spacing w:after="0"/>
              <w:rPr>
                <w:sz w:val="21"/>
                <w:szCs w:val="21"/>
                <w:color w:val="auto"/>
              </w:rPr>
            </w:pPr>
          </w:p>
        </w:tc>
        <w:tc>
          <w:tcPr>
            <w:tcW w:w="900" w:type="dxa"/>
            <w:vAlign w:val="bottom"/>
          </w:tcPr>
          <w:p>
            <w:pPr>
              <w:jc w:val="right"/>
              <w:ind w:right="190"/>
              <w:spacing w:after="0"/>
              <w:rPr>
                <w:sz w:val="20"/>
                <w:szCs w:val="20"/>
                <w:color w:val="auto"/>
              </w:rPr>
            </w:pPr>
            <w:r>
              <w:rPr>
                <w:rFonts w:ascii="Arial" w:cs="Arial" w:eastAsia="Arial" w:hAnsi="Arial"/>
                <w:sz w:val="18"/>
                <w:szCs w:val="18"/>
                <w:color w:val="auto"/>
              </w:rPr>
              <w:t>499</w:t>
            </w:r>
          </w:p>
        </w:tc>
        <w:tc>
          <w:tcPr>
            <w:tcW w:w="640" w:type="dxa"/>
            <w:vAlign w:val="bottom"/>
          </w:tcPr>
          <w:p>
            <w:pPr>
              <w:jc w:val="right"/>
              <w:ind w:right="210"/>
              <w:spacing w:after="0"/>
              <w:rPr>
                <w:sz w:val="20"/>
                <w:szCs w:val="20"/>
                <w:color w:val="auto"/>
              </w:rPr>
            </w:pPr>
            <w:r>
              <w:rPr>
                <w:rFonts w:ascii="Arial" w:cs="Arial" w:eastAsia="Arial" w:hAnsi="Arial"/>
                <w:sz w:val="18"/>
                <w:szCs w:val="18"/>
                <w:color w:val="auto"/>
              </w:rPr>
              <w:t>45</w:t>
            </w:r>
          </w:p>
        </w:tc>
        <w:tc>
          <w:tcPr>
            <w:tcW w:w="320" w:type="dxa"/>
            <w:vAlign w:val="bottom"/>
          </w:tcPr>
          <w:p>
            <w:pPr>
              <w:spacing w:after="0"/>
              <w:rPr>
                <w:sz w:val="21"/>
                <w:szCs w:val="21"/>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504</w:t>
            </w:r>
          </w:p>
        </w:tc>
        <w:tc>
          <w:tcPr>
            <w:tcW w:w="660" w:type="dxa"/>
            <w:vAlign w:val="bottom"/>
          </w:tcPr>
          <w:p>
            <w:pPr>
              <w:jc w:val="right"/>
              <w:ind w:right="250"/>
              <w:spacing w:after="0"/>
              <w:rPr>
                <w:sz w:val="20"/>
                <w:szCs w:val="20"/>
                <w:color w:val="auto"/>
              </w:rPr>
            </w:pPr>
            <w:r>
              <w:rPr>
                <w:rFonts w:ascii="Arial" w:cs="Arial" w:eastAsia="Arial" w:hAnsi="Arial"/>
                <w:sz w:val="18"/>
                <w:szCs w:val="18"/>
                <w:color w:val="auto"/>
              </w:rPr>
              <w:t>36</w:t>
            </w:r>
          </w:p>
        </w:tc>
        <w:tc>
          <w:tcPr>
            <w:tcW w:w="340" w:type="dxa"/>
            <w:vAlign w:val="bottom"/>
          </w:tcPr>
          <w:p>
            <w:pPr>
              <w:spacing w:after="0"/>
              <w:rPr>
                <w:sz w:val="21"/>
                <w:szCs w:val="21"/>
                <w:color w:val="auto"/>
              </w:rPr>
            </w:pPr>
          </w:p>
        </w:tc>
        <w:tc>
          <w:tcPr>
            <w:tcW w:w="800" w:type="dxa"/>
            <w:vAlign w:val="bottom"/>
          </w:tcPr>
          <w:p>
            <w:pPr>
              <w:jc w:val="right"/>
              <w:ind w:right="150"/>
              <w:spacing w:after="0"/>
              <w:rPr>
                <w:sz w:val="20"/>
                <w:szCs w:val="20"/>
                <w:color w:val="auto"/>
              </w:rPr>
            </w:pPr>
            <w:r>
              <w:rPr>
                <w:rFonts w:ascii="Arial" w:cs="Arial" w:eastAsia="Arial" w:hAnsi="Arial"/>
                <w:sz w:val="18"/>
                <w:szCs w:val="18"/>
                <w:color w:val="auto"/>
              </w:rPr>
              <w:t>460</w:t>
            </w:r>
          </w:p>
        </w:tc>
        <w:tc>
          <w:tcPr>
            <w:tcW w:w="580" w:type="dxa"/>
            <w:vAlign w:val="bottom"/>
          </w:tcPr>
          <w:p>
            <w:pPr>
              <w:jc w:val="right"/>
              <w:ind w:right="190"/>
              <w:spacing w:after="0"/>
              <w:rPr>
                <w:sz w:val="20"/>
                <w:szCs w:val="20"/>
                <w:color w:val="auto"/>
              </w:rPr>
            </w:pPr>
            <w:r>
              <w:rPr>
                <w:rFonts w:ascii="Arial" w:cs="Arial" w:eastAsia="Arial" w:hAnsi="Arial"/>
                <w:sz w:val="18"/>
                <w:szCs w:val="18"/>
                <w:color w:val="auto"/>
              </w:rPr>
              <w:t>50</w:t>
            </w:r>
          </w:p>
        </w:tc>
      </w:tr>
      <w:tr>
        <w:trPr>
          <w:trHeight w:val="243"/>
        </w:trPr>
        <w:tc>
          <w:tcPr>
            <w:tcW w:w="4020" w:type="dxa"/>
            <w:vAlign w:val="bottom"/>
          </w:tcPr>
          <w:p>
            <w:pPr>
              <w:ind w:left="280"/>
              <w:spacing w:after="0"/>
              <w:rPr>
                <w:sz w:val="20"/>
                <w:szCs w:val="20"/>
                <w:color w:val="auto"/>
              </w:rPr>
            </w:pPr>
            <w:r>
              <w:rPr>
                <w:rFonts w:ascii="Arial" w:cs="Arial" w:eastAsia="Arial" w:hAnsi="Arial"/>
                <w:sz w:val="18"/>
                <w:szCs w:val="18"/>
                <w:color w:val="auto"/>
              </w:rPr>
              <w:t>Sempra Generation</w:t>
            </w:r>
          </w:p>
        </w:tc>
        <w:tc>
          <w:tcPr>
            <w:tcW w:w="300" w:type="dxa"/>
            <w:vAlign w:val="bottom"/>
          </w:tcPr>
          <w:p>
            <w:pPr>
              <w:spacing w:after="0"/>
              <w:rPr>
                <w:sz w:val="21"/>
                <w:szCs w:val="21"/>
                <w:color w:val="auto"/>
              </w:rPr>
            </w:pPr>
          </w:p>
        </w:tc>
        <w:tc>
          <w:tcPr>
            <w:tcW w:w="900" w:type="dxa"/>
            <w:vAlign w:val="bottom"/>
          </w:tcPr>
          <w:p>
            <w:pPr>
              <w:jc w:val="right"/>
              <w:ind w:right="190"/>
              <w:spacing w:after="0"/>
              <w:rPr>
                <w:sz w:val="20"/>
                <w:szCs w:val="20"/>
                <w:color w:val="auto"/>
              </w:rPr>
            </w:pPr>
            <w:r>
              <w:rPr>
                <w:rFonts w:ascii="Arial" w:cs="Arial" w:eastAsia="Arial" w:hAnsi="Arial"/>
                <w:sz w:val="18"/>
                <w:szCs w:val="18"/>
                <w:color w:val="auto"/>
              </w:rPr>
              <w:t>162</w:t>
            </w:r>
          </w:p>
        </w:tc>
        <w:tc>
          <w:tcPr>
            <w:tcW w:w="640" w:type="dxa"/>
            <w:vAlign w:val="bottom"/>
          </w:tcPr>
          <w:p>
            <w:pPr>
              <w:jc w:val="right"/>
              <w:ind w:right="210"/>
              <w:spacing w:after="0"/>
              <w:rPr>
                <w:sz w:val="20"/>
                <w:szCs w:val="20"/>
                <w:color w:val="auto"/>
              </w:rPr>
            </w:pPr>
            <w:r>
              <w:rPr>
                <w:rFonts w:ascii="Arial" w:cs="Arial" w:eastAsia="Arial" w:hAnsi="Arial"/>
                <w:sz w:val="18"/>
                <w:szCs w:val="18"/>
                <w:color w:val="auto"/>
              </w:rPr>
              <w:t>15</w:t>
            </w:r>
          </w:p>
        </w:tc>
        <w:tc>
          <w:tcPr>
            <w:tcW w:w="320" w:type="dxa"/>
            <w:vAlign w:val="bottom"/>
          </w:tcPr>
          <w:p>
            <w:pPr>
              <w:spacing w:after="0"/>
              <w:rPr>
                <w:sz w:val="21"/>
                <w:szCs w:val="21"/>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375</w:t>
            </w:r>
          </w:p>
        </w:tc>
        <w:tc>
          <w:tcPr>
            <w:tcW w:w="660" w:type="dxa"/>
            <w:vAlign w:val="bottom"/>
          </w:tcPr>
          <w:p>
            <w:pPr>
              <w:jc w:val="right"/>
              <w:ind w:right="250"/>
              <w:spacing w:after="0"/>
              <w:rPr>
                <w:sz w:val="20"/>
                <w:szCs w:val="20"/>
                <w:color w:val="auto"/>
              </w:rPr>
            </w:pPr>
            <w:r>
              <w:rPr>
                <w:rFonts w:ascii="Arial" w:cs="Arial" w:eastAsia="Arial" w:hAnsi="Arial"/>
                <w:sz w:val="18"/>
                <w:szCs w:val="18"/>
                <w:color w:val="auto"/>
              </w:rPr>
              <w:t>27</w:t>
            </w:r>
          </w:p>
        </w:tc>
        <w:tc>
          <w:tcPr>
            <w:tcW w:w="340" w:type="dxa"/>
            <w:vAlign w:val="bottom"/>
          </w:tcPr>
          <w:p>
            <w:pPr>
              <w:spacing w:after="0"/>
              <w:rPr>
                <w:sz w:val="21"/>
                <w:szCs w:val="21"/>
                <w:color w:val="auto"/>
              </w:rPr>
            </w:pPr>
          </w:p>
        </w:tc>
        <w:tc>
          <w:tcPr>
            <w:tcW w:w="800" w:type="dxa"/>
            <w:vAlign w:val="bottom"/>
          </w:tcPr>
          <w:p>
            <w:pPr>
              <w:jc w:val="right"/>
              <w:ind w:right="150"/>
              <w:spacing w:after="0"/>
              <w:rPr>
                <w:sz w:val="20"/>
                <w:szCs w:val="20"/>
                <w:color w:val="auto"/>
              </w:rPr>
            </w:pPr>
            <w:r>
              <w:rPr>
                <w:rFonts w:ascii="Arial" w:cs="Arial" w:eastAsia="Arial" w:hAnsi="Arial"/>
                <w:sz w:val="18"/>
                <w:szCs w:val="18"/>
                <w:color w:val="auto"/>
              </w:rPr>
              <w:t>149</w:t>
            </w:r>
          </w:p>
        </w:tc>
        <w:tc>
          <w:tcPr>
            <w:tcW w:w="580" w:type="dxa"/>
            <w:vAlign w:val="bottom"/>
          </w:tcPr>
          <w:p>
            <w:pPr>
              <w:jc w:val="right"/>
              <w:ind w:right="190"/>
              <w:spacing w:after="0"/>
              <w:rPr>
                <w:sz w:val="20"/>
                <w:szCs w:val="20"/>
                <w:color w:val="auto"/>
              </w:rPr>
            </w:pPr>
            <w:r>
              <w:rPr>
                <w:rFonts w:ascii="Arial" w:cs="Arial" w:eastAsia="Arial" w:hAnsi="Arial"/>
                <w:sz w:val="18"/>
                <w:szCs w:val="18"/>
                <w:color w:val="auto"/>
              </w:rPr>
              <w:t>16</w:t>
            </w:r>
          </w:p>
        </w:tc>
      </w:tr>
      <w:tr>
        <w:trPr>
          <w:trHeight w:val="243"/>
        </w:trPr>
        <w:tc>
          <w:tcPr>
            <w:tcW w:w="4020" w:type="dxa"/>
            <w:vAlign w:val="bottom"/>
          </w:tcPr>
          <w:p>
            <w:pPr>
              <w:ind w:left="280"/>
              <w:spacing w:after="0"/>
              <w:rPr>
                <w:sz w:val="20"/>
                <w:szCs w:val="20"/>
                <w:color w:val="auto"/>
              </w:rPr>
            </w:pPr>
            <w:r>
              <w:rPr>
                <w:rFonts w:ascii="Arial" w:cs="Arial" w:eastAsia="Arial" w:hAnsi="Arial"/>
                <w:sz w:val="18"/>
                <w:szCs w:val="18"/>
                <w:color w:val="auto"/>
              </w:rPr>
              <w:t>Sempra Pipelines &amp; Storage</w:t>
            </w:r>
          </w:p>
        </w:tc>
        <w:tc>
          <w:tcPr>
            <w:tcW w:w="300" w:type="dxa"/>
            <w:vAlign w:val="bottom"/>
          </w:tcPr>
          <w:p>
            <w:pPr>
              <w:spacing w:after="0"/>
              <w:rPr>
                <w:sz w:val="21"/>
                <w:szCs w:val="21"/>
                <w:color w:val="auto"/>
              </w:rPr>
            </w:pPr>
          </w:p>
        </w:tc>
        <w:tc>
          <w:tcPr>
            <w:tcW w:w="900" w:type="dxa"/>
            <w:vAlign w:val="bottom"/>
          </w:tcPr>
          <w:p>
            <w:pPr>
              <w:jc w:val="right"/>
              <w:ind w:right="190"/>
              <w:spacing w:after="0"/>
              <w:rPr>
                <w:sz w:val="20"/>
                <w:szCs w:val="20"/>
                <w:color w:val="auto"/>
              </w:rPr>
            </w:pPr>
            <w:r>
              <w:rPr>
                <w:rFonts w:ascii="Arial" w:cs="Arial" w:eastAsia="Arial" w:hAnsi="Arial"/>
                <w:sz w:val="18"/>
                <w:szCs w:val="18"/>
                <w:color w:val="auto"/>
              </w:rPr>
              <w:t>64</w:t>
            </w:r>
          </w:p>
        </w:tc>
        <w:tc>
          <w:tcPr>
            <w:tcW w:w="640" w:type="dxa"/>
            <w:vAlign w:val="bottom"/>
          </w:tcPr>
          <w:p>
            <w:pPr>
              <w:jc w:val="right"/>
              <w:ind w:right="210"/>
              <w:spacing w:after="0"/>
              <w:rPr>
                <w:sz w:val="20"/>
                <w:szCs w:val="20"/>
                <w:color w:val="auto"/>
              </w:rPr>
            </w:pPr>
            <w:r>
              <w:rPr>
                <w:rFonts w:ascii="Arial" w:cs="Arial" w:eastAsia="Arial" w:hAnsi="Arial"/>
                <w:sz w:val="18"/>
                <w:szCs w:val="18"/>
                <w:color w:val="auto"/>
              </w:rPr>
              <w:t>6</w:t>
            </w:r>
          </w:p>
        </w:tc>
        <w:tc>
          <w:tcPr>
            <w:tcW w:w="3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(165 )</w:t>
            </w:r>
          </w:p>
        </w:tc>
        <w:tc>
          <w:tcPr>
            <w:tcW w:w="660" w:type="dxa"/>
            <w:vAlign w:val="bottom"/>
          </w:tcPr>
          <w:p>
            <w:pPr>
              <w:jc w:val="right"/>
              <w:ind w:right="170"/>
              <w:spacing w:after="0"/>
              <w:rPr>
                <w:sz w:val="20"/>
                <w:szCs w:val="20"/>
                <w:color w:val="auto"/>
              </w:rPr>
            </w:pPr>
            <w:r>
              <w:rPr>
                <w:rFonts w:ascii="Arial" w:cs="Arial" w:eastAsia="Arial" w:hAnsi="Arial"/>
                <w:sz w:val="18"/>
                <w:szCs w:val="18"/>
                <w:color w:val="auto"/>
              </w:rPr>
              <w:t>(12 )</w:t>
            </w:r>
          </w:p>
        </w:tc>
        <w:tc>
          <w:tcPr>
            <w:tcW w:w="340" w:type="dxa"/>
            <w:vAlign w:val="bottom"/>
          </w:tcPr>
          <w:p>
            <w:pPr>
              <w:spacing w:after="0"/>
              <w:rPr>
                <w:sz w:val="21"/>
                <w:szCs w:val="21"/>
                <w:color w:val="auto"/>
              </w:rPr>
            </w:pPr>
          </w:p>
        </w:tc>
        <w:tc>
          <w:tcPr>
            <w:tcW w:w="800" w:type="dxa"/>
            <w:vAlign w:val="bottom"/>
          </w:tcPr>
          <w:p>
            <w:pPr>
              <w:jc w:val="right"/>
              <w:ind w:right="150"/>
              <w:spacing w:after="0"/>
              <w:rPr>
                <w:sz w:val="20"/>
                <w:szCs w:val="20"/>
                <w:color w:val="auto"/>
              </w:rPr>
            </w:pPr>
            <w:r>
              <w:rPr>
                <w:rFonts w:ascii="Arial" w:cs="Arial" w:eastAsia="Arial" w:hAnsi="Arial"/>
                <w:sz w:val="18"/>
                <w:szCs w:val="18"/>
                <w:color w:val="auto"/>
              </w:rPr>
              <w:t>64</w:t>
            </w:r>
          </w:p>
        </w:tc>
        <w:tc>
          <w:tcPr>
            <w:tcW w:w="580" w:type="dxa"/>
            <w:vAlign w:val="bottom"/>
          </w:tcPr>
          <w:p>
            <w:pPr>
              <w:jc w:val="right"/>
              <w:ind w:right="190"/>
              <w:spacing w:after="0"/>
              <w:rPr>
                <w:sz w:val="20"/>
                <w:szCs w:val="20"/>
                <w:color w:val="auto"/>
              </w:rPr>
            </w:pPr>
            <w:r>
              <w:rPr>
                <w:rFonts w:ascii="Arial" w:cs="Arial" w:eastAsia="Arial" w:hAnsi="Arial"/>
                <w:sz w:val="18"/>
                <w:szCs w:val="18"/>
                <w:color w:val="auto"/>
              </w:rPr>
              <w:t>7</w:t>
            </w:r>
          </w:p>
        </w:tc>
      </w:tr>
      <w:tr>
        <w:trPr>
          <w:trHeight w:val="243"/>
        </w:trPr>
        <w:tc>
          <w:tcPr>
            <w:tcW w:w="4020" w:type="dxa"/>
            <w:vAlign w:val="bottom"/>
          </w:tcPr>
          <w:p>
            <w:pPr>
              <w:ind w:left="280"/>
              <w:spacing w:after="0"/>
              <w:rPr>
                <w:sz w:val="20"/>
                <w:szCs w:val="20"/>
                <w:color w:val="auto"/>
              </w:rPr>
            </w:pPr>
            <w:r>
              <w:rPr>
                <w:rFonts w:ascii="Arial" w:cs="Arial" w:eastAsia="Arial" w:hAnsi="Arial"/>
                <w:sz w:val="18"/>
                <w:szCs w:val="18"/>
                <w:color w:val="auto"/>
              </w:rPr>
              <w:t>Discontinued operations</w:t>
            </w:r>
          </w:p>
        </w:tc>
        <w:tc>
          <w:tcPr>
            <w:tcW w:w="300" w:type="dxa"/>
            <w:vAlign w:val="bottom"/>
          </w:tcPr>
          <w:p>
            <w:pPr>
              <w:spacing w:after="0"/>
              <w:rPr>
                <w:sz w:val="21"/>
                <w:szCs w:val="21"/>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(26 )</w:t>
            </w:r>
          </w:p>
        </w:tc>
        <w:tc>
          <w:tcPr>
            <w:tcW w:w="640" w:type="dxa"/>
            <w:vAlign w:val="bottom"/>
          </w:tcPr>
          <w:p>
            <w:pPr>
              <w:jc w:val="right"/>
              <w:ind w:right="130"/>
              <w:spacing w:after="0"/>
              <w:rPr>
                <w:sz w:val="20"/>
                <w:szCs w:val="20"/>
                <w:color w:val="auto"/>
              </w:rPr>
            </w:pPr>
            <w:r>
              <w:rPr>
                <w:rFonts w:ascii="Arial" w:cs="Arial" w:eastAsia="Arial" w:hAnsi="Arial"/>
                <w:sz w:val="18"/>
                <w:szCs w:val="18"/>
                <w:color w:val="auto"/>
              </w:rPr>
              <w:t>(2 )</w:t>
            </w:r>
          </w:p>
        </w:tc>
        <w:tc>
          <w:tcPr>
            <w:tcW w:w="320" w:type="dxa"/>
            <w:vAlign w:val="bottom"/>
          </w:tcPr>
          <w:p>
            <w:pPr>
              <w:spacing w:after="0"/>
              <w:rPr>
                <w:sz w:val="21"/>
                <w:szCs w:val="21"/>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315</w:t>
            </w:r>
          </w:p>
        </w:tc>
        <w:tc>
          <w:tcPr>
            <w:tcW w:w="660" w:type="dxa"/>
            <w:vAlign w:val="bottom"/>
          </w:tcPr>
          <w:p>
            <w:pPr>
              <w:jc w:val="right"/>
              <w:ind w:right="250"/>
              <w:spacing w:after="0"/>
              <w:rPr>
                <w:sz w:val="20"/>
                <w:szCs w:val="20"/>
                <w:color w:val="auto"/>
              </w:rPr>
            </w:pPr>
            <w:r>
              <w:rPr>
                <w:rFonts w:ascii="Arial" w:cs="Arial" w:eastAsia="Arial" w:hAnsi="Arial"/>
                <w:sz w:val="18"/>
                <w:szCs w:val="18"/>
                <w:color w:val="auto"/>
              </w:rPr>
              <w:t>22</w:t>
            </w:r>
          </w:p>
        </w:tc>
        <w:tc>
          <w:tcPr>
            <w:tcW w:w="340" w:type="dxa"/>
            <w:vAlign w:val="bottom"/>
          </w:tcPr>
          <w:p>
            <w:pPr>
              <w:spacing w:after="0"/>
              <w:rPr>
                <w:sz w:val="21"/>
                <w:szCs w:val="21"/>
                <w:color w:val="auto"/>
              </w:rPr>
            </w:pPr>
          </w:p>
        </w:tc>
        <w:tc>
          <w:tcPr>
            <w:tcW w:w="800" w:type="dxa"/>
            <w:vAlign w:val="bottom"/>
          </w:tcPr>
          <w:p>
            <w:pPr>
              <w:jc w:val="right"/>
              <w:ind w:right="150"/>
              <w:spacing w:after="0"/>
              <w:rPr>
                <w:sz w:val="20"/>
                <w:szCs w:val="20"/>
                <w:color w:val="auto"/>
              </w:rPr>
            </w:pPr>
            <w:r>
              <w:rPr>
                <w:rFonts w:ascii="Arial" w:cs="Arial" w:eastAsia="Arial" w:hAnsi="Arial"/>
                <w:sz w:val="18"/>
                <w:szCs w:val="18"/>
                <w:color w:val="auto"/>
              </w:rPr>
              <w:t>7</w:t>
            </w:r>
          </w:p>
        </w:tc>
        <w:tc>
          <w:tcPr>
            <w:tcW w:w="580" w:type="dxa"/>
            <w:vAlign w:val="bottom"/>
          </w:tcPr>
          <w:p>
            <w:pPr>
              <w:jc w:val="right"/>
              <w:ind w:right="190"/>
              <w:spacing w:after="0"/>
              <w:rPr>
                <w:sz w:val="20"/>
                <w:szCs w:val="20"/>
                <w:color w:val="auto"/>
              </w:rPr>
            </w:pPr>
            <w:r>
              <w:rPr>
                <w:rFonts w:ascii="Arial" w:cs="Arial" w:eastAsia="Arial" w:hAnsi="Arial"/>
                <w:sz w:val="18"/>
                <w:szCs w:val="18"/>
                <w:color w:val="auto"/>
              </w:rPr>
              <w:t>1</w:t>
            </w:r>
          </w:p>
        </w:tc>
      </w:tr>
      <w:tr>
        <w:trPr>
          <w:trHeight w:val="250"/>
        </w:trPr>
        <w:tc>
          <w:tcPr>
            <w:tcW w:w="4020" w:type="dxa"/>
            <w:vAlign w:val="bottom"/>
          </w:tcPr>
          <w:p>
            <w:pPr>
              <w:ind w:left="280"/>
              <w:spacing w:after="0"/>
              <w:rPr>
                <w:sz w:val="20"/>
                <w:szCs w:val="20"/>
                <w:color w:val="auto"/>
              </w:rPr>
            </w:pPr>
            <w:r>
              <w:rPr>
                <w:rFonts w:ascii="Arial" w:cs="Arial" w:eastAsia="Arial" w:hAnsi="Arial"/>
                <w:sz w:val="18"/>
                <w:szCs w:val="18"/>
                <w:color w:val="auto"/>
              </w:rPr>
              <w:t>All other</w:t>
            </w:r>
          </w:p>
        </w:tc>
        <w:tc>
          <w:tcPr>
            <w:tcW w:w="3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(113 )</w:t>
            </w: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(10 )</w:t>
            </w:r>
          </w:p>
        </w:tc>
        <w:tc>
          <w:tcPr>
            <w:tcW w:w="3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(83 )</w:t>
            </w:r>
          </w:p>
        </w:tc>
        <w:tc>
          <w:tcPr>
            <w:tcW w:w="6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(6 )</w:t>
            </w:r>
          </w:p>
        </w:tc>
        <w:tc>
          <w:tcPr>
            <w:tcW w:w="3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(233 )</w:t>
            </w:r>
          </w:p>
        </w:tc>
        <w:tc>
          <w:tcPr>
            <w:tcW w:w="5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7"/>
              </w:rPr>
              <w:t>(25 )</w:t>
            </w:r>
          </w:p>
        </w:tc>
      </w:tr>
      <w:tr>
        <w:trPr>
          <w:trHeight w:val="264"/>
        </w:trPr>
        <w:tc>
          <w:tcPr>
            <w:tcW w:w="402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1,099</w:t>
            </w:r>
          </w:p>
        </w:tc>
        <w:tc>
          <w:tcPr>
            <w:tcW w:w="6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3"/>
              </w:rPr>
              <w:t>100 %</w:t>
            </w:r>
          </w:p>
        </w:tc>
        <w:tc>
          <w:tcPr>
            <w:tcW w:w="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1,406</w:t>
            </w:r>
          </w:p>
        </w:tc>
        <w:tc>
          <w:tcPr>
            <w:tcW w:w="6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3"/>
              </w:rPr>
              <w:t>100 %</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920</w:t>
            </w:r>
          </w:p>
        </w:tc>
        <w:tc>
          <w:tcPr>
            <w:tcW w:w="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0"/>
              </w:rPr>
              <w:t>100 %</w:t>
            </w:r>
          </w:p>
        </w:tc>
      </w:tr>
      <w:tr>
        <w:trPr>
          <w:trHeight w:val="230"/>
        </w:trPr>
        <w:tc>
          <w:tcPr>
            <w:tcW w:w="4020" w:type="dxa"/>
            <w:vAlign w:val="bottom"/>
          </w:tcPr>
          <w:p>
            <w:pPr>
              <w:ind w:left="20"/>
              <w:spacing w:after="0"/>
              <w:rPr>
                <w:sz w:val="20"/>
                <w:szCs w:val="20"/>
                <w:color w:val="auto"/>
              </w:rPr>
            </w:pPr>
            <w:r>
              <w:rPr>
                <w:rFonts w:ascii="Arial" w:cs="Arial" w:eastAsia="Arial" w:hAnsi="Arial"/>
                <w:sz w:val="18"/>
                <w:szCs w:val="18"/>
                <w:color w:val="auto"/>
              </w:rPr>
              <w:t>ASSETS</w:t>
            </w: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42"/>
        </w:trPr>
        <w:tc>
          <w:tcPr>
            <w:tcW w:w="4020" w:type="dxa"/>
            <w:vAlign w:val="bottom"/>
          </w:tcPr>
          <w:p>
            <w:pPr>
              <w:ind w:left="280"/>
              <w:spacing w:after="0"/>
              <w:rPr>
                <w:sz w:val="20"/>
                <w:szCs w:val="20"/>
                <w:color w:val="auto"/>
              </w:rPr>
            </w:pPr>
            <w:r>
              <w:rPr>
                <w:rFonts w:ascii="Arial" w:cs="Arial" w:eastAsia="Arial" w:hAnsi="Arial"/>
                <w:sz w:val="18"/>
                <w:szCs w:val="18"/>
                <w:color w:val="auto"/>
              </w:rPr>
              <w:t>SoCalGas</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90"/>
              <w:spacing w:after="0"/>
              <w:rPr>
                <w:sz w:val="20"/>
                <w:szCs w:val="20"/>
                <w:color w:val="auto"/>
              </w:rPr>
            </w:pPr>
            <w:r>
              <w:rPr>
                <w:rFonts w:ascii="Arial" w:cs="Arial" w:eastAsia="Arial" w:hAnsi="Arial"/>
                <w:sz w:val="18"/>
                <w:szCs w:val="18"/>
                <w:color w:val="auto"/>
              </w:rPr>
              <w:t>6,406</w:t>
            </w: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21 %</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6,359</w:t>
            </w:r>
          </w:p>
        </w:tc>
        <w:tc>
          <w:tcPr>
            <w:tcW w:w="660" w:type="dxa"/>
            <w:vAlign w:val="bottom"/>
          </w:tcPr>
          <w:p>
            <w:pPr>
              <w:jc w:val="right"/>
              <w:ind w:right="70"/>
              <w:spacing w:after="0"/>
              <w:rPr>
                <w:sz w:val="20"/>
                <w:szCs w:val="20"/>
                <w:color w:val="auto"/>
              </w:rPr>
            </w:pPr>
            <w:r>
              <w:rPr>
                <w:rFonts w:ascii="Arial" w:cs="Arial" w:eastAsia="Arial" w:hAnsi="Arial"/>
                <w:sz w:val="18"/>
                <w:szCs w:val="18"/>
                <w:color w:val="auto"/>
              </w:rPr>
              <w:t>22 %</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50"/>
              <w:spacing w:after="0"/>
              <w:rPr>
                <w:sz w:val="20"/>
                <w:szCs w:val="20"/>
                <w:color w:val="auto"/>
              </w:rPr>
            </w:pPr>
            <w:r>
              <w:rPr>
                <w:rFonts w:ascii="Arial" w:cs="Arial" w:eastAsia="Arial" w:hAnsi="Arial"/>
                <w:sz w:val="18"/>
                <w:szCs w:val="18"/>
                <w:color w:val="auto"/>
              </w:rPr>
              <w:t>6,007</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21 %</w:t>
            </w:r>
          </w:p>
        </w:tc>
      </w:tr>
      <w:tr>
        <w:trPr>
          <w:trHeight w:val="243"/>
        </w:trPr>
        <w:tc>
          <w:tcPr>
            <w:tcW w:w="4020" w:type="dxa"/>
            <w:vAlign w:val="bottom"/>
          </w:tcPr>
          <w:p>
            <w:pPr>
              <w:ind w:left="280"/>
              <w:spacing w:after="0"/>
              <w:rPr>
                <w:sz w:val="20"/>
                <w:szCs w:val="20"/>
                <w:color w:val="auto"/>
              </w:rPr>
            </w:pPr>
            <w:r>
              <w:rPr>
                <w:rFonts w:ascii="Arial" w:cs="Arial" w:eastAsia="Arial" w:hAnsi="Arial"/>
                <w:sz w:val="18"/>
                <w:szCs w:val="18"/>
                <w:color w:val="auto"/>
              </w:rPr>
              <w:t>SDG&amp;E</w:t>
            </w:r>
          </w:p>
        </w:tc>
        <w:tc>
          <w:tcPr>
            <w:tcW w:w="300" w:type="dxa"/>
            <w:vAlign w:val="bottom"/>
          </w:tcPr>
          <w:p>
            <w:pPr>
              <w:spacing w:after="0"/>
              <w:rPr>
                <w:sz w:val="21"/>
                <w:szCs w:val="21"/>
                <w:color w:val="auto"/>
              </w:rPr>
            </w:pPr>
          </w:p>
        </w:tc>
        <w:tc>
          <w:tcPr>
            <w:tcW w:w="900" w:type="dxa"/>
            <w:vAlign w:val="bottom"/>
          </w:tcPr>
          <w:p>
            <w:pPr>
              <w:jc w:val="right"/>
              <w:ind w:right="190"/>
              <w:spacing w:after="0"/>
              <w:rPr>
                <w:sz w:val="20"/>
                <w:szCs w:val="20"/>
                <w:color w:val="auto"/>
              </w:rPr>
            </w:pPr>
            <w:r>
              <w:rPr>
                <w:rFonts w:ascii="Arial" w:cs="Arial" w:eastAsia="Arial" w:hAnsi="Arial"/>
                <w:sz w:val="18"/>
                <w:szCs w:val="18"/>
                <w:color w:val="auto"/>
              </w:rPr>
              <w:t>8,508</w:t>
            </w:r>
          </w:p>
        </w:tc>
        <w:tc>
          <w:tcPr>
            <w:tcW w:w="640" w:type="dxa"/>
            <w:vAlign w:val="bottom"/>
          </w:tcPr>
          <w:p>
            <w:pPr>
              <w:jc w:val="right"/>
              <w:ind w:right="210"/>
              <w:spacing w:after="0"/>
              <w:rPr>
                <w:sz w:val="20"/>
                <w:szCs w:val="20"/>
                <w:color w:val="auto"/>
              </w:rPr>
            </w:pPr>
            <w:r>
              <w:rPr>
                <w:rFonts w:ascii="Arial" w:cs="Arial" w:eastAsia="Arial" w:hAnsi="Arial"/>
                <w:sz w:val="18"/>
                <w:szCs w:val="18"/>
                <w:color w:val="auto"/>
              </w:rPr>
              <w:t>28</w:t>
            </w:r>
          </w:p>
        </w:tc>
        <w:tc>
          <w:tcPr>
            <w:tcW w:w="320" w:type="dxa"/>
            <w:vAlign w:val="bottom"/>
          </w:tcPr>
          <w:p>
            <w:pPr>
              <w:spacing w:after="0"/>
              <w:rPr>
                <w:sz w:val="21"/>
                <w:szCs w:val="21"/>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7,795</w:t>
            </w:r>
          </w:p>
        </w:tc>
        <w:tc>
          <w:tcPr>
            <w:tcW w:w="660" w:type="dxa"/>
            <w:vAlign w:val="bottom"/>
          </w:tcPr>
          <w:p>
            <w:pPr>
              <w:jc w:val="right"/>
              <w:ind w:right="250"/>
              <w:spacing w:after="0"/>
              <w:rPr>
                <w:sz w:val="20"/>
                <w:szCs w:val="20"/>
                <w:color w:val="auto"/>
              </w:rPr>
            </w:pPr>
            <w:r>
              <w:rPr>
                <w:rFonts w:ascii="Arial" w:cs="Arial" w:eastAsia="Arial" w:hAnsi="Arial"/>
                <w:sz w:val="18"/>
                <w:szCs w:val="18"/>
                <w:color w:val="auto"/>
              </w:rPr>
              <w:t>27</w:t>
            </w:r>
          </w:p>
        </w:tc>
        <w:tc>
          <w:tcPr>
            <w:tcW w:w="340" w:type="dxa"/>
            <w:vAlign w:val="bottom"/>
          </w:tcPr>
          <w:p>
            <w:pPr>
              <w:spacing w:after="0"/>
              <w:rPr>
                <w:sz w:val="21"/>
                <w:szCs w:val="21"/>
                <w:color w:val="auto"/>
              </w:rPr>
            </w:pPr>
          </w:p>
        </w:tc>
        <w:tc>
          <w:tcPr>
            <w:tcW w:w="800" w:type="dxa"/>
            <w:vAlign w:val="bottom"/>
          </w:tcPr>
          <w:p>
            <w:pPr>
              <w:jc w:val="right"/>
              <w:ind w:right="150"/>
              <w:spacing w:after="0"/>
              <w:rPr>
                <w:sz w:val="20"/>
                <w:szCs w:val="20"/>
                <w:color w:val="auto"/>
              </w:rPr>
            </w:pPr>
            <w:r>
              <w:rPr>
                <w:rFonts w:ascii="Arial" w:cs="Arial" w:eastAsia="Arial" w:hAnsi="Arial"/>
                <w:sz w:val="18"/>
                <w:szCs w:val="18"/>
                <w:color w:val="auto"/>
              </w:rPr>
              <w:t>7,492</w:t>
            </w:r>
          </w:p>
        </w:tc>
        <w:tc>
          <w:tcPr>
            <w:tcW w:w="580" w:type="dxa"/>
            <w:vAlign w:val="bottom"/>
          </w:tcPr>
          <w:p>
            <w:pPr>
              <w:jc w:val="right"/>
              <w:ind w:right="190"/>
              <w:spacing w:after="0"/>
              <w:rPr>
                <w:sz w:val="20"/>
                <w:szCs w:val="20"/>
                <w:color w:val="auto"/>
              </w:rPr>
            </w:pPr>
            <w:r>
              <w:rPr>
                <w:rFonts w:ascii="Arial" w:cs="Arial" w:eastAsia="Arial" w:hAnsi="Arial"/>
                <w:sz w:val="18"/>
                <w:szCs w:val="18"/>
                <w:color w:val="auto"/>
              </w:rPr>
              <w:t>26</w:t>
            </w:r>
          </w:p>
        </w:tc>
      </w:tr>
      <w:tr>
        <w:trPr>
          <w:trHeight w:val="243"/>
        </w:trPr>
        <w:tc>
          <w:tcPr>
            <w:tcW w:w="4020" w:type="dxa"/>
            <w:vAlign w:val="bottom"/>
          </w:tcPr>
          <w:p>
            <w:pPr>
              <w:ind w:left="280"/>
              <w:spacing w:after="0"/>
              <w:rPr>
                <w:sz w:val="20"/>
                <w:szCs w:val="20"/>
                <w:color w:val="auto"/>
              </w:rPr>
            </w:pPr>
            <w:r>
              <w:rPr>
                <w:rFonts w:ascii="Arial" w:cs="Arial" w:eastAsia="Arial" w:hAnsi="Arial"/>
                <w:sz w:val="18"/>
                <w:szCs w:val="18"/>
                <w:color w:val="auto"/>
              </w:rPr>
              <w:t>Sempra Commodities</w:t>
            </w:r>
          </w:p>
        </w:tc>
        <w:tc>
          <w:tcPr>
            <w:tcW w:w="300" w:type="dxa"/>
            <w:vAlign w:val="bottom"/>
          </w:tcPr>
          <w:p>
            <w:pPr>
              <w:spacing w:after="0"/>
              <w:rPr>
                <w:sz w:val="21"/>
                <w:szCs w:val="21"/>
                <w:color w:val="auto"/>
              </w:rPr>
            </w:pPr>
          </w:p>
        </w:tc>
        <w:tc>
          <w:tcPr>
            <w:tcW w:w="900" w:type="dxa"/>
            <w:vAlign w:val="bottom"/>
          </w:tcPr>
          <w:p>
            <w:pPr>
              <w:jc w:val="right"/>
              <w:ind w:right="190"/>
              <w:spacing w:after="0"/>
              <w:rPr>
                <w:sz w:val="20"/>
                <w:szCs w:val="20"/>
                <w:color w:val="auto"/>
              </w:rPr>
            </w:pPr>
            <w:r>
              <w:rPr>
                <w:rFonts w:ascii="Arial" w:cs="Arial" w:eastAsia="Arial" w:hAnsi="Arial"/>
                <w:sz w:val="18"/>
                <w:szCs w:val="18"/>
                <w:color w:val="auto"/>
              </w:rPr>
              <w:t>9,985</w:t>
            </w:r>
          </w:p>
        </w:tc>
        <w:tc>
          <w:tcPr>
            <w:tcW w:w="640" w:type="dxa"/>
            <w:vAlign w:val="bottom"/>
          </w:tcPr>
          <w:p>
            <w:pPr>
              <w:jc w:val="right"/>
              <w:ind w:right="210"/>
              <w:spacing w:after="0"/>
              <w:rPr>
                <w:sz w:val="20"/>
                <w:szCs w:val="20"/>
                <w:color w:val="auto"/>
              </w:rPr>
            </w:pPr>
            <w:r>
              <w:rPr>
                <w:rFonts w:ascii="Arial" w:cs="Arial" w:eastAsia="Arial" w:hAnsi="Arial"/>
                <w:sz w:val="18"/>
                <w:szCs w:val="18"/>
                <w:color w:val="auto"/>
              </w:rPr>
              <w:t>33</w:t>
            </w:r>
          </w:p>
        </w:tc>
        <w:tc>
          <w:tcPr>
            <w:tcW w:w="320" w:type="dxa"/>
            <w:vAlign w:val="bottom"/>
          </w:tcPr>
          <w:p>
            <w:pPr>
              <w:spacing w:after="0"/>
              <w:rPr>
                <w:sz w:val="21"/>
                <w:szCs w:val="21"/>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9,881</w:t>
            </w:r>
          </w:p>
        </w:tc>
        <w:tc>
          <w:tcPr>
            <w:tcW w:w="660" w:type="dxa"/>
            <w:vAlign w:val="bottom"/>
          </w:tcPr>
          <w:p>
            <w:pPr>
              <w:jc w:val="right"/>
              <w:ind w:right="250"/>
              <w:spacing w:after="0"/>
              <w:rPr>
                <w:sz w:val="20"/>
                <w:szCs w:val="20"/>
                <w:color w:val="auto"/>
              </w:rPr>
            </w:pPr>
            <w:r>
              <w:rPr>
                <w:rFonts w:ascii="Arial" w:cs="Arial" w:eastAsia="Arial" w:hAnsi="Arial"/>
                <w:sz w:val="18"/>
                <w:szCs w:val="18"/>
                <w:color w:val="auto"/>
              </w:rPr>
              <w:t>34</w:t>
            </w:r>
          </w:p>
        </w:tc>
        <w:tc>
          <w:tcPr>
            <w:tcW w:w="340" w:type="dxa"/>
            <w:vAlign w:val="bottom"/>
          </w:tcPr>
          <w:p>
            <w:pPr>
              <w:spacing w:after="0"/>
              <w:rPr>
                <w:sz w:val="21"/>
                <w:szCs w:val="21"/>
                <w:color w:val="auto"/>
              </w:rPr>
            </w:pPr>
          </w:p>
        </w:tc>
        <w:tc>
          <w:tcPr>
            <w:tcW w:w="800" w:type="dxa"/>
            <w:vAlign w:val="bottom"/>
          </w:tcPr>
          <w:p>
            <w:pPr>
              <w:jc w:val="right"/>
              <w:ind w:right="150"/>
              <w:spacing w:after="0"/>
              <w:rPr>
                <w:sz w:val="20"/>
                <w:szCs w:val="20"/>
                <w:color w:val="auto"/>
              </w:rPr>
            </w:pPr>
            <w:r>
              <w:rPr>
                <w:rFonts w:ascii="Arial" w:cs="Arial" w:eastAsia="Arial" w:hAnsi="Arial"/>
                <w:sz w:val="18"/>
                <w:szCs w:val="18"/>
                <w:color w:val="auto"/>
                <w:w w:val="98"/>
              </w:rPr>
              <w:t>11,262</w:t>
            </w:r>
          </w:p>
        </w:tc>
        <w:tc>
          <w:tcPr>
            <w:tcW w:w="580" w:type="dxa"/>
            <w:vAlign w:val="bottom"/>
          </w:tcPr>
          <w:p>
            <w:pPr>
              <w:jc w:val="right"/>
              <w:ind w:right="190"/>
              <w:spacing w:after="0"/>
              <w:rPr>
                <w:sz w:val="20"/>
                <w:szCs w:val="20"/>
                <w:color w:val="auto"/>
              </w:rPr>
            </w:pPr>
            <w:r>
              <w:rPr>
                <w:rFonts w:ascii="Arial" w:cs="Arial" w:eastAsia="Arial" w:hAnsi="Arial"/>
                <w:sz w:val="18"/>
                <w:szCs w:val="18"/>
                <w:color w:val="auto"/>
              </w:rPr>
              <w:t>38</w:t>
            </w:r>
          </w:p>
        </w:tc>
      </w:tr>
      <w:tr>
        <w:trPr>
          <w:trHeight w:val="243"/>
        </w:trPr>
        <w:tc>
          <w:tcPr>
            <w:tcW w:w="4020" w:type="dxa"/>
            <w:vAlign w:val="bottom"/>
          </w:tcPr>
          <w:p>
            <w:pPr>
              <w:ind w:left="280"/>
              <w:spacing w:after="0"/>
              <w:rPr>
                <w:sz w:val="20"/>
                <w:szCs w:val="20"/>
                <w:color w:val="auto"/>
              </w:rPr>
            </w:pPr>
            <w:r>
              <w:rPr>
                <w:rFonts w:ascii="Arial" w:cs="Arial" w:eastAsia="Arial" w:hAnsi="Arial"/>
                <w:sz w:val="18"/>
                <w:szCs w:val="18"/>
                <w:color w:val="auto"/>
              </w:rPr>
              <w:t>Sempra Generation</w:t>
            </w:r>
          </w:p>
        </w:tc>
        <w:tc>
          <w:tcPr>
            <w:tcW w:w="300" w:type="dxa"/>
            <w:vAlign w:val="bottom"/>
          </w:tcPr>
          <w:p>
            <w:pPr>
              <w:spacing w:after="0"/>
              <w:rPr>
                <w:sz w:val="21"/>
                <w:szCs w:val="21"/>
                <w:color w:val="auto"/>
              </w:rPr>
            </w:pPr>
          </w:p>
        </w:tc>
        <w:tc>
          <w:tcPr>
            <w:tcW w:w="900" w:type="dxa"/>
            <w:vAlign w:val="bottom"/>
          </w:tcPr>
          <w:p>
            <w:pPr>
              <w:jc w:val="right"/>
              <w:ind w:right="190"/>
              <w:spacing w:after="0"/>
              <w:rPr>
                <w:sz w:val="20"/>
                <w:szCs w:val="20"/>
                <w:color w:val="auto"/>
              </w:rPr>
            </w:pPr>
            <w:r>
              <w:rPr>
                <w:rFonts w:ascii="Arial" w:cs="Arial" w:eastAsia="Arial" w:hAnsi="Arial"/>
                <w:sz w:val="18"/>
                <w:szCs w:val="18"/>
                <w:color w:val="auto"/>
              </w:rPr>
              <w:t>1,759</w:t>
            </w:r>
          </w:p>
        </w:tc>
        <w:tc>
          <w:tcPr>
            <w:tcW w:w="640" w:type="dxa"/>
            <w:vAlign w:val="bottom"/>
          </w:tcPr>
          <w:p>
            <w:pPr>
              <w:jc w:val="right"/>
              <w:ind w:right="210"/>
              <w:spacing w:after="0"/>
              <w:rPr>
                <w:sz w:val="20"/>
                <w:szCs w:val="20"/>
                <w:color w:val="auto"/>
              </w:rPr>
            </w:pPr>
            <w:r>
              <w:rPr>
                <w:rFonts w:ascii="Arial" w:cs="Arial" w:eastAsia="Arial" w:hAnsi="Arial"/>
                <w:sz w:val="18"/>
                <w:szCs w:val="18"/>
                <w:color w:val="auto"/>
              </w:rPr>
              <w:t>6</w:t>
            </w:r>
          </w:p>
        </w:tc>
        <w:tc>
          <w:tcPr>
            <w:tcW w:w="320" w:type="dxa"/>
            <w:vAlign w:val="bottom"/>
          </w:tcPr>
          <w:p>
            <w:pPr>
              <w:spacing w:after="0"/>
              <w:rPr>
                <w:sz w:val="21"/>
                <w:szCs w:val="21"/>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2,416</w:t>
            </w:r>
          </w:p>
        </w:tc>
        <w:tc>
          <w:tcPr>
            <w:tcW w:w="660" w:type="dxa"/>
            <w:vAlign w:val="bottom"/>
          </w:tcPr>
          <w:p>
            <w:pPr>
              <w:jc w:val="right"/>
              <w:ind w:right="250"/>
              <w:spacing w:after="0"/>
              <w:rPr>
                <w:sz w:val="20"/>
                <w:szCs w:val="20"/>
                <w:color w:val="auto"/>
              </w:rPr>
            </w:pPr>
            <w:r>
              <w:rPr>
                <w:rFonts w:ascii="Arial" w:cs="Arial" w:eastAsia="Arial" w:hAnsi="Arial"/>
                <w:sz w:val="18"/>
                <w:szCs w:val="18"/>
                <w:color w:val="auto"/>
              </w:rPr>
              <w:t>8</w:t>
            </w:r>
          </w:p>
        </w:tc>
        <w:tc>
          <w:tcPr>
            <w:tcW w:w="340" w:type="dxa"/>
            <w:vAlign w:val="bottom"/>
          </w:tcPr>
          <w:p>
            <w:pPr>
              <w:spacing w:after="0"/>
              <w:rPr>
                <w:sz w:val="21"/>
                <w:szCs w:val="21"/>
                <w:color w:val="auto"/>
              </w:rPr>
            </w:pPr>
          </w:p>
        </w:tc>
        <w:tc>
          <w:tcPr>
            <w:tcW w:w="800" w:type="dxa"/>
            <w:vAlign w:val="bottom"/>
          </w:tcPr>
          <w:p>
            <w:pPr>
              <w:jc w:val="right"/>
              <w:ind w:right="150"/>
              <w:spacing w:after="0"/>
              <w:rPr>
                <w:sz w:val="20"/>
                <w:szCs w:val="20"/>
                <w:color w:val="auto"/>
              </w:rPr>
            </w:pPr>
            <w:r>
              <w:rPr>
                <w:rFonts w:ascii="Arial" w:cs="Arial" w:eastAsia="Arial" w:hAnsi="Arial"/>
                <w:sz w:val="18"/>
                <w:szCs w:val="18"/>
                <w:color w:val="auto"/>
              </w:rPr>
              <w:t>2,774</w:t>
            </w:r>
          </w:p>
        </w:tc>
        <w:tc>
          <w:tcPr>
            <w:tcW w:w="580" w:type="dxa"/>
            <w:vAlign w:val="bottom"/>
          </w:tcPr>
          <w:p>
            <w:pPr>
              <w:jc w:val="right"/>
              <w:ind w:right="190"/>
              <w:spacing w:after="0"/>
              <w:rPr>
                <w:sz w:val="20"/>
                <w:szCs w:val="20"/>
                <w:color w:val="auto"/>
              </w:rPr>
            </w:pPr>
            <w:r>
              <w:rPr>
                <w:rFonts w:ascii="Arial" w:cs="Arial" w:eastAsia="Arial" w:hAnsi="Arial"/>
                <w:sz w:val="18"/>
                <w:szCs w:val="18"/>
                <w:color w:val="auto"/>
              </w:rPr>
              <w:t>9</w:t>
            </w:r>
          </w:p>
        </w:tc>
      </w:tr>
      <w:tr>
        <w:trPr>
          <w:trHeight w:val="243"/>
        </w:trPr>
        <w:tc>
          <w:tcPr>
            <w:tcW w:w="4020" w:type="dxa"/>
            <w:vAlign w:val="bottom"/>
          </w:tcPr>
          <w:p>
            <w:pPr>
              <w:ind w:left="280"/>
              <w:spacing w:after="0"/>
              <w:rPr>
                <w:sz w:val="20"/>
                <w:szCs w:val="20"/>
                <w:color w:val="auto"/>
              </w:rPr>
            </w:pPr>
            <w:r>
              <w:rPr>
                <w:rFonts w:ascii="Arial" w:cs="Arial" w:eastAsia="Arial" w:hAnsi="Arial"/>
                <w:sz w:val="18"/>
                <w:szCs w:val="18"/>
                <w:color w:val="auto"/>
              </w:rPr>
              <w:t>Sempra Pipelines &amp; Storage</w:t>
            </w:r>
          </w:p>
        </w:tc>
        <w:tc>
          <w:tcPr>
            <w:tcW w:w="300" w:type="dxa"/>
            <w:vAlign w:val="bottom"/>
          </w:tcPr>
          <w:p>
            <w:pPr>
              <w:spacing w:after="0"/>
              <w:rPr>
                <w:sz w:val="21"/>
                <w:szCs w:val="21"/>
                <w:color w:val="auto"/>
              </w:rPr>
            </w:pPr>
          </w:p>
        </w:tc>
        <w:tc>
          <w:tcPr>
            <w:tcW w:w="900" w:type="dxa"/>
            <w:vAlign w:val="bottom"/>
          </w:tcPr>
          <w:p>
            <w:pPr>
              <w:jc w:val="right"/>
              <w:ind w:right="190"/>
              <w:spacing w:after="0"/>
              <w:rPr>
                <w:sz w:val="20"/>
                <w:szCs w:val="20"/>
                <w:color w:val="auto"/>
              </w:rPr>
            </w:pPr>
            <w:r>
              <w:rPr>
                <w:rFonts w:ascii="Arial" w:cs="Arial" w:eastAsia="Arial" w:hAnsi="Arial"/>
                <w:sz w:val="18"/>
                <w:szCs w:val="18"/>
                <w:color w:val="auto"/>
              </w:rPr>
              <w:t>2,287</w:t>
            </w:r>
          </w:p>
        </w:tc>
        <w:tc>
          <w:tcPr>
            <w:tcW w:w="640" w:type="dxa"/>
            <w:vAlign w:val="bottom"/>
          </w:tcPr>
          <w:p>
            <w:pPr>
              <w:jc w:val="right"/>
              <w:ind w:right="210"/>
              <w:spacing w:after="0"/>
              <w:rPr>
                <w:sz w:val="20"/>
                <w:szCs w:val="20"/>
                <w:color w:val="auto"/>
              </w:rPr>
            </w:pPr>
            <w:r>
              <w:rPr>
                <w:rFonts w:ascii="Arial" w:cs="Arial" w:eastAsia="Arial" w:hAnsi="Arial"/>
                <w:sz w:val="18"/>
                <w:szCs w:val="18"/>
                <w:color w:val="auto"/>
              </w:rPr>
              <w:t>8</w:t>
            </w:r>
          </w:p>
        </w:tc>
        <w:tc>
          <w:tcPr>
            <w:tcW w:w="320" w:type="dxa"/>
            <w:vAlign w:val="bottom"/>
          </w:tcPr>
          <w:p>
            <w:pPr>
              <w:spacing w:after="0"/>
              <w:rPr>
                <w:sz w:val="21"/>
                <w:szCs w:val="21"/>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2,215</w:t>
            </w:r>
          </w:p>
        </w:tc>
        <w:tc>
          <w:tcPr>
            <w:tcW w:w="660" w:type="dxa"/>
            <w:vAlign w:val="bottom"/>
          </w:tcPr>
          <w:p>
            <w:pPr>
              <w:jc w:val="right"/>
              <w:ind w:right="250"/>
              <w:spacing w:after="0"/>
              <w:rPr>
                <w:sz w:val="20"/>
                <w:szCs w:val="20"/>
                <w:color w:val="auto"/>
              </w:rPr>
            </w:pPr>
            <w:r>
              <w:rPr>
                <w:rFonts w:ascii="Arial" w:cs="Arial" w:eastAsia="Arial" w:hAnsi="Arial"/>
                <w:sz w:val="18"/>
                <w:szCs w:val="18"/>
                <w:color w:val="auto"/>
              </w:rPr>
              <w:t>8</w:t>
            </w:r>
          </w:p>
        </w:tc>
        <w:tc>
          <w:tcPr>
            <w:tcW w:w="340" w:type="dxa"/>
            <w:vAlign w:val="bottom"/>
          </w:tcPr>
          <w:p>
            <w:pPr>
              <w:spacing w:after="0"/>
              <w:rPr>
                <w:sz w:val="21"/>
                <w:szCs w:val="21"/>
                <w:color w:val="auto"/>
              </w:rPr>
            </w:pPr>
          </w:p>
        </w:tc>
        <w:tc>
          <w:tcPr>
            <w:tcW w:w="800" w:type="dxa"/>
            <w:vAlign w:val="bottom"/>
          </w:tcPr>
          <w:p>
            <w:pPr>
              <w:jc w:val="right"/>
              <w:ind w:right="150"/>
              <w:spacing w:after="0"/>
              <w:rPr>
                <w:sz w:val="20"/>
                <w:szCs w:val="20"/>
                <w:color w:val="auto"/>
              </w:rPr>
            </w:pPr>
            <w:r>
              <w:rPr>
                <w:rFonts w:ascii="Arial" w:cs="Arial" w:eastAsia="Arial" w:hAnsi="Arial"/>
                <w:sz w:val="18"/>
                <w:szCs w:val="18"/>
                <w:color w:val="auto"/>
              </w:rPr>
              <w:t>1,775</w:t>
            </w:r>
          </w:p>
        </w:tc>
        <w:tc>
          <w:tcPr>
            <w:tcW w:w="580" w:type="dxa"/>
            <w:vAlign w:val="bottom"/>
          </w:tcPr>
          <w:p>
            <w:pPr>
              <w:jc w:val="right"/>
              <w:ind w:right="190"/>
              <w:spacing w:after="0"/>
              <w:rPr>
                <w:sz w:val="20"/>
                <w:szCs w:val="20"/>
                <w:color w:val="auto"/>
              </w:rPr>
            </w:pPr>
            <w:r>
              <w:rPr>
                <w:rFonts w:ascii="Arial" w:cs="Arial" w:eastAsia="Arial" w:hAnsi="Arial"/>
                <w:sz w:val="18"/>
                <w:szCs w:val="18"/>
                <w:color w:val="auto"/>
              </w:rPr>
              <w:t>6</w:t>
            </w:r>
          </w:p>
        </w:tc>
      </w:tr>
      <w:tr>
        <w:trPr>
          <w:trHeight w:val="243"/>
        </w:trPr>
        <w:tc>
          <w:tcPr>
            <w:tcW w:w="4020" w:type="dxa"/>
            <w:vAlign w:val="bottom"/>
          </w:tcPr>
          <w:p>
            <w:pPr>
              <w:ind w:left="280"/>
              <w:spacing w:after="0"/>
              <w:rPr>
                <w:sz w:val="20"/>
                <w:szCs w:val="20"/>
                <w:color w:val="auto"/>
              </w:rPr>
            </w:pPr>
            <w:r>
              <w:rPr>
                <w:rFonts w:ascii="Arial" w:cs="Arial" w:eastAsia="Arial" w:hAnsi="Arial"/>
                <w:sz w:val="18"/>
                <w:szCs w:val="18"/>
                <w:color w:val="auto"/>
              </w:rPr>
              <w:t>Discontinued operations</w:t>
            </w:r>
          </w:p>
        </w:tc>
        <w:tc>
          <w:tcPr>
            <w:tcW w:w="300" w:type="dxa"/>
            <w:vAlign w:val="bottom"/>
          </w:tcPr>
          <w:p>
            <w:pPr>
              <w:spacing w:after="0"/>
              <w:rPr>
                <w:sz w:val="21"/>
                <w:szCs w:val="21"/>
                <w:color w:val="auto"/>
              </w:rPr>
            </w:pPr>
          </w:p>
        </w:tc>
        <w:tc>
          <w:tcPr>
            <w:tcW w:w="9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62</w:t>
            </w:r>
          </w:p>
        </w:tc>
        <w:tc>
          <w:tcPr>
            <w:tcW w:w="6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800" w:type="dxa"/>
            <w:vAlign w:val="bottom"/>
          </w:tcPr>
          <w:p>
            <w:pPr>
              <w:jc w:val="right"/>
              <w:ind w:right="150"/>
              <w:spacing w:after="0"/>
              <w:rPr>
                <w:sz w:val="20"/>
                <w:szCs w:val="20"/>
                <w:color w:val="auto"/>
              </w:rPr>
            </w:pPr>
            <w:r>
              <w:rPr>
                <w:rFonts w:ascii="Arial" w:cs="Arial" w:eastAsia="Arial" w:hAnsi="Arial"/>
                <w:sz w:val="18"/>
                <w:szCs w:val="18"/>
                <w:color w:val="auto"/>
              </w:rPr>
              <w:t>611</w:t>
            </w:r>
          </w:p>
        </w:tc>
        <w:tc>
          <w:tcPr>
            <w:tcW w:w="580" w:type="dxa"/>
            <w:vAlign w:val="bottom"/>
          </w:tcPr>
          <w:p>
            <w:pPr>
              <w:jc w:val="right"/>
              <w:ind w:right="190"/>
              <w:spacing w:after="0"/>
              <w:rPr>
                <w:sz w:val="20"/>
                <w:szCs w:val="20"/>
                <w:color w:val="auto"/>
              </w:rPr>
            </w:pPr>
            <w:r>
              <w:rPr>
                <w:rFonts w:ascii="Arial" w:cs="Arial" w:eastAsia="Arial" w:hAnsi="Arial"/>
                <w:sz w:val="18"/>
                <w:szCs w:val="18"/>
                <w:color w:val="auto"/>
              </w:rPr>
              <w:t>2</w:t>
            </w:r>
          </w:p>
        </w:tc>
      </w:tr>
      <w:tr>
        <w:trPr>
          <w:trHeight w:val="243"/>
        </w:trPr>
        <w:tc>
          <w:tcPr>
            <w:tcW w:w="4020" w:type="dxa"/>
            <w:vAlign w:val="bottom"/>
          </w:tcPr>
          <w:p>
            <w:pPr>
              <w:ind w:left="280"/>
              <w:spacing w:after="0"/>
              <w:rPr>
                <w:sz w:val="20"/>
                <w:szCs w:val="20"/>
                <w:color w:val="auto"/>
              </w:rPr>
            </w:pPr>
            <w:r>
              <w:rPr>
                <w:rFonts w:ascii="Arial" w:cs="Arial" w:eastAsia="Arial" w:hAnsi="Arial"/>
                <w:sz w:val="18"/>
                <w:szCs w:val="18"/>
                <w:color w:val="auto"/>
              </w:rPr>
              <w:t>All other</w:t>
            </w:r>
          </w:p>
        </w:tc>
        <w:tc>
          <w:tcPr>
            <w:tcW w:w="300" w:type="dxa"/>
            <w:vAlign w:val="bottom"/>
          </w:tcPr>
          <w:p>
            <w:pPr>
              <w:spacing w:after="0"/>
              <w:rPr>
                <w:sz w:val="21"/>
                <w:szCs w:val="21"/>
                <w:color w:val="auto"/>
              </w:rPr>
            </w:pPr>
          </w:p>
        </w:tc>
        <w:tc>
          <w:tcPr>
            <w:tcW w:w="900" w:type="dxa"/>
            <w:vAlign w:val="bottom"/>
          </w:tcPr>
          <w:p>
            <w:pPr>
              <w:jc w:val="right"/>
              <w:ind w:right="190"/>
              <w:spacing w:after="0"/>
              <w:rPr>
                <w:sz w:val="20"/>
                <w:szCs w:val="20"/>
                <w:color w:val="auto"/>
              </w:rPr>
            </w:pPr>
            <w:r>
              <w:rPr>
                <w:rFonts w:ascii="Arial" w:cs="Arial" w:eastAsia="Arial" w:hAnsi="Arial"/>
                <w:sz w:val="18"/>
                <w:szCs w:val="18"/>
                <w:color w:val="auto"/>
              </w:rPr>
              <w:t>2,182</w:t>
            </w:r>
          </w:p>
        </w:tc>
        <w:tc>
          <w:tcPr>
            <w:tcW w:w="640" w:type="dxa"/>
            <w:vAlign w:val="bottom"/>
          </w:tcPr>
          <w:p>
            <w:pPr>
              <w:jc w:val="right"/>
              <w:ind w:right="210"/>
              <w:spacing w:after="0"/>
              <w:rPr>
                <w:sz w:val="20"/>
                <w:szCs w:val="20"/>
                <w:color w:val="auto"/>
              </w:rPr>
            </w:pPr>
            <w:r>
              <w:rPr>
                <w:rFonts w:ascii="Arial" w:cs="Arial" w:eastAsia="Arial" w:hAnsi="Arial"/>
                <w:sz w:val="18"/>
                <w:szCs w:val="18"/>
                <w:color w:val="auto"/>
              </w:rPr>
              <w:t>7</w:t>
            </w:r>
          </w:p>
        </w:tc>
        <w:tc>
          <w:tcPr>
            <w:tcW w:w="320" w:type="dxa"/>
            <w:vAlign w:val="bottom"/>
          </w:tcPr>
          <w:p>
            <w:pPr>
              <w:spacing w:after="0"/>
              <w:rPr>
                <w:sz w:val="21"/>
                <w:szCs w:val="21"/>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1,922</w:t>
            </w:r>
          </w:p>
        </w:tc>
        <w:tc>
          <w:tcPr>
            <w:tcW w:w="660" w:type="dxa"/>
            <w:vAlign w:val="bottom"/>
          </w:tcPr>
          <w:p>
            <w:pPr>
              <w:jc w:val="right"/>
              <w:ind w:right="250"/>
              <w:spacing w:after="0"/>
              <w:rPr>
                <w:sz w:val="20"/>
                <w:szCs w:val="20"/>
                <w:color w:val="auto"/>
              </w:rPr>
            </w:pPr>
            <w:r>
              <w:rPr>
                <w:rFonts w:ascii="Arial" w:cs="Arial" w:eastAsia="Arial" w:hAnsi="Arial"/>
                <w:sz w:val="18"/>
                <w:szCs w:val="18"/>
                <w:color w:val="auto"/>
              </w:rPr>
              <w:t>7</w:t>
            </w:r>
          </w:p>
        </w:tc>
        <w:tc>
          <w:tcPr>
            <w:tcW w:w="340" w:type="dxa"/>
            <w:vAlign w:val="bottom"/>
          </w:tcPr>
          <w:p>
            <w:pPr>
              <w:spacing w:after="0"/>
              <w:rPr>
                <w:sz w:val="21"/>
                <w:szCs w:val="21"/>
                <w:color w:val="auto"/>
              </w:rPr>
            </w:pPr>
          </w:p>
        </w:tc>
        <w:tc>
          <w:tcPr>
            <w:tcW w:w="800" w:type="dxa"/>
            <w:vAlign w:val="bottom"/>
          </w:tcPr>
          <w:p>
            <w:pPr>
              <w:jc w:val="right"/>
              <w:ind w:right="150"/>
              <w:spacing w:after="0"/>
              <w:rPr>
                <w:sz w:val="20"/>
                <w:szCs w:val="20"/>
                <w:color w:val="auto"/>
              </w:rPr>
            </w:pPr>
            <w:r>
              <w:rPr>
                <w:rFonts w:ascii="Arial" w:cs="Arial" w:eastAsia="Arial" w:hAnsi="Arial"/>
                <w:sz w:val="18"/>
                <w:szCs w:val="18"/>
                <w:color w:val="auto"/>
              </w:rPr>
              <w:t>567</w:t>
            </w:r>
          </w:p>
        </w:tc>
        <w:tc>
          <w:tcPr>
            <w:tcW w:w="580" w:type="dxa"/>
            <w:vAlign w:val="bottom"/>
          </w:tcPr>
          <w:p>
            <w:pPr>
              <w:jc w:val="right"/>
              <w:ind w:right="190"/>
              <w:spacing w:after="0"/>
              <w:rPr>
                <w:sz w:val="20"/>
                <w:szCs w:val="20"/>
                <w:color w:val="auto"/>
              </w:rPr>
            </w:pPr>
            <w:r>
              <w:rPr>
                <w:rFonts w:ascii="Arial" w:cs="Arial" w:eastAsia="Arial" w:hAnsi="Arial"/>
                <w:sz w:val="18"/>
                <w:szCs w:val="18"/>
                <w:color w:val="auto"/>
              </w:rPr>
              <w:t>2</w:t>
            </w:r>
          </w:p>
        </w:tc>
      </w:tr>
      <w:tr>
        <w:trPr>
          <w:trHeight w:val="250"/>
        </w:trPr>
        <w:tc>
          <w:tcPr>
            <w:tcW w:w="4020" w:type="dxa"/>
            <w:vAlign w:val="bottom"/>
          </w:tcPr>
          <w:p>
            <w:pPr>
              <w:ind w:left="280"/>
              <w:spacing w:after="0"/>
              <w:rPr>
                <w:sz w:val="20"/>
                <w:szCs w:val="20"/>
                <w:color w:val="auto"/>
              </w:rPr>
            </w:pPr>
            <w:r>
              <w:rPr>
                <w:rFonts w:ascii="Arial" w:cs="Arial" w:eastAsia="Arial" w:hAnsi="Arial"/>
                <w:sz w:val="18"/>
                <w:szCs w:val="18"/>
                <w:color w:val="auto"/>
              </w:rPr>
              <w:t>Intersegment receivables</w:t>
            </w:r>
          </w:p>
        </w:tc>
        <w:tc>
          <w:tcPr>
            <w:tcW w:w="3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(1,036 )</w:t>
            </w: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(3 )</w:t>
            </w:r>
          </w:p>
        </w:tc>
        <w:tc>
          <w:tcPr>
            <w:tcW w:w="3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(1,701 )</w:t>
            </w:r>
          </w:p>
        </w:tc>
        <w:tc>
          <w:tcPr>
            <w:tcW w:w="6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(6 )</w:t>
            </w:r>
          </w:p>
        </w:tc>
        <w:tc>
          <w:tcPr>
            <w:tcW w:w="3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(1,242 )</w:t>
            </w:r>
          </w:p>
        </w:tc>
        <w:tc>
          <w:tcPr>
            <w:tcW w:w="5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(4 )</w:t>
            </w:r>
          </w:p>
        </w:tc>
      </w:tr>
      <w:tr>
        <w:trPr>
          <w:trHeight w:val="264"/>
        </w:trPr>
        <w:tc>
          <w:tcPr>
            <w:tcW w:w="402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30,091</w:t>
            </w:r>
          </w:p>
        </w:tc>
        <w:tc>
          <w:tcPr>
            <w:tcW w:w="6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3"/>
              </w:rPr>
              <w:t>100 %</w:t>
            </w:r>
          </w:p>
        </w:tc>
        <w:tc>
          <w:tcPr>
            <w:tcW w:w="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28,949</w:t>
            </w:r>
          </w:p>
        </w:tc>
        <w:tc>
          <w:tcPr>
            <w:tcW w:w="6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3"/>
              </w:rPr>
              <w:t>100 %</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8"/>
              </w:rPr>
              <w:t>29,246</w:t>
            </w:r>
          </w:p>
        </w:tc>
        <w:tc>
          <w:tcPr>
            <w:tcW w:w="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0"/>
              </w:rPr>
              <w:t>100 %</w:t>
            </w:r>
          </w:p>
        </w:tc>
      </w:tr>
      <w:tr>
        <w:trPr>
          <w:trHeight w:val="215"/>
        </w:trPr>
        <w:tc>
          <w:tcPr>
            <w:tcW w:w="4020" w:type="dxa"/>
            <w:vAlign w:val="bottom"/>
          </w:tcPr>
          <w:p>
            <w:pPr>
              <w:ind w:left="20"/>
              <w:spacing w:after="0"/>
              <w:rPr>
                <w:sz w:val="20"/>
                <w:szCs w:val="20"/>
                <w:color w:val="auto"/>
              </w:rPr>
            </w:pPr>
            <w:r>
              <w:rPr>
                <w:rFonts w:ascii="Arial" w:cs="Arial" w:eastAsia="Arial" w:hAnsi="Arial"/>
                <w:sz w:val="18"/>
                <w:szCs w:val="18"/>
                <w:color w:val="auto"/>
              </w:rPr>
              <w:t>EXPENDITURES FOR PROPERTY,</w:t>
            </w: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30"/>
        </w:trPr>
        <w:tc>
          <w:tcPr>
            <w:tcW w:w="4020" w:type="dxa"/>
            <w:vAlign w:val="bottom"/>
          </w:tcPr>
          <w:p>
            <w:pPr>
              <w:ind w:left="20"/>
              <w:spacing w:after="0"/>
              <w:rPr>
                <w:sz w:val="20"/>
                <w:szCs w:val="20"/>
                <w:color w:val="auto"/>
              </w:rPr>
            </w:pPr>
            <w:r>
              <w:rPr>
                <w:rFonts w:ascii="Arial" w:cs="Arial" w:eastAsia="Arial" w:hAnsi="Arial"/>
                <w:sz w:val="18"/>
                <w:szCs w:val="18"/>
                <w:color w:val="auto"/>
              </w:rPr>
              <w:t>PLANT &amp; EQUIPMENT</w:t>
            </w: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43"/>
        </w:trPr>
        <w:tc>
          <w:tcPr>
            <w:tcW w:w="4020" w:type="dxa"/>
            <w:vAlign w:val="bottom"/>
          </w:tcPr>
          <w:p>
            <w:pPr>
              <w:ind w:left="280"/>
              <w:spacing w:after="0"/>
              <w:rPr>
                <w:sz w:val="20"/>
                <w:szCs w:val="20"/>
                <w:color w:val="auto"/>
              </w:rPr>
            </w:pPr>
            <w:r>
              <w:rPr>
                <w:rFonts w:ascii="Arial" w:cs="Arial" w:eastAsia="Arial" w:hAnsi="Arial"/>
                <w:sz w:val="18"/>
                <w:szCs w:val="18"/>
                <w:color w:val="auto"/>
              </w:rPr>
              <w:t>SoCalGas</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90"/>
              <w:spacing w:after="0"/>
              <w:rPr>
                <w:sz w:val="20"/>
                <w:szCs w:val="20"/>
                <w:color w:val="auto"/>
              </w:rPr>
            </w:pPr>
            <w:r>
              <w:rPr>
                <w:rFonts w:ascii="Arial" w:cs="Arial" w:eastAsia="Arial" w:hAnsi="Arial"/>
                <w:sz w:val="18"/>
                <w:szCs w:val="18"/>
                <w:color w:val="auto"/>
              </w:rPr>
              <w:t>457</w:t>
            </w: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23 %</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413</w:t>
            </w:r>
          </w:p>
        </w:tc>
        <w:tc>
          <w:tcPr>
            <w:tcW w:w="660" w:type="dxa"/>
            <w:vAlign w:val="bottom"/>
          </w:tcPr>
          <w:p>
            <w:pPr>
              <w:jc w:val="right"/>
              <w:ind w:right="70"/>
              <w:spacing w:after="0"/>
              <w:rPr>
                <w:sz w:val="20"/>
                <w:szCs w:val="20"/>
                <w:color w:val="auto"/>
              </w:rPr>
            </w:pPr>
            <w:r>
              <w:rPr>
                <w:rFonts w:ascii="Arial" w:cs="Arial" w:eastAsia="Arial" w:hAnsi="Arial"/>
                <w:sz w:val="18"/>
                <w:szCs w:val="18"/>
                <w:color w:val="auto"/>
              </w:rPr>
              <w:t>22 %</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50"/>
              <w:spacing w:after="0"/>
              <w:rPr>
                <w:sz w:val="20"/>
                <w:szCs w:val="20"/>
                <w:color w:val="auto"/>
              </w:rPr>
            </w:pPr>
            <w:r>
              <w:rPr>
                <w:rFonts w:ascii="Arial" w:cs="Arial" w:eastAsia="Arial" w:hAnsi="Arial"/>
                <w:sz w:val="18"/>
                <w:szCs w:val="18"/>
                <w:color w:val="auto"/>
              </w:rPr>
              <w:t>361</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26 %</w:t>
            </w:r>
          </w:p>
        </w:tc>
      </w:tr>
      <w:tr>
        <w:trPr>
          <w:trHeight w:val="243"/>
        </w:trPr>
        <w:tc>
          <w:tcPr>
            <w:tcW w:w="4020" w:type="dxa"/>
            <w:vAlign w:val="bottom"/>
          </w:tcPr>
          <w:p>
            <w:pPr>
              <w:ind w:left="280"/>
              <w:spacing w:after="0"/>
              <w:rPr>
                <w:sz w:val="20"/>
                <w:szCs w:val="20"/>
                <w:color w:val="auto"/>
              </w:rPr>
            </w:pPr>
            <w:r>
              <w:rPr>
                <w:rFonts w:ascii="Arial" w:cs="Arial" w:eastAsia="Arial" w:hAnsi="Arial"/>
                <w:sz w:val="18"/>
                <w:szCs w:val="18"/>
                <w:color w:val="auto"/>
              </w:rPr>
              <w:t>SDG&amp;E</w:t>
            </w:r>
          </w:p>
        </w:tc>
        <w:tc>
          <w:tcPr>
            <w:tcW w:w="300" w:type="dxa"/>
            <w:vAlign w:val="bottom"/>
          </w:tcPr>
          <w:p>
            <w:pPr>
              <w:spacing w:after="0"/>
              <w:rPr>
                <w:sz w:val="21"/>
                <w:szCs w:val="21"/>
                <w:color w:val="auto"/>
              </w:rPr>
            </w:pPr>
          </w:p>
        </w:tc>
        <w:tc>
          <w:tcPr>
            <w:tcW w:w="900" w:type="dxa"/>
            <w:vAlign w:val="bottom"/>
          </w:tcPr>
          <w:p>
            <w:pPr>
              <w:jc w:val="right"/>
              <w:ind w:right="190"/>
              <w:spacing w:after="0"/>
              <w:rPr>
                <w:sz w:val="20"/>
                <w:szCs w:val="20"/>
                <w:color w:val="auto"/>
              </w:rPr>
            </w:pPr>
            <w:r>
              <w:rPr>
                <w:rFonts w:ascii="Arial" w:cs="Arial" w:eastAsia="Arial" w:hAnsi="Arial"/>
                <w:sz w:val="18"/>
                <w:szCs w:val="18"/>
                <w:color w:val="auto"/>
              </w:rPr>
              <w:t>714</w:t>
            </w:r>
          </w:p>
        </w:tc>
        <w:tc>
          <w:tcPr>
            <w:tcW w:w="640" w:type="dxa"/>
            <w:vAlign w:val="bottom"/>
          </w:tcPr>
          <w:p>
            <w:pPr>
              <w:jc w:val="right"/>
              <w:ind w:right="210"/>
              <w:spacing w:after="0"/>
              <w:rPr>
                <w:sz w:val="20"/>
                <w:szCs w:val="20"/>
                <w:color w:val="auto"/>
              </w:rPr>
            </w:pPr>
            <w:r>
              <w:rPr>
                <w:rFonts w:ascii="Arial" w:cs="Arial" w:eastAsia="Arial" w:hAnsi="Arial"/>
                <w:sz w:val="18"/>
                <w:szCs w:val="18"/>
                <w:color w:val="auto"/>
              </w:rPr>
              <w:t>35</w:t>
            </w:r>
          </w:p>
        </w:tc>
        <w:tc>
          <w:tcPr>
            <w:tcW w:w="320" w:type="dxa"/>
            <w:vAlign w:val="bottom"/>
          </w:tcPr>
          <w:p>
            <w:pPr>
              <w:spacing w:after="0"/>
              <w:rPr>
                <w:sz w:val="21"/>
                <w:szCs w:val="21"/>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1,070</w:t>
            </w:r>
          </w:p>
        </w:tc>
        <w:tc>
          <w:tcPr>
            <w:tcW w:w="660" w:type="dxa"/>
            <w:vAlign w:val="bottom"/>
          </w:tcPr>
          <w:p>
            <w:pPr>
              <w:jc w:val="right"/>
              <w:ind w:right="250"/>
              <w:spacing w:after="0"/>
              <w:rPr>
                <w:sz w:val="20"/>
                <w:szCs w:val="20"/>
                <w:color w:val="auto"/>
              </w:rPr>
            </w:pPr>
            <w:r>
              <w:rPr>
                <w:rFonts w:ascii="Arial" w:cs="Arial" w:eastAsia="Arial" w:hAnsi="Arial"/>
                <w:sz w:val="18"/>
                <w:szCs w:val="18"/>
                <w:color w:val="auto"/>
              </w:rPr>
              <w:t>56</w:t>
            </w:r>
          </w:p>
        </w:tc>
        <w:tc>
          <w:tcPr>
            <w:tcW w:w="340" w:type="dxa"/>
            <w:vAlign w:val="bottom"/>
          </w:tcPr>
          <w:p>
            <w:pPr>
              <w:spacing w:after="0"/>
              <w:rPr>
                <w:sz w:val="21"/>
                <w:szCs w:val="21"/>
                <w:color w:val="auto"/>
              </w:rPr>
            </w:pPr>
          </w:p>
        </w:tc>
        <w:tc>
          <w:tcPr>
            <w:tcW w:w="800" w:type="dxa"/>
            <w:vAlign w:val="bottom"/>
          </w:tcPr>
          <w:p>
            <w:pPr>
              <w:jc w:val="right"/>
              <w:ind w:right="150"/>
              <w:spacing w:after="0"/>
              <w:rPr>
                <w:sz w:val="20"/>
                <w:szCs w:val="20"/>
                <w:color w:val="auto"/>
              </w:rPr>
            </w:pPr>
            <w:r>
              <w:rPr>
                <w:rFonts w:ascii="Arial" w:cs="Arial" w:eastAsia="Arial" w:hAnsi="Arial"/>
                <w:sz w:val="18"/>
                <w:szCs w:val="18"/>
                <w:color w:val="auto"/>
              </w:rPr>
              <w:t>464</w:t>
            </w:r>
          </w:p>
        </w:tc>
        <w:tc>
          <w:tcPr>
            <w:tcW w:w="580" w:type="dxa"/>
            <w:vAlign w:val="bottom"/>
          </w:tcPr>
          <w:p>
            <w:pPr>
              <w:jc w:val="right"/>
              <w:ind w:right="190"/>
              <w:spacing w:after="0"/>
              <w:rPr>
                <w:sz w:val="20"/>
                <w:szCs w:val="20"/>
                <w:color w:val="auto"/>
              </w:rPr>
            </w:pPr>
            <w:r>
              <w:rPr>
                <w:rFonts w:ascii="Arial" w:cs="Arial" w:eastAsia="Arial" w:hAnsi="Arial"/>
                <w:sz w:val="18"/>
                <w:szCs w:val="18"/>
                <w:color w:val="auto"/>
              </w:rPr>
              <w:t>34</w:t>
            </w:r>
          </w:p>
        </w:tc>
      </w:tr>
      <w:tr>
        <w:trPr>
          <w:trHeight w:val="243"/>
        </w:trPr>
        <w:tc>
          <w:tcPr>
            <w:tcW w:w="4020" w:type="dxa"/>
            <w:vAlign w:val="bottom"/>
          </w:tcPr>
          <w:p>
            <w:pPr>
              <w:ind w:left="280"/>
              <w:spacing w:after="0"/>
              <w:rPr>
                <w:sz w:val="20"/>
                <w:szCs w:val="20"/>
                <w:color w:val="auto"/>
              </w:rPr>
            </w:pPr>
            <w:r>
              <w:rPr>
                <w:rFonts w:ascii="Arial" w:cs="Arial" w:eastAsia="Arial" w:hAnsi="Arial"/>
                <w:sz w:val="18"/>
                <w:szCs w:val="18"/>
                <w:color w:val="auto"/>
              </w:rPr>
              <w:t>Sempra Commodities</w:t>
            </w:r>
          </w:p>
        </w:tc>
        <w:tc>
          <w:tcPr>
            <w:tcW w:w="300" w:type="dxa"/>
            <w:vAlign w:val="bottom"/>
          </w:tcPr>
          <w:p>
            <w:pPr>
              <w:spacing w:after="0"/>
              <w:rPr>
                <w:sz w:val="21"/>
                <w:szCs w:val="21"/>
                <w:color w:val="auto"/>
              </w:rPr>
            </w:pPr>
          </w:p>
        </w:tc>
        <w:tc>
          <w:tcPr>
            <w:tcW w:w="900" w:type="dxa"/>
            <w:vAlign w:val="bottom"/>
          </w:tcPr>
          <w:p>
            <w:pPr>
              <w:jc w:val="right"/>
              <w:ind w:right="190"/>
              <w:spacing w:after="0"/>
              <w:rPr>
                <w:sz w:val="20"/>
                <w:szCs w:val="20"/>
                <w:color w:val="auto"/>
              </w:rPr>
            </w:pPr>
            <w:r>
              <w:rPr>
                <w:rFonts w:ascii="Arial" w:cs="Arial" w:eastAsia="Arial" w:hAnsi="Arial"/>
                <w:sz w:val="18"/>
                <w:szCs w:val="18"/>
                <w:color w:val="auto"/>
              </w:rPr>
              <w:t>43</w:t>
            </w:r>
          </w:p>
        </w:tc>
        <w:tc>
          <w:tcPr>
            <w:tcW w:w="640" w:type="dxa"/>
            <w:vAlign w:val="bottom"/>
          </w:tcPr>
          <w:p>
            <w:pPr>
              <w:jc w:val="right"/>
              <w:ind w:right="210"/>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21"/>
                <w:szCs w:val="21"/>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29</w:t>
            </w:r>
          </w:p>
        </w:tc>
        <w:tc>
          <w:tcPr>
            <w:tcW w:w="660" w:type="dxa"/>
            <w:vAlign w:val="bottom"/>
          </w:tcPr>
          <w:p>
            <w:pPr>
              <w:jc w:val="right"/>
              <w:ind w:right="250"/>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21"/>
                <w:szCs w:val="21"/>
                <w:color w:val="auto"/>
              </w:rPr>
            </w:pPr>
          </w:p>
        </w:tc>
        <w:tc>
          <w:tcPr>
            <w:tcW w:w="800" w:type="dxa"/>
            <w:vAlign w:val="bottom"/>
          </w:tcPr>
          <w:p>
            <w:pPr>
              <w:jc w:val="right"/>
              <w:ind w:right="150"/>
              <w:spacing w:after="0"/>
              <w:rPr>
                <w:sz w:val="20"/>
                <w:szCs w:val="20"/>
                <w:color w:val="auto"/>
              </w:rPr>
            </w:pPr>
            <w:r>
              <w:rPr>
                <w:rFonts w:ascii="Arial" w:cs="Arial" w:eastAsia="Arial" w:hAnsi="Arial"/>
                <w:sz w:val="18"/>
                <w:szCs w:val="18"/>
                <w:color w:val="auto"/>
              </w:rPr>
              <w:t>57</w:t>
            </w:r>
          </w:p>
        </w:tc>
        <w:tc>
          <w:tcPr>
            <w:tcW w:w="580" w:type="dxa"/>
            <w:vAlign w:val="bottom"/>
          </w:tcPr>
          <w:p>
            <w:pPr>
              <w:jc w:val="right"/>
              <w:ind w:right="190"/>
              <w:spacing w:after="0"/>
              <w:rPr>
                <w:sz w:val="20"/>
                <w:szCs w:val="20"/>
                <w:color w:val="auto"/>
              </w:rPr>
            </w:pPr>
            <w:r>
              <w:rPr>
                <w:rFonts w:ascii="Arial" w:cs="Arial" w:eastAsia="Arial" w:hAnsi="Arial"/>
                <w:sz w:val="18"/>
                <w:szCs w:val="18"/>
                <w:color w:val="auto"/>
              </w:rPr>
              <w:t>4</w:t>
            </w:r>
          </w:p>
        </w:tc>
      </w:tr>
      <w:tr>
        <w:trPr>
          <w:trHeight w:val="243"/>
        </w:trPr>
        <w:tc>
          <w:tcPr>
            <w:tcW w:w="4020" w:type="dxa"/>
            <w:vAlign w:val="bottom"/>
          </w:tcPr>
          <w:p>
            <w:pPr>
              <w:ind w:left="280"/>
              <w:spacing w:after="0"/>
              <w:rPr>
                <w:sz w:val="20"/>
                <w:szCs w:val="20"/>
                <w:color w:val="auto"/>
              </w:rPr>
            </w:pPr>
            <w:r>
              <w:rPr>
                <w:rFonts w:ascii="Arial" w:cs="Arial" w:eastAsia="Arial" w:hAnsi="Arial"/>
                <w:sz w:val="18"/>
                <w:szCs w:val="18"/>
                <w:color w:val="auto"/>
              </w:rPr>
              <w:t>Sempra Generation</w:t>
            </w:r>
          </w:p>
        </w:tc>
        <w:tc>
          <w:tcPr>
            <w:tcW w:w="300" w:type="dxa"/>
            <w:vAlign w:val="bottom"/>
          </w:tcPr>
          <w:p>
            <w:pPr>
              <w:spacing w:after="0"/>
              <w:rPr>
                <w:sz w:val="21"/>
                <w:szCs w:val="21"/>
                <w:color w:val="auto"/>
              </w:rPr>
            </w:pPr>
          </w:p>
        </w:tc>
        <w:tc>
          <w:tcPr>
            <w:tcW w:w="900" w:type="dxa"/>
            <w:vAlign w:val="bottom"/>
          </w:tcPr>
          <w:p>
            <w:pPr>
              <w:jc w:val="right"/>
              <w:ind w:right="190"/>
              <w:spacing w:after="0"/>
              <w:rPr>
                <w:sz w:val="20"/>
                <w:szCs w:val="20"/>
                <w:color w:val="auto"/>
              </w:rPr>
            </w:pPr>
            <w:r>
              <w:rPr>
                <w:rFonts w:ascii="Arial" w:cs="Arial" w:eastAsia="Arial" w:hAnsi="Arial"/>
                <w:sz w:val="18"/>
                <w:szCs w:val="18"/>
                <w:color w:val="auto"/>
              </w:rPr>
              <w:t>13</w:t>
            </w:r>
          </w:p>
        </w:tc>
        <w:tc>
          <w:tcPr>
            <w:tcW w:w="640" w:type="dxa"/>
            <w:vAlign w:val="bottom"/>
          </w:tcPr>
          <w:p>
            <w:pPr>
              <w:jc w:val="right"/>
              <w:ind w:right="210"/>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21"/>
                <w:szCs w:val="21"/>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40</w:t>
            </w:r>
          </w:p>
        </w:tc>
        <w:tc>
          <w:tcPr>
            <w:tcW w:w="660" w:type="dxa"/>
            <w:vAlign w:val="bottom"/>
          </w:tcPr>
          <w:p>
            <w:pPr>
              <w:jc w:val="right"/>
              <w:ind w:right="250"/>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21"/>
                <w:szCs w:val="21"/>
                <w:color w:val="auto"/>
              </w:rPr>
            </w:pPr>
          </w:p>
        </w:tc>
        <w:tc>
          <w:tcPr>
            <w:tcW w:w="800" w:type="dxa"/>
            <w:vAlign w:val="bottom"/>
          </w:tcPr>
          <w:p>
            <w:pPr>
              <w:jc w:val="right"/>
              <w:ind w:right="150"/>
              <w:spacing w:after="0"/>
              <w:rPr>
                <w:sz w:val="20"/>
                <w:szCs w:val="20"/>
                <w:color w:val="auto"/>
              </w:rPr>
            </w:pPr>
            <w:r>
              <w:rPr>
                <w:rFonts w:ascii="Arial" w:cs="Arial" w:eastAsia="Arial" w:hAnsi="Arial"/>
                <w:sz w:val="18"/>
                <w:szCs w:val="18"/>
                <w:color w:val="auto"/>
              </w:rPr>
              <w:t>158</w:t>
            </w:r>
          </w:p>
        </w:tc>
        <w:tc>
          <w:tcPr>
            <w:tcW w:w="580" w:type="dxa"/>
            <w:vAlign w:val="bottom"/>
          </w:tcPr>
          <w:p>
            <w:pPr>
              <w:jc w:val="right"/>
              <w:ind w:right="190"/>
              <w:spacing w:after="0"/>
              <w:rPr>
                <w:sz w:val="20"/>
                <w:szCs w:val="20"/>
                <w:color w:val="auto"/>
              </w:rPr>
            </w:pPr>
            <w:r>
              <w:rPr>
                <w:rFonts w:ascii="Arial" w:cs="Arial" w:eastAsia="Arial" w:hAnsi="Arial"/>
                <w:sz w:val="18"/>
                <w:szCs w:val="18"/>
                <w:color w:val="auto"/>
              </w:rPr>
              <w:t>12</w:t>
            </w:r>
          </w:p>
        </w:tc>
      </w:tr>
      <w:tr>
        <w:trPr>
          <w:trHeight w:val="243"/>
        </w:trPr>
        <w:tc>
          <w:tcPr>
            <w:tcW w:w="4020" w:type="dxa"/>
            <w:vAlign w:val="bottom"/>
          </w:tcPr>
          <w:p>
            <w:pPr>
              <w:ind w:left="280"/>
              <w:spacing w:after="0"/>
              <w:rPr>
                <w:sz w:val="20"/>
                <w:szCs w:val="20"/>
                <w:color w:val="auto"/>
              </w:rPr>
            </w:pPr>
            <w:r>
              <w:rPr>
                <w:rFonts w:ascii="Arial" w:cs="Arial" w:eastAsia="Arial" w:hAnsi="Arial"/>
                <w:sz w:val="18"/>
                <w:szCs w:val="18"/>
                <w:color w:val="auto"/>
              </w:rPr>
              <w:t>Sempra Pipelines &amp; Storage</w:t>
            </w:r>
          </w:p>
        </w:tc>
        <w:tc>
          <w:tcPr>
            <w:tcW w:w="300" w:type="dxa"/>
            <w:vAlign w:val="bottom"/>
          </w:tcPr>
          <w:p>
            <w:pPr>
              <w:spacing w:after="0"/>
              <w:rPr>
                <w:sz w:val="21"/>
                <w:szCs w:val="21"/>
                <w:color w:val="auto"/>
              </w:rPr>
            </w:pPr>
          </w:p>
        </w:tc>
        <w:tc>
          <w:tcPr>
            <w:tcW w:w="900" w:type="dxa"/>
            <w:vAlign w:val="bottom"/>
          </w:tcPr>
          <w:p>
            <w:pPr>
              <w:jc w:val="right"/>
              <w:ind w:right="190"/>
              <w:spacing w:after="0"/>
              <w:rPr>
                <w:sz w:val="20"/>
                <w:szCs w:val="20"/>
                <w:color w:val="auto"/>
              </w:rPr>
            </w:pPr>
            <w:r>
              <w:rPr>
                <w:rFonts w:ascii="Arial" w:cs="Arial" w:eastAsia="Arial" w:hAnsi="Arial"/>
                <w:sz w:val="18"/>
                <w:szCs w:val="18"/>
                <w:color w:val="auto"/>
              </w:rPr>
              <w:t>267</w:t>
            </w:r>
          </w:p>
        </w:tc>
        <w:tc>
          <w:tcPr>
            <w:tcW w:w="640" w:type="dxa"/>
            <w:vAlign w:val="bottom"/>
          </w:tcPr>
          <w:p>
            <w:pPr>
              <w:jc w:val="right"/>
              <w:ind w:right="210"/>
              <w:spacing w:after="0"/>
              <w:rPr>
                <w:sz w:val="20"/>
                <w:szCs w:val="20"/>
                <w:color w:val="auto"/>
              </w:rPr>
            </w:pPr>
            <w:r>
              <w:rPr>
                <w:rFonts w:ascii="Arial" w:cs="Arial" w:eastAsia="Arial" w:hAnsi="Arial"/>
                <w:sz w:val="18"/>
                <w:szCs w:val="18"/>
                <w:color w:val="auto"/>
              </w:rPr>
              <w:t>13</w:t>
            </w:r>
          </w:p>
        </w:tc>
        <w:tc>
          <w:tcPr>
            <w:tcW w:w="320" w:type="dxa"/>
            <w:vAlign w:val="bottom"/>
          </w:tcPr>
          <w:p>
            <w:pPr>
              <w:spacing w:after="0"/>
              <w:rPr>
                <w:sz w:val="21"/>
                <w:szCs w:val="21"/>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181</w:t>
            </w:r>
          </w:p>
        </w:tc>
        <w:tc>
          <w:tcPr>
            <w:tcW w:w="660" w:type="dxa"/>
            <w:vAlign w:val="bottom"/>
          </w:tcPr>
          <w:p>
            <w:pPr>
              <w:jc w:val="right"/>
              <w:ind w:right="250"/>
              <w:spacing w:after="0"/>
              <w:rPr>
                <w:sz w:val="20"/>
                <w:szCs w:val="20"/>
                <w:color w:val="auto"/>
              </w:rPr>
            </w:pPr>
            <w:r>
              <w:rPr>
                <w:rFonts w:ascii="Arial" w:cs="Arial" w:eastAsia="Arial" w:hAnsi="Arial"/>
                <w:sz w:val="18"/>
                <w:szCs w:val="18"/>
                <w:color w:val="auto"/>
              </w:rPr>
              <w:t>9</w:t>
            </w:r>
          </w:p>
        </w:tc>
        <w:tc>
          <w:tcPr>
            <w:tcW w:w="340" w:type="dxa"/>
            <w:vAlign w:val="bottom"/>
          </w:tcPr>
          <w:p>
            <w:pPr>
              <w:spacing w:after="0"/>
              <w:rPr>
                <w:sz w:val="21"/>
                <w:szCs w:val="21"/>
                <w:color w:val="auto"/>
              </w:rPr>
            </w:pPr>
          </w:p>
        </w:tc>
        <w:tc>
          <w:tcPr>
            <w:tcW w:w="800" w:type="dxa"/>
            <w:vAlign w:val="bottom"/>
          </w:tcPr>
          <w:p>
            <w:pPr>
              <w:jc w:val="right"/>
              <w:ind w:right="150"/>
              <w:spacing w:after="0"/>
              <w:rPr>
                <w:sz w:val="20"/>
                <w:szCs w:val="20"/>
                <w:color w:val="auto"/>
              </w:rPr>
            </w:pPr>
            <w:r>
              <w:rPr>
                <w:rFonts w:ascii="Arial" w:cs="Arial" w:eastAsia="Arial" w:hAnsi="Arial"/>
                <w:sz w:val="18"/>
                <w:szCs w:val="18"/>
                <w:color w:val="auto"/>
              </w:rPr>
              <w:t>18</w:t>
            </w:r>
          </w:p>
        </w:tc>
        <w:tc>
          <w:tcPr>
            <w:tcW w:w="580" w:type="dxa"/>
            <w:vAlign w:val="bottom"/>
          </w:tcPr>
          <w:p>
            <w:pPr>
              <w:jc w:val="right"/>
              <w:ind w:right="190"/>
              <w:spacing w:after="0"/>
              <w:rPr>
                <w:sz w:val="20"/>
                <w:szCs w:val="20"/>
                <w:color w:val="auto"/>
              </w:rPr>
            </w:pPr>
            <w:r>
              <w:rPr>
                <w:rFonts w:ascii="Arial" w:cs="Arial" w:eastAsia="Arial" w:hAnsi="Arial"/>
                <w:sz w:val="18"/>
                <w:szCs w:val="18"/>
                <w:color w:val="auto"/>
              </w:rPr>
              <w:t>1</w:t>
            </w:r>
          </w:p>
        </w:tc>
      </w:tr>
      <w:tr>
        <w:trPr>
          <w:trHeight w:val="243"/>
        </w:trPr>
        <w:tc>
          <w:tcPr>
            <w:tcW w:w="4020" w:type="dxa"/>
            <w:vAlign w:val="bottom"/>
          </w:tcPr>
          <w:p>
            <w:pPr>
              <w:ind w:left="280"/>
              <w:spacing w:after="0"/>
              <w:rPr>
                <w:sz w:val="20"/>
                <w:szCs w:val="20"/>
                <w:color w:val="auto"/>
              </w:rPr>
            </w:pPr>
            <w:r>
              <w:rPr>
                <w:rFonts w:ascii="Arial" w:cs="Arial" w:eastAsia="Arial" w:hAnsi="Arial"/>
                <w:sz w:val="18"/>
                <w:szCs w:val="18"/>
                <w:color w:val="auto"/>
              </w:rPr>
              <w:t>All other</w:t>
            </w:r>
          </w:p>
        </w:tc>
        <w:tc>
          <w:tcPr>
            <w:tcW w:w="300" w:type="dxa"/>
            <w:vAlign w:val="bottom"/>
          </w:tcPr>
          <w:p>
            <w:pPr>
              <w:spacing w:after="0"/>
              <w:rPr>
                <w:sz w:val="21"/>
                <w:szCs w:val="21"/>
                <w:color w:val="auto"/>
              </w:rPr>
            </w:pPr>
          </w:p>
        </w:tc>
        <w:tc>
          <w:tcPr>
            <w:tcW w:w="900" w:type="dxa"/>
            <w:vAlign w:val="bottom"/>
          </w:tcPr>
          <w:p>
            <w:pPr>
              <w:jc w:val="right"/>
              <w:ind w:right="190"/>
              <w:spacing w:after="0"/>
              <w:rPr>
                <w:sz w:val="20"/>
                <w:szCs w:val="20"/>
                <w:color w:val="auto"/>
              </w:rPr>
            </w:pPr>
            <w:r>
              <w:rPr>
                <w:rFonts w:ascii="Arial" w:cs="Arial" w:eastAsia="Arial" w:hAnsi="Arial"/>
                <w:sz w:val="18"/>
                <w:szCs w:val="18"/>
                <w:color w:val="auto"/>
              </w:rPr>
              <w:t>517</w:t>
            </w:r>
          </w:p>
        </w:tc>
        <w:tc>
          <w:tcPr>
            <w:tcW w:w="640" w:type="dxa"/>
            <w:vAlign w:val="bottom"/>
          </w:tcPr>
          <w:p>
            <w:pPr>
              <w:jc w:val="right"/>
              <w:ind w:right="210"/>
              <w:spacing w:after="0"/>
              <w:rPr>
                <w:sz w:val="20"/>
                <w:szCs w:val="20"/>
                <w:color w:val="auto"/>
              </w:rPr>
            </w:pPr>
            <w:r>
              <w:rPr>
                <w:rFonts w:ascii="Arial" w:cs="Arial" w:eastAsia="Arial" w:hAnsi="Arial"/>
                <w:sz w:val="18"/>
                <w:szCs w:val="18"/>
                <w:color w:val="auto"/>
              </w:rPr>
              <w:t>26</w:t>
            </w:r>
          </w:p>
        </w:tc>
        <w:tc>
          <w:tcPr>
            <w:tcW w:w="320" w:type="dxa"/>
            <w:vAlign w:val="bottom"/>
          </w:tcPr>
          <w:p>
            <w:pPr>
              <w:spacing w:after="0"/>
              <w:rPr>
                <w:sz w:val="21"/>
                <w:szCs w:val="21"/>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644</w:t>
            </w:r>
          </w:p>
        </w:tc>
        <w:tc>
          <w:tcPr>
            <w:tcW w:w="660" w:type="dxa"/>
            <w:vAlign w:val="bottom"/>
          </w:tcPr>
          <w:p>
            <w:pPr>
              <w:jc w:val="right"/>
              <w:ind w:right="250"/>
              <w:spacing w:after="0"/>
              <w:rPr>
                <w:sz w:val="20"/>
                <w:szCs w:val="20"/>
                <w:color w:val="auto"/>
              </w:rPr>
            </w:pPr>
            <w:r>
              <w:rPr>
                <w:rFonts w:ascii="Arial" w:cs="Arial" w:eastAsia="Arial" w:hAnsi="Arial"/>
                <w:sz w:val="18"/>
                <w:szCs w:val="18"/>
                <w:color w:val="auto"/>
              </w:rPr>
              <w:t>34</w:t>
            </w:r>
          </w:p>
        </w:tc>
        <w:tc>
          <w:tcPr>
            <w:tcW w:w="340" w:type="dxa"/>
            <w:vAlign w:val="bottom"/>
          </w:tcPr>
          <w:p>
            <w:pPr>
              <w:spacing w:after="0"/>
              <w:rPr>
                <w:sz w:val="21"/>
                <w:szCs w:val="21"/>
                <w:color w:val="auto"/>
              </w:rPr>
            </w:pPr>
          </w:p>
        </w:tc>
        <w:tc>
          <w:tcPr>
            <w:tcW w:w="800" w:type="dxa"/>
            <w:vAlign w:val="bottom"/>
          </w:tcPr>
          <w:p>
            <w:pPr>
              <w:jc w:val="right"/>
              <w:ind w:right="150"/>
              <w:spacing w:after="0"/>
              <w:rPr>
                <w:sz w:val="20"/>
                <w:szCs w:val="20"/>
                <w:color w:val="auto"/>
              </w:rPr>
            </w:pPr>
            <w:r>
              <w:rPr>
                <w:rFonts w:ascii="Arial" w:cs="Arial" w:eastAsia="Arial" w:hAnsi="Arial"/>
                <w:sz w:val="18"/>
                <w:szCs w:val="18"/>
                <w:color w:val="auto"/>
              </w:rPr>
              <w:t>319</w:t>
            </w:r>
          </w:p>
        </w:tc>
        <w:tc>
          <w:tcPr>
            <w:tcW w:w="580" w:type="dxa"/>
            <w:vAlign w:val="bottom"/>
          </w:tcPr>
          <w:p>
            <w:pPr>
              <w:jc w:val="right"/>
              <w:ind w:right="190"/>
              <w:spacing w:after="0"/>
              <w:rPr>
                <w:sz w:val="20"/>
                <w:szCs w:val="20"/>
                <w:color w:val="auto"/>
              </w:rPr>
            </w:pPr>
            <w:r>
              <w:rPr>
                <w:rFonts w:ascii="Arial" w:cs="Arial" w:eastAsia="Arial" w:hAnsi="Arial"/>
                <w:sz w:val="18"/>
                <w:szCs w:val="18"/>
                <w:color w:val="auto"/>
              </w:rPr>
              <w:t>23</w:t>
            </w:r>
          </w:p>
        </w:tc>
      </w:tr>
      <w:tr>
        <w:trPr>
          <w:trHeight w:val="250"/>
        </w:trPr>
        <w:tc>
          <w:tcPr>
            <w:tcW w:w="4020" w:type="dxa"/>
            <w:vAlign w:val="bottom"/>
          </w:tcPr>
          <w:p>
            <w:pPr>
              <w:ind w:left="280"/>
              <w:spacing w:after="0"/>
              <w:rPr>
                <w:sz w:val="20"/>
                <w:szCs w:val="20"/>
                <w:color w:val="auto"/>
              </w:rPr>
            </w:pPr>
            <w:r>
              <w:rPr>
                <w:rFonts w:ascii="Arial" w:cs="Arial" w:eastAsia="Arial" w:hAnsi="Arial"/>
                <w:sz w:val="18"/>
                <w:szCs w:val="18"/>
                <w:color w:val="auto"/>
              </w:rPr>
              <w:t>Intercompany eliminations</w:t>
            </w:r>
          </w:p>
        </w:tc>
        <w:tc>
          <w:tcPr>
            <w:tcW w:w="3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(470 )</w:t>
            </w:r>
          </w:p>
        </w:tc>
        <w:tc>
          <w:tcPr>
            <w:tcW w:w="6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(25 )</w:t>
            </w:r>
          </w:p>
        </w:tc>
        <w:tc>
          <w:tcPr>
            <w:tcW w:w="3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r>
      <w:tr>
        <w:trPr>
          <w:trHeight w:val="264"/>
        </w:trPr>
        <w:tc>
          <w:tcPr>
            <w:tcW w:w="402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2,011</w:t>
            </w:r>
          </w:p>
        </w:tc>
        <w:tc>
          <w:tcPr>
            <w:tcW w:w="6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3"/>
              </w:rPr>
              <w:t>100 %</w:t>
            </w:r>
          </w:p>
        </w:tc>
        <w:tc>
          <w:tcPr>
            <w:tcW w:w="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1,907</w:t>
            </w:r>
          </w:p>
        </w:tc>
        <w:tc>
          <w:tcPr>
            <w:tcW w:w="6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3"/>
              </w:rPr>
              <w:t>100 %</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1,377</w:t>
            </w:r>
          </w:p>
        </w:tc>
        <w:tc>
          <w:tcPr>
            <w:tcW w:w="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0"/>
              </w:rPr>
              <w:t>100 %</w:t>
            </w:r>
          </w:p>
        </w:tc>
      </w:tr>
      <w:tr>
        <w:trPr>
          <w:trHeight w:val="230"/>
        </w:trPr>
        <w:tc>
          <w:tcPr>
            <w:tcW w:w="4020" w:type="dxa"/>
            <w:vAlign w:val="bottom"/>
          </w:tcPr>
          <w:p>
            <w:pPr>
              <w:ind w:left="20"/>
              <w:spacing w:after="0"/>
              <w:rPr>
                <w:sz w:val="20"/>
                <w:szCs w:val="20"/>
                <w:color w:val="auto"/>
              </w:rPr>
            </w:pPr>
            <w:r>
              <w:rPr>
                <w:rFonts w:ascii="Arial" w:cs="Arial" w:eastAsia="Arial" w:hAnsi="Arial"/>
                <w:sz w:val="18"/>
                <w:szCs w:val="18"/>
                <w:color w:val="auto"/>
              </w:rPr>
              <w:t>GEOGRAPHIC INFORMATION</w:t>
            </w: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42"/>
        </w:trPr>
        <w:tc>
          <w:tcPr>
            <w:tcW w:w="4020" w:type="dxa"/>
            <w:vAlign w:val="bottom"/>
          </w:tcPr>
          <w:p>
            <w:pPr>
              <w:ind w:left="20"/>
              <w:spacing w:after="0"/>
              <w:rPr>
                <w:sz w:val="20"/>
                <w:szCs w:val="20"/>
                <w:color w:val="auto"/>
              </w:rPr>
            </w:pPr>
            <w:r>
              <w:rPr>
                <w:rFonts w:ascii="Arial" w:cs="Arial" w:eastAsia="Arial" w:hAnsi="Arial"/>
                <w:sz w:val="18"/>
                <w:szCs w:val="18"/>
                <w:color w:val="auto"/>
              </w:rPr>
              <w:t>Long-lived assets</w:t>
            </w: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80" w:type="dxa"/>
            <w:vAlign w:val="bottom"/>
          </w:tcPr>
          <w:p>
            <w:pPr>
              <w:spacing w:after="0"/>
              <w:rPr>
                <w:sz w:val="21"/>
                <w:szCs w:val="21"/>
                <w:color w:val="auto"/>
              </w:rPr>
            </w:pPr>
          </w:p>
        </w:tc>
      </w:tr>
      <w:tr>
        <w:trPr>
          <w:trHeight w:val="243"/>
        </w:trPr>
        <w:tc>
          <w:tcPr>
            <w:tcW w:w="4020" w:type="dxa"/>
            <w:vAlign w:val="bottom"/>
          </w:tcPr>
          <w:p>
            <w:pPr>
              <w:ind w:left="280"/>
              <w:spacing w:after="0"/>
              <w:rPr>
                <w:sz w:val="20"/>
                <w:szCs w:val="20"/>
                <w:color w:val="auto"/>
              </w:rPr>
            </w:pPr>
            <w:r>
              <w:rPr>
                <w:rFonts w:ascii="Arial" w:cs="Arial" w:eastAsia="Arial" w:hAnsi="Arial"/>
                <w:sz w:val="18"/>
                <w:szCs w:val="18"/>
                <w:color w:val="auto"/>
              </w:rPr>
              <w:t>United States</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90"/>
              <w:spacing w:after="0"/>
              <w:rPr>
                <w:sz w:val="20"/>
                <w:szCs w:val="20"/>
                <w:color w:val="auto"/>
              </w:rPr>
            </w:pPr>
            <w:r>
              <w:rPr>
                <w:rFonts w:ascii="Arial" w:cs="Arial" w:eastAsia="Arial" w:hAnsi="Arial"/>
                <w:sz w:val="18"/>
                <w:szCs w:val="18"/>
                <w:color w:val="auto"/>
              </w:rPr>
              <w:t>13,752</w:t>
            </w: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85 %</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12,384</w:t>
            </w:r>
          </w:p>
        </w:tc>
        <w:tc>
          <w:tcPr>
            <w:tcW w:w="660" w:type="dxa"/>
            <w:vAlign w:val="bottom"/>
          </w:tcPr>
          <w:p>
            <w:pPr>
              <w:jc w:val="right"/>
              <w:ind w:right="70"/>
              <w:spacing w:after="0"/>
              <w:rPr>
                <w:sz w:val="20"/>
                <w:szCs w:val="20"/>
                <w:color w:val="auto"/>
              </w:rPr>
            </w:pPr>
            <w:r>
              <w:rPr>
                <w:rFonts w:ascii="Arial" w:cs="Arial" w:eastAsia="Arial" w:hAnsi="Arial"/>
                <w:sz w:val="18"/>
                <w:szCs w:val="18"/>
                <w:color w:val="auto"/>
              </w:rPr>
              <w:t>87 %</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50"/>
              <w:spacing w:after="0"/>
              <w:rPr>
                <w:sz w:val="20"/>
                <w:szCs w:val="20"/>
                <w:color w:val="auto"/>
              </w:rPr>
            </w:pPr>
            <w:r>
              <w:rPr>
                <w:rFonts w:ascii="Arial" w:cs="Arial" w:eastAsia="Arial" w:hAnsi="Arial"/>
                <w:sz w:val="18"/>
                <w:szCs w:val="18"/>
                <w:color w:val="auto"/>
                <w:w w:val="98"/>
              </w:rPr>
              <w:t>11,254</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88 %</w:t>
            </w:r>
          </w:p>
        </w:tc>
      </w:tr>
      <w:tr>
        <w:trPr>
          <w:trHeight w:val="243"/>
        </w:trPr>
        <w:tc>
          <w:tcPr>
            <w:tcW w:w="4020" w:type="dxa"/>
            <w:vAlign w:val="bottom"/>
          </w:tcPr>
          <w:p>
            <w:pPr>
              <w:ind w:left="280"/>
              <w:spacing w:after="0"/>
              <w:rPr>
                <w:sz w:val="20"/>
                <w:szCs w:val="20"/>
                <w:color w:val="auto"/>
              </w:rPr>
            </w:pPr>
            <w:r>
              <w:rPr>
                <w:rFonts w:ascii="Arial" w:cs="Arial" w:eastAsia="Arial" w:hAnsi="Arial"/>
                <w:sz w:val="18"/>
                <w:szCs w:val="18"/>
                <w:color w:val="auto"/>
              </w:rPr>
              <w:t>Latin America</w:t>
            </w:r>
          </w:p>
        </w:tc>
        <w:tc>
          <w:tcPr>
            <w:tcW w:w="300" w:type="dxa"/>
            <w:vAlign w:val="bottom"/>
          </w:tcPr>
          <w:p>
            <w:pPr>
              <w:spacing w:after="0"/>
              <w:rPr>
                <w:sz w:val="21"/>
                <w:szCs w:val="21"/>
                <w:color w:val="auto"/>
              </w:rPr>
            </w:pPr>
          </w:p>
        </w:tc>
        <w:tc>
          <w:tcPr>
            <w:tcW w:w="900" w:type="dxa"/>
            <w:vAlign w:val="bottom"/>
          </w:tcPr>
          <w:p>
            <w:pPr>
              <w:jc w:val="right"/>
              <w:ind w:right="190"/>
              <w:spacing w:after="0"/>
              <w:rPr>
                <w:sz w:val="20"/>
                <w:szCs w:val="20"/>
                <w:color w:val="auto"/>
              </w:rPr>
            </w:pPr>
            <w:r>
              <w:rPr>
                <w:rFonts w:ascii="Arial" w:cs="Arial" w:eastAsia="Arial" w:hAnsi="Arial"/>
                <w:sz w:val="18"/>
                <w:szCs w:val="18"/>
                <w:color w:val="auto"/>
              </w:rPr>
              <w:t>2,352</w:t>
            </w:r>
          </w:p>
        </w:tc>
        <w:tc>
          <w:tcPr>
            <w:tcW w:w="640" w:type="dxa"/>
            <w:vAlign w:val="bottom"/>
          </w:tcPr>
          <w:p>
            <w:pPr>
              <w:jc w:val="right"/>
              <w:ind w:right="210"/>
              <w:spacing w:after="0"/>
              <w:rPr>
                <w:sz w:val="20"/>
                <w:szCs w:val="20"/>
                <w:color w:val="auto"/>
              </w:rPr>
            </w:pPr>
            <w:r>
              <w:rPr>
                <w:rFonts w:ascii="Arial" w:cs="Arial" w:eastAsia="Arial" w:hAnsi="Arial"/>
                <w:sz w:val="18"/>
                <w:szCs w:val="18"/>
                <w:color w:val="auto"/>
              </w:rPr>
              <w:t>15</w:t>
            </w:r>
          </w:p>
        </w:tc>
        <w:tc>
          <w:tcPr>
            <w:tcW w:w="320" w:type="dxa"/>
            <w:vAlign w:val="bottom"/>
          </w:tcPr>
          <w:p>
            <w:pPr>
              <w:spacing w:after="0"/>
              <w:rPr>
                <w:sz w:val="21"/>
                <w:szCs w:val="21"/>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1,865</w:t>
            </w:r>
          </w:p>
        </w:tc>
        <w:tc>
          <w:tcPr>
            <w:tcW w:w="660" w:type="dxa"/>
            <w:vAlign w:val="bottom"/>
          </w:tcPr>
          <w:p>
            <w:pPr>
              <w:jc w:val="right"/>
              <w:ind w:right="250"/>
              <w:spacing w:after="0"/>
              <w:rPr>
                <w:sz w:val="20"/>
                <w:szCs w:val="20"/>
                <w:color w:val="auto"/>
              </w:rPr>
            </w:pPr>
            <w:r>
              <w:rPr>
                <w:rFonts w:ascii="Arial" w:cs="Arial" w:eastAsia="Arial" w:hAnsi="Arial"/>
                <w:sz w:val="18"/>
                <w:szCs w:val="18"/>
                <w:color w:val="auto"/>
              </w:rPr>
              <w:t>13</w:t>
            </w:r>
          </w:p>
        </w:tc>
        <w:tc>
          <w:tcPr>
            <w:tcW w:w="340" w:type="dxa"/>
            <w:vAlign w:val="bottom"/>
          </w:tcPr>
          <w:p>
            <w:pPr>
              <w:spacing w:after="0"/>
              <w:rPr>
                <w:sz w:val="21"/>
                <w:szCs w:val="21"/>
                <w:color w:val="auto"/>
              </w:rPr>
            </w:pPr>
          </w:p>
        </w:tc>
        <w:tc>
          <w:tcPr>
            <w:tcW w:w="800" w:type="dxa"/>
            <w:vAlign w:val="bottom"/>
          </w:tcPr>
          <w:p>
            <w:pPr>
              <w:jc w:val="right"/>
              <w:ind w:right="150"/>
              <w:spacing w:after="0"/>
              <w:rPr>
                <w:sz w:val="20"/>
                <w:szCs w:val="20"/>
                <w:color w:val="auto"/>
              </w:rPr>
            </w:pPr>
            <w:r>
              <w:rPr>
                <w:rFonts w:ascii="Arial" w:cs="Arial" w:eastAsia="Arial" w:hAnsi="Arial"/>
                <w:sz w:val="18"/>
                <w:szCs w:val="18"/>
                <w:color w:val="auto"/>
              </w:rPr>
              <w:t>1,493</w:t>
            </w:r>
          </w:p>
        </w:tc>
        <w:tc>
          <w:tcPr>
            <w:tcW w:w="580" w:type="dxa"/>
            <w:vAlign w:val="bottom"/>
          </w:tcPr>
          <w:p>
            <w:pPr>
              <w:jc w:val="right"/>
              <w:ind w:right="190"/>
              <w:spacing w:after="0"/>
              <w:rPr>
                <w:sz w:val="20"/>
                <w:szCs w:val="20"/>
                <w:color w:val="auto"/>
              </w:rPr>
            </w:pPr>
            <w:r>
              <w:rPr>
                <w:rFonts w:ascii="Arial" w:cs="Arial" w:eastAsia="Arial" w:hAnsi="Arial"/>
                <w:sz w:val="18"/>
                <w:szCs w:val="18"/>
                <w:color w:val="auto"/>
              </w:rPr>
              <w:t>11</w:t>
            </w:r>
          </w:p>
        </w:tc>
      </w:tr>
      <w:tr>
        <w:trPr>
          <w:trHeight w:val="250"/>
        </w:trPr>
        <w:tc>
          <w:tcPr>
            <w:tcW w:w="4020" w:type="dxa"/>
            <w:vAlign w:val="bottom"/>
          </w:tcPr>
          <w:p>
            <w:pPr>
              <w:ind w:left="280"/>
              <w:spacing w:after="0"/>
              <w:rPr>
                <w:sz w:val="20"/>
                <w:szCs w:val="20"/>
                <w:color w:val="auto"/>
              </w:rPr>
            </w:pPr>
            <w:r>
              <w:rPr>
                <w:rFonts w:ascii="Arial" w:cs="Arial" w:eastAsia="Arial" w:hAnsi="Arial"/>
                <w:sz w:val="18"/>
                <w:szCs w:val="18"/>
                <w:color w:val="auto"/>
              </w:rPr>
              <w:t>Europe</w:t>
            </w:r>
          </w:p>
        </w:tc>
        <w:tc>
          <w:tcPr>
            <w:tcW w:w="3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23</w:t>
            </w:r>
          </w:p>
        </w:tc>
        <w:tc>
          <w:tcPr>
            <w:tcW w:w="6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12</w:t>
            </w:r>
          </w:p>
        </w:tc>
        <w:tc>
          <w:tcPr>
            <w:tcW w:w="6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100</w:t>
            </w:r>
          </w:p>
        </w:tc>
        <w:tc>
          <w:tcPr>
            <w:tcW w:w="5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w:t>
            </w:r>
          </w:p>
        </w:tc>
      </w:tr>
      <w:tr>
        <w:trPr>
          <w:trHeight w:val="264"/>
        </w:trPr>
        <w:tc>
          <w:tcPr>
            <w:tcW w:w="4020" w:type="dxa"/>
            <w:vAlign w:val="bottom"/>
          </w:tcPr>
          <w:p>
            <w:pPr>
              <w:ind w:left="6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16,127</w:t>
            </w:r>
          </w:p>
        </w:tc>
        <w:tc>
          <w:tcPr>
            <w:tcW w:w="6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3"/>
              </w:rPr>
              <w:t>100 %</w:t>
            </w:r>
          </w:p>
        </w:tc>
        <w:tc>
          <w:tcPr>
            <w:tcW w:w="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14,261</w:t>
            </w:r>
          </w:p>
        </w:tc>
        <w:tc>
          <w:tcPr>
            <w:tcW w:w="6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3"/>
              </w:rPr>
              <w:t>100 %</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8"/>
              </w:rPr>
              <w:t>12,847</w:t>
            </w:r>
          </w:p>
        </w:tc>
        <w:tc>
          <w:tcPr>
            <w:tcW w:w="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0"/>
              </w:rPr>
              <w:t>100 %</w:t>
            </w:r>
          </w:p>
        </w:tc>
      </w:tr>
      <w:tr>
        <w:trPr>
          <w:trHeight w:val="473"/>
        </w:trPr>
        <w:tc>
          <w:tcPr>
            <w:tcW w:w="4020" w:type="dxa"/>
            <w:vAlign w:val="bottom"/>
          </w:tcPr>
          <w:p>
            <w:pPr>
              <w:ind w:left="20"/>
              <w:spacing w:after="0"/>
              <w:rPr>
                <w:sz w:val="20"/>
                <w:szCs w:val="20"/>
                <w:color w:val="auto"/>
              </w:rPr>
            </w:pPr>
            <w:r>
              <w:rPr>
                <w:rFonts w:ascii="Arial" w:cs="Arial" w:eastAsia="Arial" w:hAnsi="Arial"/>
                <w:sz w:val="18"/>
                <w:szCs w:val="18"/>
                <w:color w:val="auto"/>
              </w:rPr>
              <w:t>Operating revenues</w:t>
            </w: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43"/>
        </w:trPr>
        <w:tc>
          <w:tcPr>
            <w:tcW w:w="4020" w:type="dxa"/>
            <w:vAlign w:val="bottom"/>
          </w:tcPr>
          <w:p>
            <w:pPr>
              <w:ind w:left="280"/>
              <w:spacing w:after="0"/>
              <w:rPr>
                <w:sz w:val="20"/>
                <w:szCs w:val="20"/>
                <w:color w:val="auto"/>
              </w:rPr>
            </w:pPr>
            <w:r>
              <w:rPr>
                <w:rFonts w:ascii="Arial" w:cs="Arial" w:eastAsia="Arial" w:hAnsi="Arial"/>
                <w:sz w:val="18"/>
                <w:szCs w:val="18"/>
                <w:color w:val="auto"/>
              </w:rPr>
              <w:t>United States</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90"/>
              <w:spacing w:after="0"/>
              <w:rPr>
                <w:sz w:val="20"/>
                <w:szCs w:val="20"/>
                <w:color w:val="auto"/>
              </w:rPr>
            </w:pPr>
            <w:r>
              <w:rPr>
                <w:rFonts w:ascii="Arial" w:cs="Arial" w:eastAsia="Arial" w:hAnsi="Arial"/>
                <w:sz w:val="18"/>
                <w:szCs w:val="18"/>
                <w:color w:val="auto"/>
              </w:rPr>
              <w:t>10,165</w:t>
            </w: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89 %</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10,407</w:t>
            </w:r>
          </w:p>
        </w:tc>
        <w:tc>
          <w:tcPr>
            <w:tcW w:w="660" w:type="dxa"/>
            <w:vAlign w:val="bottom"/>
          </w:tcPr>
          <w:p>
            <w:pPr>
              <w:jc w:val="right"/>
              <w:ind w:right="70"/>
              <w:spacing w:after="0"/>
              <w:rPr>
                <w:sz w:val="20"/>
                <w:szCs w:val="20"/>
                <w:color w:val="auto"/>
              </w:rPr>
            </w:pPr>
            <w:r>
              <w:rPr>
                <w:rFonts w:ascii="Arial" w:cs="Arial" w:eastAsia="Arial" w:hAnsi="Arial"/>
                <w:sz w:val="18"/>
                <w:szCs w:val="18"/>
                <w:color w:val="auto"/>
              </w:rPr>
              <w:t>89 %</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50"/>
              <w:spacing w:after="0"/>
              <w:rPr>
                <w:sz w:val="20"/>
                <w:szCs w:val="20"/>
                <w:color w:val="auto"/>
              </w:rPr>
            </w:pPr>
            <w:r>
              <w:rPr>
                <w:rFonts w:ascii="Arial" w:cs="Arial" w:eastAsia="Arial" w:hAnsi="Arial"/>
                <w:sz w:val="18"/>
                <w:szCs w:val="18"/>
                <w:color w:val="auto"/>
                <w:w w:val="98"/>
              </w:rPr>
              <w:t>10,157</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88 %</w:t>
            </w:r>
          </w:p>
        </w:tc>
      </w:tr>
      <w:tr>
        <w:trPr>
          <w:trHeight w:val="243"/>
        </w:trPr>
        <w:tc>
          <w:tcPr>
            <w:tcW w:w="4020" w:type="dxa"/>
            <w:vAlign w:val="bottom"/>
          </w:tcPr>
          <w:p>
            <w:pPr>
              <w:ind w:left="280"/>
              <w:spacing w:after="0"/>
              <w:rPr>
                <w:sz w:val="20"/>
                <w:szCs w:val="20"/>
                <w:color w:val="auto"/>
              </w:rPr>
            </w:pPr>
            <w:r>
              <w:rPr>
                <w:rFonts w:ascii="Arial" w:cs="Arial" w:eastAsia="Arial" w:hAnsi="Arial"/>
                <w:sz w:val="18"/>
                <w:szCs w:val="18"/>
                <w:color w:val="auto"/>
              </w:rPr>
              <w:t>Latin America</w:t>
            </w:r>
          </w:p>
        </w:tc>
        <w:tc>
          <w:tcPr>
            <w:tcW w:w="300" w:type="dxa"/>
            <w:vAlign w:val="bottom"/>
          </w:tcPr>
          <w:p>
            <w:pPr>
              <w:spacing w:after="0"/>
              <w:rPr>
                <w:sz w:val="21"/>
                <w:szCs w:val="21"/>
                <w:color w:val="auto"/>
              </w:rPr>
            </w:pPr>
          </w:p>
        </w:tc>
        <w:tc>
          <w:tcPr>
            <w:tcW w:w="900" w:type="dxa"/>
            <w:vAlign w:val="bottom"/>
          </w:tcPr>
          <w:p>
            <w:pPr>
              <w:jc w:val="right"/>
              <w:ind w:right="190"/>
              <w:spacing w:after="0"/>
              <w:rPr>
                <w:sz w:val="20"/>
                <w:szCs w:val="20"/>
                <w:color w:val="auto"/>
              </w:rPr>
            </w:pPr>
            <w:r>
              <w:rPr>
                <w:rFonts w:ascii="Arial" w:cs="Arial" w:eastAsia="Arial" w:hAnsi="Arial"/>
                <w:sz w:val="18"/>
                <w:szCs w:val="18"/>
                <w:color w:val="auto"/>
              </w:rPr>
              <w:t>652</w:t>
            </w:r>
          </w:p>
        </w:tc>
        <w:tc>
          <w:tcPr>
            <w:tcW w:w="640" w:type="dxa"/>
            <w:vAlign w:val="bottom"/>
          </w:tcPr>
          <w:p>
            <w:pPr>
              <w:jc w:val="right"/>
              <w:ind w:right="210"/>
              <w:spacing w:after="0"/>
              <w:rPr>
                <w:sz w:val="20"/>
                <w:szCs w:val="20"/>
                <w:color w:val="auto"/>
              </w:rPr>
            </w:pPr>
            <w:r>
              <w:rPr>
                <w:rFonts w:ascii="Arial" w:cs="Arial" w:eastAsia="Arial" w:hAnsi="Arial"/>
                <w:sz w:val="18"/>
                <w:szCs w:val="18"/>
                <w:color w:val="auto"/>
              </w:rPr>
              <w:t>6</w:t>
            </w:r>
          </w:p>
        </w:tc>
        <w:tc>
          <w:tcPr>
            <w:tcW w:w="320" w:type="dxa"/>
            <w:vAlign w:val="bottom"/>
          </w:tcPr>
          <w:p>
            <w:pPr>
              <w:spacing w:after="0"/>
              <w:rPr>
                <w:sz w:val="21"/>
                <w:szCs w:val="21"/>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637</w:t>
            </w:r>
          </w:p>
        </w:tc>
        <w:tc>
          <w:tcPr>
            <w:tcW w:w="660" w:type="dxa"/>
            <w:vAlign w:val="bottom"/>
          </w:tcPr>
          <w:p>
            <w:pPr>
              <w:jc w:val="right"/>
              <w:ind w:right="250"/>
              <w:spacing w:after="0"/>
              <w:rPr>
                <w:sz w:val="20"/>
                <w:szCs w:val="20"/>
                <w:color w:val="auto"/>
              </w:rPr>
            </w:pPr>
            <w:r>
              <w:rPr>
                <w:rFonts w:ascii="Arial" w:cs="Arial" w:eastAsia="Arial" w:hAnsi="Arial"/>
                <w:sz w:val="18"/>
                <w:szCs w:val="18"/>
                <w:color w:val="auto"/>
              </w:rPr>
              <w:t>5</w:t>
            </w:r>
          </w:p>
        </w:tc>
        <w:tc>
          <w:tcPr>
            <w:tcW w:w="340" w:type="dxa"/>
            <w:vAlign w:val="bottom"/>
          </w:tcPr>
          <w:p>
            <w:pPr>
              <w:spacing w:after="0"/>
              <w:rPr>
                <w:sz w:val="21"/>
                <w:szCs w:val="21"/>
                <w:color w:val="auto"/>
              </w:rPr>
            </w:pPr>
          </w:p>
        </w:tc>
        <w:tc>
          <w:tcPr>
            <w:tcW w:w="800" w:type="dxa"/>
            <w:vAlign w:val="bottom"/>
          </w:tcPr>
          <w:p>
            <w:pPr>
              <w:jc w:val="right"/>
              <w:ind w:right="150"/>
              <w:spacing w:after="0"/>
              <w:rPr>
                <w:sz w:val="20"/>
                <w:szCs w:val="20"/>
                <w:color w:val="auto"/>
              </w:rPr>
            </w:pPr>
            <w:r>
              <w:rPr>
                <w:rFonts w:ascii="Arial" w:cs="Arial" w:eastAsia="Arial" w:hAnsi="Arial"/>
                <w:sz w:val="18"/>
                <w:szCs w:val="18"/>
                <w:color w:val="auto"/>
              </w:rPr>
              <w:t>658</w:t>
            </w:r>
          </w:p>
        </w:tc>
        <w:tc>
          <w:tcPr>
            <w:tcW w:w="580" w:type="dxa"/>
            <w:vAlign w:val="bottom"/>
          </w:tcPr>
          <w:p>
            <w:pPr>
              <w:jc w:val="right"/>
              <w:ind w:right="190"/>
              <w:spacing w:after="0"/>
              <w:rPr>
                <w:sz w:val="20"/>
                <w:szCs w:val="20"/>
                <w:color w:val="auto"/>
              </w:rPr>
            </w:pPr>
            <w:r>
              <w:rPr>
                <w:rFonts w:ascii="Arial" w:cs="Arial" w:eastAsia="Arial" w:hAnsi="Arial"/>
                <w:sz w:val="18"/>
                <w:szCs w:val="18"/>
                <w:color w:val="auto"/>
              </w:rPr>
              <w:t>6</w:t>
            </w:r>
          </w:p>
        </w:tc>
      </w:tr>
      <w:tr>
        <w:trPr>
          <w:trHeight w:val="243"/>
        </w:trPr>
        <w:tc>
          <w:tcPr>
            <w:tcW w:w="4020" w:type="dxa"/>
            <w:vAlign w:val="bottom"/>
          </w:tcPr>
          <w:p>
            <w:pPr>
              <w:ind w:left="280"/>
              <w:spacing w:after="0"/>
              <w:rPr>
                <w:sz w:val="20"/>
                <w:szCs w:val="20"/>
                <w:color w:val="auto"/>
              </w:rPr>
            </w:pPr>
            <w:r>
              <w:rPr>
                <w:rFonts w:ascii="Arial" w:cs="Arial" w:eastAsia="Arial" w:hAnsi="Arial"/>
                <w:sz w:val="18"/>
                <w:szCs w:val="18"/>
                <w:color w:val="auto"/>
              </w:rPr>
              <w:t>Europe</w:t>
            </w:r>
          </w:p>
        </w:tc>
        <w:tc>
          <w:tcPr>
            <w:tcW w:w="300" w:type="dxa"/>
            <w:vAlign w:val="bottom"/>
          </w:tcPr>
          <w:p>
            <w:pPr>
              <w:spacing w:after="0"/>
              <w:rPr>
                <w:sz w:val="21"/>
                <w:szCs w:val="21"/>
                <w:color w:val="auto"/>
              </w:rPr>
            </w:pPr>
          </w:p>
        </w:tc>
        <w:tc>
          <w:tcPr>
            <w:tcW w:w="900" w:type="dxa"/>
            <w:vAlign w:val="bottom"/>
          </w:tcPr>
          <w:p>
            <w:pPr>
              <w:jc w:val="right"/>
              <w:ind w:right="190"/>
              <w:spacing w:after="0"/>
              <w:rPr>
                <w:sz w:val="20"/>
                <w:szCs w:val="20"/>
                <w:color w:val="auto"/>
              </w:rPr>
            </w:pPr>
            <w:r>
              <w:rPr>
                <w:rFonts w:ascii="Arial" w:cs="Arial" w:eastAsia="Arial" w:hAnsi="Arial"/>
                <w:sz w:val="18"/>
                <w:szCs w:val="18"/>
                <w:color w:val="auto"/>
              </w:rPr>
              <w:t>525</w:t>
            </w:r>
          </w:p>
        </w:tc>
        <w:tc>
          <w:tcPr>
            <w:tcW w:w="640" w:type="dxa"/>
            <w:vAlign w:val="bottom"/>
          </w:tcPr>
          <w:p>
            <w:pPr>
              <w:jc w:val="right"/>
              <w:ind w:right="210"/>
              <w:spacing w:after="0"/>
              <w:rPr>
                <w:sz w:val="20"/>
                <w:szCs w:val="20"/>
                <w:color w:val="auto"/>
              </w:rPr>
            </w:pPr>
            <w:r>
              <w:rPr>
                <w:rFonts w:ascii="Arial" w:cs="Arial" w:eastAsia="Arial" w:hAnsi="Arial"/>
                <w:sz w:val="18"/>
                <w:szCs w:val="18"/>
                <w:color w:val="auto"/>
              </w:rPr>
              <w:t>5</w:t>
            </w:r>
          </w:p>
        </w:tc>
        <w:tc>
          <w:tcPr>
            <w:tcW w:w="320" w:type="dxa"/>
            <w:vAlign w:val="bottom"/>
          </w:tcPr>
          <w:p>
            <w:pPr>
              <w:spacing w:after="0"/>
              <w:rPr>
                <w:sz w:val="21"/>
                <w:szCs w:val="21"/>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638</w:t>
            </w:r>
          </w:p>
        </w:tc>
        <w:tc>
          <w:tcPr>
            <w:tcW w:w="660" w:type="dxa"/>
            <w:vAlign w:val="bottom"/>
          </w:tcPr>
          <w:p>
            <w:pPr>
              <w:jc w:val="right"/>
              <w:ind w:right="250"/>
              <w:spacing w:after="0"/>
              <w:rPr>
                <w:sz w:val="20"/>
                <w:szCs w:val="20"/>
                <w:color w:val="auto"/>
              </w:rPr>
            </w:pPr>
            <w:r>
              <w:rPr>
                <w:rFonts w:ascii="Arial" w:cs="Arial" w:eastAsia="Arial" w:hAnsi="Arial"/>
                <w:sz w:val="18"/>
                <w:szCs w:val="18"/>
                <w:color w:val="auto"/>
              </w:rPr>
              <w:t>6</w:t>
            </w:r>
          </w:p>
        </w:tc>
        <w:tc>
          <w:tcPr>
            <w:tcW w:w="340" w:type="dxa"/>
            <w:vAlign w:val="bottom"/>
          </w:tcPr>
          <w:p>
            <w:pPr>
              <w:spacing w:after="0"/>
              <w:rPr>
                <w:sz w:val="21"/>
                <w:szCs w:val="21"/>
                <w:color w:val="auto"/>
              </w:rPr>
            </w:pPr>
          </w:p>
        </w:tc>
        <w:tc>
          <w:tcPr>
            <w:tcW w:w="800" w:type="dxa"/>
            <w:vAlign w:val="bottom"/>
          </w:tcPr>
          <w:p>
            <w:pPr>
              <w:jc w:val="right"/>
              <w:ind w:right="150"/>
              <w:spacing w:after="0"/>
              <w:rPr>
                <w:sz w:val="20"/>
                <w:szCs w:val="20"/>
                <w:color w:val="auto"/>
              </w:rPr>
            </w:pPr>
            <w:r>
              <w:rPr>
                <w:rFonts w:ascii="Arial" w:cs="Arial" w:eastAsia="Arial" w:hAnsi="Arial"/>
                <w:sz w:val="18"/>
                <w:szCs w:val="18"/>
                <w:color w:val="auto"/>
              </w:rPr>
              <w:t>639</w:t>
            </w:r>
          </w:p>
        </w:tc>
        <w:tc>
          <w:tcPr>
            <w:tcW w:w="580" w:type="dxa"/>
            <w:vAlign w:val="bottom"/>
          </w:tcPr>
          <w:p>
            <w:pPr>
              <w:jc w:val="right"/>
              <w:ind w:right="190"/>
              <w:spacing w:after="0"/>
              <w:rPr>
                <w:sz w:val="20"/>
                <w:szCs w:val="20"/>
                <w:color w:val="auto"/>
              </w:rPr>
            </w:pPr>
            <w:r>
              <w:rPr>
                <w:rFonts w:ascii="Arial" w:cs="Arial" w:eastAsia="Arial" w:hAnsi="Arial"/>
                <w:sz w:val="18"/>
                <w:szCs w:val="18"/>
                <w:color w:val="auto"/>
              </w:rPr>
              <w:t>6</w:t>
            </w:r>
          </w:p>
        </w:tc>
      </w:tr>
      <w:tr>
        <w:trPr>
          <w:trHeight w:val="243"/>
        </w:trPr>
        <w:tc>
          <w:tcPr>
            <w:tcW w:w="4020" w:type="dxa"/>
            <w:vAlign w:val="bottom"/>
          </w:tcPr>
          <w:p>
            <w:pPr>
              <w:ind w:left="280"/>
              <w:spacing w:after="0"/>
              <w:rPr>
                <w:sz w:val="20"/>
                <w:szCs w:val="20"/>
                <w:color w:val="auto"/>
              </w:rPr>
            </w:pPr>
            <w:r>
              <w:rPr>
                <w:rFonts w:ascii="Arial" w:cs="Arial" w:eastAsia="Arial" w:hAnsi="Arial"/>
                <w:sz w:val="18"/>
                <w:szCs w:val="18"/>
                <w:color w:val="auto"/>
              </w:rPr>
              <w:t>Canada</w:t>
            </w:r>
          </w:p>
        </w:tc>
        <w:tc>
          <w:tcPr>
            <w:tcW w:w="300" w:type="dxa"/>
            <w:vAlign w:val="bottom"/>
          </w:tcPr>
          <w:p>
            <w:pPr>
              <w:spacing w:after="0"/>
              <w:rPr>
                <w:sz w:val="21"/>
                <w:szCs w:val="21"/>
                <w:color w:val="auto"/>
              </w:rPr>
            </w:pPr>
          </w:p>
        </w:tc>
        <w:tc>
          <w:tcPr>
            <w:tcW w:w="900" w:type="dxa"/>
            <w:vAlign w:val="bottom"/>
          </w:tcPr>
          <w:p>
            <w:pPr>
              <w:jc w:val="right"/>
              <w:ind w:right="190"/>
              <w:spacing w:after="0"/>
              <w:rPr>
                <w:sz w:val="20"/>
                <w:szCs w:val="20"/>
                <w:color w:val="auto"/>
              </w:rPr>
            </w:pPr>
            <w:r>
              <w:rPr>
                <w:rFonts w:ascii="Arial" w:cs="Arial" w:eastAsia="Arial" w:hAnsi="Arial"/>
                <w:sz w:val="18"/>
                <w:szCs w:val="18"/>
                <w:color w:val="auto"/>
              </w:rPr>
              <w:t>37</w:t>
            </w:r>
          </w:p>
        </w:tc>
        <w:tc>
          <w:tcPr>
            <w:tcW w:w="6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43</w:t>
            </w:r>
          </w:p>
        </w:tc>
        <w:tc>
          <w:tcPr>
            <w:tcW w:w="6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800" w:type="dxa"/>
            <w:vAlign w:val="bottom"/>
          </w:tcPr>
          <w:p>
            <w:pPr>
              <w:jc w:val="right"/>
              <w:ind w:right="150"/>
              <w:spacing w:after="0"/>
              <w:rPr>
                <w:sz w:val="20"/>
                <w:szCs w:val="20"/>
                <w:color w:val="auto"/>
              </w:rPr>
            </w:pPr>
            <w:r>
              <w:rPr>
                <w:rFonts w:ascii="Arial" w:cs="Arial" w:eastAsia="Arial" w:hAnsi="Arial"/>
                <w:sz w:val="18"/>
                <w:szCs w:val="18"/>
                <w:color w:val="auto"/>
              </w:rPr>
              <w:t>33</w:t>
            </w:r>
          </w:p>
        </w:tc>
        <w:tc>
          <w:tcPr>
            <w:tcW w:w="580" w:type="dxa"/>
            <w:vAlign w:val="bottom"/>
          </w:tcPr>
          <w:p>
            <w:pPr>
              <w:jc w:val="right"/>
              <w:ind w:right="190"/>
              <w:spacing w:after="0"/>
              <w:rPr>
                <w:sz w:val="20"/>
                <w:szCs w:val="20"/>
                <w:color w:val="auto"/>
              </w:rPr>
            </w:pPr>
            <w:r>
              <w:rPr>
                <w:rFonts w:ascii="Arial" w:cs="Arial" w:eastAsia="Arial" w:hAnsi="Arial"/>
                <w:sz w:val="18"/>
                <w:szCs w:val="18"/>
                <w:color w:val="auto"/>
              </w:rPr>
              <w:t>--</w:t>
            </w:r>
          </w:p>
        </w:tc>
      </w:tr>
      <w:tr>
        <w:trPr>
          <w:trHeight w:val="250"/>
        </w:trPr>
        <w:tc>
          <w:tcPr>
            <w:tcW w:w="4020" w:type="dxa"/>
            <w:vAlign w:val="bottom"/>
          </w:tcPr>
          <w:p>
            <w:pPr>
              <w:ind w:left="280"/>
              <w:spacing w:after="0"/>
              <w:rPr>
                <w:sz w:val="20"/>
                <w:szCs w:val="20"/>
                <w:color w:val="auto"/>
              </w:rPr>
            </w:pPr>
            <w:r>
              <w:rPr>
                <w:rFonts w:ascii="Arial" w:cs="Arial" w:eastAsia="Arial" w:hAnsi="Arial"/>
                <w:sz w:val="18"/>
                <w:szCs w:val="18"/>
                <w:color w:val="auto"/>
              </w:rPr>
              <w:t>Asia</w:t>
            </w:r>
          </w:p>
        </w:tc>
        <w:tc>
          <w:tcPr>
            <w:tcW w:w="3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59</w:t>
            </w:r>
          </w:p>
        </w:tc>
        <w:tc>
          <w:tcPr>
            <w:tcW w:w="6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36</w:t>
            </w:r>
          </w:p>
        </w:tc>
        <w:tc>
          <w:tcPr>
            <w:tcW w:w="6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25</w:t>
            </w:r>
          </w:p>
        </w:tc>
        <w:tc>
          <w:tcPr>
            <w:tcW w:w="5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r>
      <w:tr>
        <w:trPr>
          <w:trHeight w:val="264"/>
        </w:trPr>
        <w:tc>
          <w:tcPr>
            <w:tcW w:w="402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11,438</w:t>
            </w:r>
          </w:p>
        </w:tc>
        <w:tc>
          <w:tcPr>
            <w:tcW w:w="6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3"/>
              </w:rPr>
              <w:t>100 %</w:t>
            </w:r>
          </w:p>
        </w:tc>
        <w:tc>
          <w:tcPr>
            <w:tcW w:w="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11,761</w:t>
            </w:r>
          </w:p>
        </w:tc>
        <w:tc>
          <w:tcPr>
            <w:tcW w:w="6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3"/>
              </w:rPr>
              <w:t>100 %</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8"/>
              </w:rPr>
              <w:t>11,512</w:t>
            </w:r>
          </w:p>
        </w:tc>
        <w:tc>
          <w:tcPr>
            <w:tcW w:w="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0"/>
              </w:rPr>
              <w:t>100 %</w:t>
            </w:r>
          </w:p>
        </w:tc>
      </w:tr>
      <w:tr>
        <w:trPr>
          <w:trHeight w:val="230"/>
        </w:trPr>
        <w:tc>
          <w:tcPr>
            <w:tcW w:w="4020" w:type="dxa"/>
            <w:vAlign w:val="bottom"/>
          </w:tcPr>
          <w:p>
            <w:pPr>
              <w:ind w:left="80"/>
              <w:spacing w:after="0"/>
              <w:rPr>
                <w:sz w:val="20"/>
                <w:szCs w:val="20"/>
                <w:color w:val="auto"/>
              </w:rPr>
            </w:pPr>
            <w:r>
              <w:rPr>
                <w:rFonts w:ascii="Arial" w:cs="Arial" w:eastAsia="Arial" w:hAnsi="Arial"/>
                <w:sz w:val="18"/>
                <w:szCs w:val="18"/>
                <w:color w:val="auto"/>
              </w:rPr>
              <w:t>* after preferred dividends</w:t>
            </w: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8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20"/>
          <w:szCs w:val="20"/>
          <w:color w:val="auto"/>
        </w:rPr>
        <w:t>125</w:t>
      </w:r>
    </w:p>
    <w:p>
      <w:pPr>
        <w:sectPr>
          <w:pgSz w:w="11900" w:h="16838" w:orient="portrait"/>
          <w:cols w:equalWidth="0" w:num="1">
            <w:col w:w="10360"/>
          </w:cols>
          <w:pgMar w:left="240" w:top="895" w:right="1299" w:bottom="1440" w:gutter="0" w:footer="0" w:header="0"/>
        </w:sectPr>
      </w:pPr>
    </w:p>
    <w:bookmarkStart w:id="193" w:name="page194"/>
    <w:bookmarkEnd w:id="193"/>
    <w:p>
      <w:pPr>
        <w:ind w:left="60"/>
        <w:spacing w:after="0"/>
        <w:rPr>
          <w:sz w:val="20"/>
          <w:szCs w:val="20"/>
          <w:color w:val="auto"/>
        </w:rPr>
      </w:pPr>
      <w:r>
        <w:rPr>
          <w:rFonts w:ascii="Arial" w:cs="Arial" w:eastAsia="Arial" w:hAnsi="Arial"/>
          <w:sz w:val="20"/>
          <w:szCs w:val="20"/>
          <w:b w:val="1"/>
          <w:bCs w:val="1"/>
          <w:color w:val="auto"/>
        </w:rPr>
        <w:t>NOTE 18. QUARTERLY FINANCIAL DATA (UNAUDITED)</w:t>
      </w:r>
    </w:p>
    <w:p>
      <w:pPr>
        <w:spacing w:after="0" w:line="200" w:lineRule="exact"/>
        <w:rPr>
          <w:sz w:val="20"/>
          <w:szCs w:val="20"/>
          <w:color w:val="auto"/>
        </w:rPr>
      </w:pPr>
    </w:p>
    <w:p>
      <w:pPr>
        <w:spacing w:after="0" w:line="336" w:lineRule="exact"/>
        <w:rPr>
          <w:sz w:val="20"/>
          <w:szCs w:val="20"/>
          <w:color w:val="auto"/>
        </w:rPr>
      </w:pPr>
    </w:p>
    <w:tbl>
      <w:tblPr>
        <w:tblLayout w:type="fixed"/>
        <w:tblInd w:w="860" w:type="dxa"/>
        <w:tblCellMar>
          <w:top w:w="0" w:type="dxa"/>
          <w:left w:w="0" w:type="dxa"/>
          <w:bottom w:w="0" w:type="dxa"/>
          <w:right w:w="0" w:type="dxa"/>
        </w:tblCellMar>
      </w:tblPr>
      <w:tr>
        <w:trPr>
          <w:trHeight w:val="237"/>
        </w:trPr>
        <w:tc>
          <w:tcPr>
            <w:tcW w:w="476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92"/>
              </w:rPr>
              <w:t>Quarters ended</w:t>
            </w:r>
          </w:p>
        </w:tc>
        <w:tc>
          <w:tcPr>
            <w:tcW w:w="6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r>
      <w:tr>
        <w:trPr>
          <w:trHeight w:val="237"/>
        </w:trPr>
        <w:tc>
          <w:tcPr>
            <w:tcW w:w="4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(Dollars and shares in millions, except per share amounts)</w:t>
            </w:r>
          </w:p>
        </w:tc>
        <w:tc>
          <w:tcPr>
            <w:tcW w:w="1360" w:type="dxa"/>
            <w:vAlign w:val="bottom"/>
            <w:tcBorders>
              <w:bottom w:val="single" w:sz="8" w:color="auto"/>
            </w:tcBorders>
            <w:gridSpan w:val="2"/>
          </w:tcPr>
          <w:p>
            <w:pPr>
              <w:jc w:val="right"/>
              <w:ind w:right="330"/>
              <w:spacing w:after="0"/>
              <w:rPr>
                <w:sz w:val="20"/>
                <w:szCs w:val="20"/>
                <w:color w:val="auto"/>
              </w:rPr>
            </w:pPr>
            <w:r>
              <w:rPr>
                <w:rFonts w:ascii="Arial" w:cs="Arial" w:eastAsia="Arial" w:hAnsi="Arial"/>
                <w:sz w:val="18"/>
                <w:szCs w:val="18"/>
                <w:color w:val="auto"/>
              </w:rPr>
              <w:t>March 31</w:t>
            </w:r>
          </w:p>
        </w:tc>
        <w:tc>
          <w:tcPr>
            <w:tcW w:w="1160" w:type="dxa"/>
            <w:vAlign w:val="bottom"/>
            <w:tcBorders>
              <w:bottom w:val="single" w:sz="8" w:color="auto"/>
            </w:tcBorders>
            <w:gridSpan w:val="2"/>
          </w:tcPr>
          <w:p>
            <w:pPr>
              <w:jc w:val="right"/>
              <w:ind w:right="350"/>
              <w:spacing w:after="0"/>
              <w:rPr>
                <w:sz w:val="20"/>
                <w:szCs w:val="20"/>
                <w:color w:val="auto"/>
              </w:rPr>
            </w:pPr>
            <w:r>
              <w:rPr>
                <w:rFonts w:ascii="Arial" w:cs="Arial" w:eastAsia="Arial" w:hAnsi="Arial"/>
                <w:sz w:val="18"/>
                <w:szCs w:val="18"/>
                <w:color w:val="auto"/>
              </w:rPr>
              <w:t>June 30</w:t>
            </w:r>
          </w:p>
        </w:tc>
        <w:tc>
          <w:tcPr>
            <w:tcW w:w="126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w w:val="90"/>
              </w:rPr>
              <w:t>September 30</w:t>
            </w:r>
          </w:p>
        </w:tc>
        <w:tc>
          <w:tcPr>
            <w:tcW w:w="116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94"/>
              </w:rPr>
              <w:t>December 31</w:t>
            </w:r>
          </w:p>
        </w:tc>
      </w:tr>
      <w:tr>
        <w:trPr>
          <w:trHeight w:val="230"/>
        </w:trPr>
        <w:tc>
          <w:tcPr>
            <w:tcW w:w="4760" w:type="dxa"/>
            <w:vAlign w:val="bottom"/>
          </w:tcPr>
          <w:p>
            <w:pPr>
              <w:ind w:left="20"/>
              <w:spacing w:after="0"/>
              <w:rPr>
                <w:sz w:val="20"/>
                <w:szCs w:val="20"/>
                <w:color w:val="auto"/>
              </w:rPr>
            </w:pPr>
            <w:r>
              <w:rPr>
                <w:rFonts w:ascii="Arial" w:cs="Arial" w:eastAsia="Arial" w:hAnsi="Arial"/>
                <w:sz w:val="18"/>
                <w:szCs w:val="18"/>
                <w:color w:val="auto"/>
              </w:rPr>
              <w:t>2007</w:t>
            </w: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242"/>
        </w:trPr>
        <w:tc>
          <w:tcPr>
            <w:tcW w:w="4760" w:type="dxa"/>
            <w:vAlign w:val="bottom"/>
          </w:tcPr>
          <w:p>
            <w:pPr>
              <w:ind w:left="20"/>
              <w:spacing w:after="0"/>
              <w:rPr>
                <w:sz w:val="20"/>
                <w:szCs w:val="20"/>
                <w:color w:val="auto"/>
              </w:rPr>
            </w:pPr>
            <w:r>
              <w:rPr>
                <w:rFonts w:ascii="Arial" w:cs="Arial" w:eastAsia="Arial" w:hAnsi="Arial"/>
                <w:sz w:val="18"/>
                <w:szCs w:val="18"/>
                <w:color w:val="auto"/>
              </w:rPr>
              <w:t>Operating revenues</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3,004</w:t>
            </w: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2,661</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2,663</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3,110</w:t>
            </w:r>
          </w:p>
        </w:tc>
      </w:tr>
      <w:tr>
        <w:trPr>
          <w:trHeight w:val="257"/>
        </w:trPr>
        <w:tc>
          <w:tcPr>
            <w:tcW w:w="47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6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2,737</w:t>
            </w:r>
          </w:p>
        </w:tc>
        <w:tc>
          <w:tcPr>
            <w:tcW w:w="48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2,247</w:t>
            </w:r>
          </w:p>
        </w:tc>
        <w:tc>
          <w:tcPr>
            <w:tcW w:w="66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2,164</w:t>
            </w:r>
          </w:p>
        </w:tc>
        <w:tc>
          <w:tcPr>
            <w:tcW w:w="6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2,611</w:t>
            </w:r>
          </w:p>
        </w:tc>
      </w:tr>
      <w:tr>
        <w:trPr>
          <w:trHeight w:val="257"/>
        </w:trPr>
        <w:tc>
          <w:tcPr>
            <w:tcW w:w="476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267</w:t>
            </w:r>
          </w:p>
        </w:tc>
        <w:tc>
          <w:tcPr>
            <w:tcW w:w="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414</w:t>
            </w: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w:t>
            </w: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w:t>
            </w:r>
          </w:p>
        </w:tc>
      </w:tr>
      <w:tr>
        <w:trPr>
          <w:trHeight w:val="473"/>
        </w:trPr>
        <w:tc>
          <w:tcPr>
            <w:tcW w:w="4760" w:type="dxa"/>
            <w:vAlign w:val="bottom"/>
          </w:tcPr>
          <w:p>
            <w:pPr>
              <w:ind w:left="20"/>
              <w:spacing w:after="0"/>
              <w:rPr>
                <w:sz w:val="20"/>
                <w:szCs w:val="20"/>
                <w:color w:val="auto"/>
              </w:rPr>
            </w:pPr>
            <w:r>
              <w:rPr>
                <w:rFonts w:ascii="Arial" w:cs="Arial" w:eastAsia="Arial" w:hAnsi="Arial"/>
                <w:sz w:val="18"/>
                <w:szCs w:val="18"/>
                <w:color w:val="auto"/>
              </w:rPr>
              <w:t>Income from continuing operations</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227</w:t>
            </w: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280</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330</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288</w:t>
            </w:r>
          </w:p>
        </w:tc>
      </w:tr>
      <w:tr>
        <w:trPr>
          <w:trHeight w:val="243"/>
        </w:trPr>
        <w:tc>
          <w:tcPr>
            <w:tcW w:w="47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228</w:t>
            </w: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277</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305</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289</w:t>
            </w:r>
          </w:p>
        </w:tc>
      </w:tr>
      <w:tr>
        <w:trPr>
          <w:trHeight w:val="486"/>
        </w:trPr>
        <w:tc>
          <w:tcPr>
            <w:tcW w:w="4760" w:type="dxa"/>
            <w:vAlign w:val="bottom"/>
          </w:tcPr>
          <w:p>
            <w:pPr>
              <w:ind w:left="20"/>
              <w:spacing w:after="0"/>
              <w:rPr>
                <w:sz w:val="20"/>
                <w:szCs w:val="20"/>
                <w:color w:val="auto"/>
              </w:rPr>
            </w:pPr>
            <w:r>
              <w:rPr>
                <w:rFonts w:ascii="Arial" w:cs="Arial" w:eastAsia="Arial" w:hAnsi="Arial"/>
                <w:sz w:val="18"/>
                <w:szCs w:val="18"/>
                <w:color w:val="auto"/>
              </w:rPr>
              <w:t>Basic earnings per share:*</w:t>
            </w: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43"/>
        </w:trPr>
        <w:tc>
          <w:tcPr>
            <w:tcW w:w="4760" w:type="dxa"/>
            <w:vAlign w:val="bottom"/>
          </w:tcPr>
          <w:p>
            <w:pPr>
              <w:ind w:left="220"/>
              <w:spacing w:after="0"/>
              <w:rPr>
                <w:sz w:val="20"/>
                <w:szCs w:val="20"/>
                <w:color w:val="auto"/>
              </w:rPr>
            </w:pPr>
            <w:r>
              <w:rPr>
                <w:rFonts w:ascii="Arial" w:cs="Arial" w:eastAsia="Arial" w:hAnsi="Arial"/>
                <w:sz w:val="18"/>
                <w:szCs w:val="18"/>
                <w:color w:val="auto"/>
              </w:rPr>
              <w:t>Income from continuing operations</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0.88</w:t>
            </w: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1.08</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1.27</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43"/>
        </w:trPr>
        <w:tc>
          <w:tcPr>
            <w:tcW w:w="476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0.88</w:t>
            </w: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1.07</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1.17</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43"/>
        </w:trPr>
        <w:tc>
          <w:tcPr>
            <w:tcW w:w="4760" w:type="dxa"/>
            <w:vAlign w:val="bottom"/>
          </w:tcPr>
          <w:p>
            <w:pPr>
              <w:ind w:left="220"/>
              <w:spacing w:after="0"/>
              <w:rPr>
                <w:sz w:val="20"/>
                <w:szCs w:val="20"/>
                <w:color w:val="auto"/>
              </w:rPr>
            </w:pPr>
            <w:r>
              <w:rPr>
                <w:rFonts w:ascii="Arial" w:cs="Arial" w:eastAsia="Arial" w:hAnsi="Arial"/>
                <w:sz w:val="18"/>
                <w:szCs w:val="18"/>
                <w:color w:val="auto"/>
              </w:rPr>
              <w:t>Average common shares outstanding</w:t>
            </w:r>
          </w:p>
        </w:tc>
        <w:tc>
          <w:tcPr>
            <w:tcW w:w="660" w:type="dxa"/>
            <w:vAlign w:val="bottom"/>
          </w:tcPr>
          <w:p>
            <w:pPr>
              <w:spacing w:after="0"/>
              <w:rPr>
                <w:sz w:val="21"/>
                <w:szCs w:val="21"/>
                <w:color w:val="auto"/>
              </w:rPr>
            </w:pP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259.5</w:t>
            </w:r>
          </w:p>
        </w:tc>
        <w:tc>
          <w:tcPr>
            <w:tcW w:w="48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260.2</w:t>
            </w:r>
          </w:p>
        </w:tc>
        <w:tc>
          <w:tcPr>
            <w:tcW w:w="6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259.6</w:t>
            </w:r>
          </w:p>
        </w:tc>
        <w:tc>
          <w:tcPr>
            <w:tcW w:w="6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257.9</w:t>
            </w:r>
          </w:p>
        </w:tc>
      </w:tr>
      <w:tr>
        <w:trPr>
          <w:trHeight w:val="486"/>
        </w:trPr>
        <w:tc>
          <w:tcPr>
            <w:tcW w:w="4760" w:type="dxa"/>
            <w:vAlign w:val="bottom"/>
          </w:tcPr>
          <w:p>
            <w:pPr>
              <w:ind w:left="20"/>
              <w:spacing w:after="0"/>
              <w:rPr>
                <w:sz w:val="20"/>
                <w:szCs w:val="20"/>
                <w:color w:val="auto"/>
              </w:rPr>
            </w:pPr>
            <w:r>
              <w:rPr>
                <w:rFonts w:ascii="Arial" w:cs="Arial" w:eastAsia="Arial" w:hAnsi="Arial"/>
                <w:sz w:val="18"/>
                <w:szCs w:val="18"/>
                <w:color w:val="auto"/>
              </w:rPr>
              <w:t>Diluted earnings per share:*</w:t>
            </w: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43"/>
        </w:trPr>
        <w:tc>
          <w:tcPr>
            <w:tcW w:w="4760" w:type="dxa"/>
            <w:vAlign w:val="bottom"/>
          </w:tcPr>
          <w:p>
            <w:pPr>
              <w:ind w:left="220"/>
              <w:spacing w:after="0"/>
              <w:rPr>
                <w:sz w:val="20"/>
                <w:szCs w:val="20"/>
                <w:color w:val="auto"/>
              </w:rPr>
            </w:pPr>
            <w:r>
              <w:rPr>
                <w:rFonts w:ascii="Arial" w:cs="Arial" w:eastAsia="Arial" w:hAnsi="Arial"/>
                <w:sz w:val="18"/>
                <w:szCs w:val="18"/>
                <w:color w:val="auto"/>
              </w:rPr>
              <w:t>Income from continuing operations</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0.86</w:t>
            </w: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1.06</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1.24</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43"/>
        </w:trPr>
        <w:tc>
          <w:tcPr>
            <w:tcW w:w="476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0.86</w:t>
            </w: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1.05</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1.15</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77"/>
        </w:trPr>
        <w:tc>
          <w:tcPr>
            <w:tcW w:w="47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Average common shares outstanding</w:t>
            </w:r>
          </w:p>
        </w:tc>
        <w:tc>
          <w:tcPr>
            <w:tcW w:w="6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264.0</w:t>
            </w:r>
          </w:p>
        </w:tc>
        <w:tc>
          <w:tcPr>
            <w:tcW w:w="4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265.0</w:t>
            </w:r>
          </w:p>
        </w:tc>
        <w:tc>
          <w:tcPr>
            <w:tcW w:w="6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264.3</w:t>
            </w:r>
          </w:p>
        </w:tc>
        <w:tc>
          <w:tcPr>
            <w:tcW w:w="6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262.8</w:t>
            </w:r>
          </w:p>
        </w:tc>
      </w:tr>
      <w:tr>
        <w:trPr>
          <w:trHeight w:val="230"/>
        </w:trPr>
        <w:tc>
          <w:tcPr>
            <w:tcW w:w="4760" w:type="dxa"/>
            <w:vAlign w:val="bottom"/>
          </w:tcPr>
          <w:p>
            <w:pPr>
              <w:ind w:left="20"/>
              <w:spacing w:after="0"/>
              <w:rPr>
                <w:sz w:val="20"/>
                <w:szCs w:val="20"/>
                <w:color w:val="auto"/>
              </w:rPr>
            </w:pPr>
            <w:r>
              <w:rPr>
                <w:rFonts w:ascii="Arial" w:cs="Arial" w:eastAsia="Arial" w:hAnsi="Arial"/>
                <w:sz w:val="18"/>
                <w:szCs w:val="18"/>
                <w:color w:val="auto"/>
              </w:rPr>
              <w:t>2006</w:t>
            </w: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242"/>
        </w:trPr>
        <w:tc>
          <w:tcPr>
            <w:tcW w:w="4760" w:type="dxa"/>
            <w:vAlign w:val="bottom"/>
          </w:tcPr>
          <w:p>
            <w:pPr>
              <w:ind w:left="20"/>
              <w:spacing w:after="0"/>
              <w:rPr>
                <w:sz w:val="20"/>
                <w:szCs w:val="20"/>
                <w:color w:val="auto"/>
              </w:rPr>
            </w:pPr>
            <w:r>
              <w:rPr>
                <w:rFonts w:ascii="Arial" w:cs="Arial" w:eastAsia="Arial" w:hAnsi="Arial"/>
                <w:sz w:val="18"/>
                <w:szCs w:val="18"/>
                <w:color w:val="auto"/>
              </w:rPr>
              <w:t>Operating revenues</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3,336</w:t>
            </w: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2,486</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2,694</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3,245</w:t>
            </w:r>
          </w:p>
        </w:tc>
      </w:tr>
      <w:tr>
        <w:trPr>
          <w:trHeight w:val="257"/>
        </w:trPr>
        <w:tc>
          <w:tcPr>
            <w:tcW w:w="47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6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2,924</w:t>
            </w:r>
          </w:p>
        </w:tc>
        <w:tc>
          <w:tcPr>
            <w:tcW w:w="48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2,149</w:t>
            </w:r>
          </w:p>
        </w:tc>
        <w:tc>
          <w:tcPr>
            <w:tcW w:w="66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2,228</w:t>
            </w:r>
          </w:p>
        </w:tc>
        <w:tc>
          <w:tcPr>
            <w:tcW w:w="6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2,675</w:t>
            </w:r>
          </w:p>
        </w:tc>
      </w:tr>
      <w:tr>
        <w:trPr>
          <w:trHeight w:val="257"/>
        </w:trPr>
        <w:tc>
          <w:tcPr>
            <w:tcW w:w="476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412</w:t>
            </w:r>
          </w:p>
        </w:tc>
        <w:tc>
          <w:tcPr>
            <w:tcW w:w="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w:t>
            </w: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w:t>
            </w: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w:t>
            </w:r>
          </w:p>
        </w:tc>
      </w:tr>
      <w:tr>
        <w:trPr>
          <w:trHeight w:val="473"/>
        </w:trPr>
        <w:tc>
          <w:tcPr>
            <w:tcW w:w="4760" w:type="dxa"/>
            <w:vAlign w:val="bottom"/>
          </w:tcPr>
          <w:p>
            <w:pPr>
              <w:ind w:left="20"/>
              <w:spacing w:after="0"/>
              <w:rPr>
                <w:sz w:val="20"/>
                <w:szCs w:val="20"/>
                <w:color w:val="auto"/>
              </w:rPr>
            </w:pPr>
            <w:r>
              <w:rPr>
                <w:rFonts w:ascii="Arial" w:cs="Arial" w:eastAsia="Arial" w:hAnsi="Arial"/>
                <w:sz w:val="18"/>
                <w:szCs w:val="18"/>
                <w:color w:val="auto"/>
              </w:rPr>
              <w:t>Income from continuing operations</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234</w:t>
            </w: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185</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543</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243"/>
        </w:trPr>
        <w:tc>
          <w:tcPr>
            <w:tcW w:w="47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255</w:t>
            </w: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373</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653</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486"/>
        </w:trPr>
        <w:tc>
          <w:tcPr>
            <w:tcW w:w="4760" w:type="dxa"/>
            <w:vAlign w:val="bottom"/>
          </w:tcPr>
          <w:p>
            <w:pPr>
              <w:ind w:left="20"/>
              <w:spacing w:after="0"/>
              <w:rPr>
                <w:sz w:val="20"/>
                <w:szCs w:val="20"/>
                <w:color w:val="auto"/>
              </w:rPr>
            </w:pPr>
            <w:r>
              <w:rPr>
                <w:rFonts w:ascii="Arial" w:cs="Arial" w:eastAsia="Arial" w:hAnsi="Arial"/>
                <w:sz w:val="18"/>
                <w:szCs w:val="18"/>
                <w:color w:val="auto"/>
              </w:rPr>
              <w:t>Basic earnings per share:*</w:t>
            </w: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43"/>
        </w:trPr>
        <w:tc>
          <w:tcPr>
            <w:tcW w:w="4760" w:type="dxa"/>
            <w:vAlign w:val="bottom"/>
          </w:tcPr>
          <w:p>
            <w:pPr>
              <w:ind w:left="220"/>
              <w:spacing w:after="0"/>
              <w:rPr>
                <w:sz w:val="20"/>
                <w:szCs w:val="20"/>
                <w:color w:val="auto"/>
              </w:rPr>
            </w:pPr>
            <w:r>
              <w:rPr>
                <w:rFonts w:ascii="Arial" w:cs="Arial" w:eastAsia="Arial" w:hAnsi="Arial"/>
                <w:sz w:val="18"/>
                <w:szCs w:val="18"/>
                <w:color w:val="auto"/>
              </w:rPr>
              <w:t>Income from continuing operations</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0.92</w:t>
            </w: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0.73</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2.11</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0.50</w:t>
            </w:r>
          </w:p>
        </w:tc>
      </w:tr>
      <w:tr>
        <w:trPr>
          <w:trHeight w:val="243"/>
        </w:trPr>
        <w:tc>
          <w:tcPr>
            <w:tcW w:w="476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1.00</w:t>
            </w: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1.46</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2.54</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0.48</w:t>
            </w:r>
          </w:p>
        </w:tc>
      </w:tr>
      <w:tr>
        <w:trPr>
          <w:trHeight w:val="243"/>
        </w:trPr>
        <w:tc>
          <w:tcPr>
            <w:tcW w:w="4760" w:type="dxa"/>
            <w:vAlign w:val="bottom"/>
          </w:tcPr>
          <w:p>
            <w:pPr>
              <w:ind w:left="220"/>
              <w:spacing w:after="0"/>
              <w:rPr>
                <w:sz w:val="20"/>
                <w:szCs w:val="20"/>
                <w:color w:val="auto"/>
              </w:rPr>
            </w:pPr>
            <w:r>
              <w:rPr>
                <w:rFonts w:ascii="Arial" w:cs="Arial" w:eastAsia="Arial" w:hAnsi="Arial"/>
                <w:sz w:val="18"/>
                <w:szCs w:val="18"/>
                <w:color w:val="auto"/>
              </w:rPr>
              <w:t>Average common shares outstanding</w:t>
            </w:r>
          </w:p>
        </w:tc>
        <w:tc>
          <w:tcPr>
            <w:tcW w:w="660" w:type="dxa"/>
            <w:vAlign w:val="bottom"/>
          </w:tcPr>
          <w:p>
            <w:pPr>
              <w:spacing w:after="0"/>
              <w:rPr>
                <w:sz w:val="21"/>
                <w:szCs w:val="21"/>
                <w:color w:val="auto"/>
              </w:rPr>
            </w:pP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254.3</w:t>
            </w:r>
          </w:p>
        </w:tc>
        <w:tc>
          <w:tcPr>
            <w:tcW w:w="48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255.7</w:t>
            </w:r>
          </w:p>
        </w:tc>
        <w:tc>
          <w:tcPr>
            <w:tcW w:w="6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257.5</w:t>
            </w:r>
          </w:p>
        </w:tc>
        <w:tc>
          <w:tcPr>
            <w:tcW w:w="6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258.4</w:t>
            </w:r>
          </w:p>
        </w:tc>
      </w:tr>
      <w:tr>
        <w:trPr>
          <w:trHeight w:val="486"/>
        </w:trPr>
        <w:tc>
          <w:tcPr>
            <w:tcW w:w="4760" w:type="dxa"/>
            <w:vAlign w:val="bottom"/>
          </w:tcPr>
          <w:p>
            <w:pPr>
              <w:ind w:left="20"/>
              <w:spacing w:after="0"/>
              <w:rPr>
                <w:sz w:val="20"/>
                <w:szCs w:val="20"/>
                <w:color w:val="auto"/>
              </w:rPr>
            </w:pPr>
            <w:r>
              <w:rPr>
                <w:rFonts w:ascii="Arial" w:cs="Arial" w:eastAsia="Arial" w:hAnsi="Arial"/>
                <w:sz w:val="18"/>
                <w:szCs w:val="18"/>
                <w:color w:val="auto"/>
              </w:rPr>
              <w:t>Diluted earnings per share:*</w:t>
            </w: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43"/>
        </w:trPr>
        <w:tc>
          <w:tcPr>
            <w:tcW w:w="4760" w:type="dxa"/>
            <w:vAlign w:val="bottom"/>
          </w:tcPr>
          <w:p>
            <w:pPr>
              <w:ind w:left="220"/>
              <w:spacing w:after="0"/>
              <w:rPr>
                <w:sz w:val="20"/>
                <w:szCs w:val="20"/>
                <w:color w:val="auto"/>
              </w:rPr>
            </w:pPr>
            <w:r>
              <w:rPr>
                <w:rFonts w:ascii="Arial" w:cs="Arial" w:eastAsia="Arial" w:hAnsi="Arial"/>
                <w:sz w:val="18"/>
                <w:szCs w:val="18"/>
                <w:color w:val="auto"/>
              </w:rPr>
              <w:t>Income from continuing operations</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0.90</w:t>
            </w: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0.71</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2.07</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0.49</w:t>
            </w:r>
          </w:p>
        </w:tc>
      </w:tr>
      <w:tr>
        <w:trPr>
          <w:trHeight w:val="243"/>
        </w:trPr>
        <w:tc>
          <w:tcPr>
            <w:tcW w:w="476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0.98</w:t>
            </w: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1.43</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2.49</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0.47</w:t>
            </w:r>
          </w:p>
        </w:tc>
      </w:tr>
      <w:tr>
        <w:trPr>
          <w:trHeight w:val="243"/>
        </w:trPr>
        <w:tc>
          <w:tcPr>
            <w:tcW w:w="4760" w:type="dxa"/>
            <w:vAlign w:val="bottom"/>
          </w:tcPr>
          <w:p>
            <w:pPr>
              <w:ind w:left="220"/>
              <w:spacing w:after="0"/>
              <w:rPr>
                <w:sz w:val="20"/>
                <w:szCs w:val="20"/>
                <w:color w:val="auto"/>
              </w:rPr>
            </w:pPr>
            <w:r>
              <w:rPr>
                <w:rFonts w:ascii="Arial" w:cs="Arial" w:eastAsia="Arial" w:hAnsi="Arial"/>
                <w:sz w:val="18"/>
                <w:szCs w:val="18"/>
                <w:color w:val="auto"/>
              </w:rPr>
              <w:t>Average common shares outstanding</w:t>
            </w:r>
          </w:p>
        </w:tc>
        <w:tc>
          <w:tcPr>
            <w:tcW w:w="660" w:type="dxa"/>
            <w:vAlign w:val="bottom"/>
          </w:tcPr>
          <w:p>
            <w:pPr>
              <w:spacing w:after="0"/>
              <w:rPr>
                <w:sz w:val="21"/>
                <w:szCs w:val="21"/>
                <w:color w:val="auto"/>
              </w:rPr>
            </w:pP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259.3</w:t>
            </w:r>
          </w:p>
        </w:tc>
        <w:tc>
          <w:tcPr>
            <w:tcW w:w="48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260.3</w:t>
            </w:r>
          </w:p>
        </w:tc>
        <w:tc>
          <w:tcPr>
            <w:tcW w:w="6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262.1</w:t>
            </w:r>
          </w:p>
        </w:tc>
        <w:tc>
          <w:tcPr>
            <w:tcW w:w="6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263.4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8890</wp:posOffset>
            </wp:positionV>
            <wp:extent cx="616585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165850" cy="26035"/>
                    </a:xfrm>
                    <a:prstGeom prst="rect">
                      <a:avLst/>
                    </a:prstGeom>
                    <a:noFill/>
                  </pic:spPr>
                </pic:pic>
              </a:graphicData>
            </a:graphic>
          </wp:anchor>
        </w:drawing>
      </w:r>
    </w:p>
    <w:p>
      <w:pPr>
        <w:spacing w:after="0" w:line="33" w:lineRule="exact"/>
        <w:rPr>
          <w:sz w:val="20"/>
          <w:szCs w:val="20"/>
          <w:color w:val="auto"/>
        </w:rPr>
      </w:pPr>
    </w:p>
    <w:p>
      <w:pPr>
        <w:ind w:left="1300" w:right="860" w:hanging="428"/>
        <w:spacing w:after="0" w:line="277" w:lineRule="auto"/>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Earnings per share are computed independently for each of the quarters presented and therefore may not sum to the total for the year.</w:t>
      </w:r>
    </w:p>
    <w:p>
      <w:pPr>
        <w:spacing w:after="0" w:line="208" w:lineRule="exact"/>
        <w:rPr>
          <w:sz w:val="20"/>
          <w:szCs w:val="20"/>
          <w:color w:val="auto"/>
        </w:rPr>
      </w:pPr>
    </w:p>
    <w:p>
      <w:pPr>
        <w:spacing w:after="0" w:line="328" w:lineRule="auto"/>
        <w:rPr>
          <w:sz w:val="20"/>
          <w:szCs w:val="20"/>
          <w:color w:val="auto"/>
        </w:rPr>
      </w:pPr>
      <w:r>
        <w:rPr>
          <w:rFonts w:ascii="Arial" w:cs="Arial" w:eastAsia="Arial" w:hAnsi="Arial"/>
          <w:sz w:val="16"/>
          <w:szCs w:val="16"/>
          <w:color w:val="auto"/>
        </w:rPr>
        <w:t>Net income for the second quarter of 2006 included a $227 million gain from the sale of Twin Oaks in results from discontinued operations. In the third quarter of 2006, net income included a $211 million gain from the sale of the Topaz power plants (as discussed in Note 4) and, in discontinued operations, a $104 million gain on the sale of SEPCO. Net income in the fourth quarter of 2006 included a $221 million impairment loss associated with Sempra Pipelines &amp; Storage’s Argentine investments. Discontinued operations are discussed further in Note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20"/>
          <w:szCs w:val="20"/>
          <w:color w:val="auto"/>
        </w:rPr>
        <w:t>126</w:t>
      </w:r>
    </w:p>
    <w:p>
      <w:pPr>
        <w:sectPr>
          <w:pgSz w:w="11900" w:h="16838" w:orient="portrait"/>
          <w:cols w:equalWidth="0" w:num="1">
            <w:col w:w="11340"/>
          </w:cols>
          <w:pgMar w:left="240" w:top="116" w:right="319" w:bottom="1440" w:gutter="0" w:footer="0" w:header="0"/>
        </w:sectPr>
      </w:pPr>
    </w:p>
    <w:bookmarkStart w:id="194" w:name="page195"/>
    <w:bookmarkEnd w:id="194"/>
    <w:p>
      <w:pPr>
        <w:jc w:val="center"/>
        <w:spacing w:after="0"/>
        <w:rPr>
          <w:sz w:val="20"/>
          <w:szCs w:val="20"/>
          <w:color w:val="auto"/>
        </w:rPr>
      </w:pPr>
      <w:r>
        <w:rPr>
          <w:rFonts w:ascii="Arial" w:cs="Arial" w:eastAsia="Arial" w:hAnsi="Arial"/>
          <w:sz w:val="20"/>
          <w:szCs w:val="20"/>
          <w:b w:val="1"/>
          <w:bCs w:val="1"/>
          <w:color w:val="auto"/>
        </w:rPr>
        <w:t>Exhibit 21.01</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Sempra Energy</w:t>
      </w:r>
    </w:p>
    <w:p>
      <w:pPr>
        <w:jc w:val="center"/>
        <w:spacing w:after="0"/>
        <w:rPr>
          <w:sz w:val="20"/>
          <w:szCs w:val="20"/>
          <w:color w:val="auto"/>
        </w:rPr>
      </w:pPr>
      <w:r>
        <w:rPr>
          <w:rFonts w:ascii="Arial" w:cs="Arial" w:eastAsia="Arial" w:hAnsi="Arial"/>
          <w:sz w:val="20"/>
          <w:szCs w:val="20"/>
          <w:b w:val="1"/>
          <w:bCs w:val="1"/>
          <w:color w:val="auto"/>
        </w:rPr>
        <w:t>Schedule of Significant Subsidiaries</w:t>
      </w:r>
    </w:p>
    <w:p>
      <w:pPr>
        <w:jc w:val="center"/>
        <w:spacing w:after="0"/>
        <w:rPr>
          <w:sz w:val="20"/>
          <w:szCs w:val="20"/>
          <w:color w:val="auto"/>
        </w:rPr>
      </w:pPr>
      <w:r>
        <w:rPr>
          <w:rFonts w:ascii="Arial" w:cs="Arial" w:eastAsia="Arial" w:hAnsi="Arial"/>
          <w:sz w:val="20"/>
          <w:szCs w:val="20"/>
          <w:b w:val="1"/>
          <w:bCs w:val="1"/>
          <w:color w:val="auto"/>
        </w:rPr>
        <w:t>at December 31, 2007</w:t>
      </w:r>
    </w:p>
    <w:p>
      <w:pPr>
        <w:spacing w:after="0" w:line="261" w:lineRule="exact"/>
        <w:rPr>
          <w:sz w:val="20"/>
          <w:szCs w:val="20"/>
          <w:color w:val="auto"/>
        </w:rPr>
      </w:pPr>
    </w:p>
    <w:tbl>
      <w:tblPr>
        <w:tblLayout w:type="fixed"/>
        <w:tblInd w:w="1280" w:type="dxa"/>
        <w:tblCellMar>
          <w:top w:w="0" w:type="dxa"/>
          <w:left w:w="0" w:type="dxa"/>
          <w:bottom w:w="0" w:type="dxa"/>
          <w:right w:w="0" w:type="dxa"/>
        </w:tblCellMar>
      </w:tblPr>
      <w:tr>
        <w:trPr>
          <w:trHeight w:val="230"/>
        </w:trPr>
        <w:tc>
          <w:tcPr>
            <w:tcW w:w="3680" w:type="dxa"/>
            <w:vAlign w:val="bottom"/>
          </w:tcPr>
          <w:p>
            <w:pPr>
              <w:spacing w:after="0"/>
              <w:rPr>
                <w:sz w:val="19"/>
                <w:szCs w:val="19"/>
                <w:color w:val="auto"/>
              </w:rPr>
            </w:pPr>
          </w:p>
        </w:tc>
        <w:tc>
          <w:tcPr>
            <w:tcW w:w="2800" w:type="dxa"/>
            <w:vAlign w:val="bottom"/>
          </w:tcPr>
          <w:p>
            <w:pPr>
              <w:ind w:left="340"/>
              <w:spacing w:after="0"/>
              <w:rPr>
                <w:sz w:val="20"/>
                <w:szCs w:val="20"/>
                <w:color w:val="auto"/>
              </w:rPr>
            </w:pPr>
            <w:r>
              <w:rPr>
                <w:rFonts w:ascii="Arial" w:cs="Arial" w:eastAsia="Arial" w:hAnsi="Arial"/>
                <w:sz w:val="20"/>
                <w:szCs w:val="20"/>
                <w:b w:val="1"/>
                <w:bCs w:val="1"/>
                <w:color w:val="auto"/>
              </w:rPr>
              <w:t>State of Incorporation or</w:t>
            </w:r>
          </w:p>
        </w:tc>
      </w:tr>
      <w:tr>
        <w:trPr>
          <w:trHeight w:val="261"/>
        </w:trPr>
        <w:tc>
          <w:tcPr>
            <w:tcW w:w="3680" w:type="dxa"/>
            <w:vAlign w:val="bottom"/>
            <w:tcBorders>
              <w:bottom w:val="single" w:sz="8" w:color="auto"/>
            </w:tcBorders>
          </w:tcPr>
          <w:p>
            <w:pPr>
              <w:spacing w:after="0"/>
              <w:rPr>
                <w:sz w:val="20"/>
                <w:szCs w:val="20"/>
                <w:color w:val="auto"/>
              </w:rPr>
            </w:pPr>
            <w:r>
              <w:rPr>
                <w:rFonts w:ascii="Arial" w:cs="Arial" w:eastAsia="Arial" w:hAnsi="Arial"/>
                <w:sz w:val="20"/>
                <w:szCs w:val="20"/>
                <w:b w:val="1"/>
                <w:bCs w:val="1"/>
                <w:color w:val="auto"/>
              </w:rPr>
              <w:t>Subsidiary</w:t>
            </w:r>
          </w:p>
        </w:tc>
        <w:tc>
          <w:tcPr>
            <w:tcW w:w="2800" w:type="dxa"/>
            <w:vAlign w:val="bottom"/>
            <w:tcBorders>
              <w:bottom w:val="single" w:sz="8" w:color="auto"/>
            </w:tcBorders>
          </w:tcPr>
          <w:p>
            <w:pPr>
              <w:ind w:left="340"/>
              <w:spacing w:after="0"/>
              <w:rPr>
                <w:sz w:val="20"/>
                <w:szCs w:val="20"/>
                <w:color w:val="auto"/>
              </w:rPr>
            </w:pPr>
            <w:r>
              <w:rPr>
                <w:rFonts w:ascii="Arial" w:cs="Arial" w:eastAsia="Arial" w:hAnsi="Arial"/>
                <w:sz w:val="20"/>
                <w:szCs w:val="20"/>
                <w:b w:val="1"/>
                <w:bCs w:val="1"/>
                <w:color w:val="auto"/>
              </w:rPr>
              <w:t>Other Jurisdiction</w:t>
            </w:r>
          </w:p>
        </w:tc>
      </w:tr>
      <w:tr>
        <w:trPr>
          <w:trHeight w:val="252"/>
        </w:trPr>
        <w:tc>
          <w:tcPr>
            <w:tcW w:w="3680" w:type="dxa"/>
            <w:vAlign w:val="bottom"/>
          </w:tcPr>
          <w:p>
            <w:pPr>
              <w:spacing w:after="0"/>
              <w:rPr>
                <w:sz w:val="20"/>
                <w:szCs w:val="20"/>
                <w:color w:val="auto"/>
              </w:rPr>
            </w:pPr>
            <w:r>
              <w:rPr>
                <w:rFonts w:ascii="Arial" w:cs="Arial" w:eastAsia="Arial" w:hAnsi="Arial"/>
                <w:sz w:val="20"/>
                <w:szCs w:val="20"/>
                <w:color w:val="auto"/>
              </w:rPr>
              <w:t>San Diego Gas &amp; Electric Company</w:t>
            </w:r>
          </w:p>
        </w:tc>
        <w:tc>
          <w:tcPr>
            <w:tcW w:w="2800" w:type="dxa"/>
            <w:vAlign w:val="bottom"/>
          </w:tcPr>
          <w:p>
            <w:pPr>
              <w:ind w:left="340"/>
              <w:spacing w:after="0"/>
              <w:rPr>
                <w:sz w:val="20"/>
                <w:szCs w:val="20"/>
                <w:color w:val="auto"/>
              </w:rPr>
            </w:pPr>
            <w:r>
              <w:rPr>
                <w:rFonts w:ascii="Arial" w:cs="Arial" w:eastAsia="Arial" w:hAnsi="Arial"/>
                <w:sz w:val="20"/>
                <w:szCs w:val="20"/>
                <w:color w:val="auto"/>
              </w:rPr>
              <w:t>California</w:t>
            </w:r>
          </w:p>
        </w:tc>
      </w:tr>
      <w:tr>
        <w:trPr>
          <w:trHeight w:val="260"/>
        </w:trPr>
        <w:tc>
          <w:tcPr>
            <w:tcW w:w="3680" w:type="dxa"/>
            <w:vAlign w:val="bottom"/>
            <w:shd w:val="clear" w:color="auto" w:fill="CCFFCC"/>
          </w:tcPr>
          <w:p>
            <w:pPr>
              <w:spacing w:after="0"/>
              <w:rPr>
                <w:sz w:val="20"/>
                <w:szCs w:val="20"/>
                <w:color w:val="auto"/>
              </w:rPr>
            </w:pPr>
            <w:r>
              <w:rPr>
                <w:rFonts w:ascii="Arial" w:cs="Arial" w:eastAsia="Arial" w:hAnsi="Arial"/>
                <w:sz w:val="20"/>
                <w:szCs w:val="20"/>
                <w:color w:val="auto"/>
                <w:w w:val="98"/>
              </w:rPr>
              <w:t>Sempra Energy Trading International B.V.</w:t>
            </w:r>
          </w:p>
        </w:tc>
        <w:tc>
          <w:tcPr>
            <w:tcW w:w="2800" w:type="dxa"/>
            <w:vAlign w:val="bottom"/>
            <w:shd w:val="clear" w:color="auto" w:fill="CCFFCC"/>
          </w:tcPr>
          <w:p>
            <w:pPr>
              <w:ind w:left="340"/>
              <w:spacing w:after="0"/>
              <w:rPr>
                <w:sz w:val="20"/>
                <w:szCs w:val="20"/>
                <w:color w:val="auto"/>
              </w:rPr>
            </w:pPr>
            <w:r>
              <w:rPr>
                <w:rFonts w:ascii="Arial" w:cs="Arial" w:eastAsia="Arial" w:hAnsi="Arial"/>
                <w:sz w:val="20"/>
                <w:szCs w:val="20"/>
                <w:color w:val="auto"/>
              </w:rPr>
              <w:t>Netherlands</w:t>
            </w:r>
          </w:p>
        </w:tc>
      </w:tr>
      <w:tr>
        <w:trPr>
          <w:trHeight w:val="254"/>
        </w:trPr>
        <w:tc>
          <w:tcPr>
            <w:tcW w:w="3680" w:type="dxa"/>
            <w:vAlign w:val="bottom"/>
          </w:tcPr>
          <w:p>
            <w:pPr>
              <w:spacing w:after="0"/>
              <w:rPr>
                <w:sz w:val="20"/>
                <w:szCs w:val="20"/>
                <w:color w:val="auto"/>
              </w:rPr>
            </w:pPr>
            <w:r>
              <w:rPr>
                <w:rFonts w:ascii="Arial" w:cs="Arial" w:eastAsia="Arial" w:hAnsi="Arial"/>
                <w:sz w:val="20"/>
                <w:szCs w:val="20"/>
                <w:color w:val="auto"/>
              </w:rPr>
              <w:t>Sempra Energy Mexico, S.A. de C.V.</w:t>
            </w:r>
          </w:p>
        </w:tc>
        <w:tc>
          <w:tcPr>
            <w:tcW w:w="2800" w:type="dxa"/>
            <w:vAlign w:val="bottom"/>
          </w:tcPr>
          <w:p>
            <w:pPr>
              <w:ind w:left="340"/>
              <w:spacing w:after="0"/>
              <w:rPr>
                <w:sz w:val="20"/>
                <w:szCs w:val="20"/>
                <w:color w:val="auto"/>
              </w:rPr>
            </w:pPr>
            <w:r>
              <w:rPr>
                <w:rFonts w:ascii="Arial" w:cs="Arial" w:eastAsia="Arial" w:hAnsi="Arial"/>
                <w:sz w:val="20"/>
                <w:szCs w:val="20"/>
                <w:color w:val="auto"/>
              </w:rPr>
              <w:t>Mexico</w:t>
            </w:r>
          </w:p>
        </w:tc>
      </w:tr>
      <w:tr>
        <w:trPr>
          <w:trHeight w:val="260"/>
        </w:trPr>
        <w:tc>
          <w:tcPr>
            <w:tcW w:w="3680" w:type="dxa"/>
            <w:vAlign w:val="bottom"/>
            <w:shd w:val="clear" w:color="auto" w:fill="CCFFCC"/>
          </w:tcPr>
          <w:p>
            <w:pPr>
              <w:spacing w:after="0"/>
              <w:rPr>
                <w:sz w:val="20"/>
                <w:szCs w:val="20"/>
                <w:color w:val="auto"/>
              </w:rPr>
            </w:pPr>
            <w:r>
              <w:rPr>
                <w:rFonts w:ascii="Arial" w:cs="Arial" w:eastAsia="Arial" w:hAnsi="Arial"/>
                <w:sz w:val="20"/>
                <w:szCs w:val="20"/>
                <w:color w:val="auto"/>
              </w:rPr>
              <w:t>Sempra Energy Trading Corp.</w:t>
            </w:r>
          </w:p>
        </w:tc>
        <w:tc>
          <w:tcPr>
            <w:tcW w:w="2800" w:type="dxa"/>
            <w:vAlign w:val="bottom"/>
            <w:shd w:val="clear" w:color="auto" w:fill="CCFFCC"/>
          </w:tcPr>
          <w:p>
            <w:pPr>
              <w:ind w:left="340"/>
              <w:spacing w:after="0"/>
              <w:rPr>
                <w:sz w:val="20"/>
                <w:szCs w:val="20"/>
                <w:color w:val="auto"/>
              </w:rPr>
            </w:pPr>
            <w:r>
              <w:rPr>
                <w:rFonts w:ascii="Arial" w:cs="Arial" w:eastAsia="Arial" w:hAnsi="Arial"/>
                <w:sz w:val="20"/>
                <w:szCs w:val="20"/>
                <w:color w:val="auto"/>
              </w:rPr>
              <w:t>Delaware</w:t>
            </w:r>
          </w:p>
        </w:tc>
      </w:tr>
      <w:tr>
        <w:trPr>
          <w:trHeight w:val="254"/>
        </w:trPr>
        <w:tc>
          <w:tcPr>
            <w:tcW w:w="3680" w:type="dxa"/>
            <w:vAlign w:val="bottom"/>
          </w:tcPr>
          <w:p>
            <w:pPr>
              <w:spacing w:after="0"/>
              <w:rPr>
                <w:sz w:val="20"/>
                <w:szCs w:val="20"/>
                <w:color w:val="auto"/>
              </w:rPr>
            </w:pPr>
            <w:r>
              <w:rPr>
                <w:rFonts w:ascii="Arial" w:cs="Arial" w:eastAsia="Arial" w:hAnsi="Arial"/>
                <w:sz w:val="20"/>
                <w:szCs w:val="20"/>
                <w:color w:val="auto"/>
              </w:rPr>
              <w:t>Sempra Generation</w:t>
            </w:r>
          </w:p>
        </w:tc>
        <w:tc>
          <w:tcPr>
            <w:tcW w:w="2800" w:type="dxa"/>
            <w:vAlign w:val="bottom"/>
          </w:tcPr>
          <w:p>
            <w:pPr>
              <w:ind w:left="340"/>
              <w:spacing w:after="0"/>
              <w:rPr>
                <w:sz w:val="20"/>
                <w:szCs w:val="20"/>
                <w:color w:val="auto"/>
              </w:rPr>
            </w:pPr>
            <w:r>
              <w:rPr>
                <w:rFonts w:ascii="Arial" w:cs="Arial" w:eastAsia="Arial" w:hAnsi="Arial"/>
                <w:sz w:val="20"/>
                <w:szCs w:val="20"/>
                <w:color w:val="auto"/>
              </w:rPr>
              <w:t>California</w:t>
            </w:r>
          </w:p>
        </w:tc>
      </w:tr>
      <w:tr>
        <w:trPr>
          <w:trHeight w:val="260"/>
        </w:trPr>
        <w:tc>
          <w:tcPr>
            <w:tcW w:w="3680" w:type="dxa"/>
            <w:vAlign w:val="bottom"/>
            <w:shd w:val="clear" w:color="auto" w:fill="CCFFCC"/>
          </w:tcPr>
          <w:p>
            <w:pPr>
              <w:spacing w:after="0"/>
              <w:rPr>
                <w:sz w:val="20"/>
                <w:szCs w:val="20"/>
                <w:color w:val="auto"/>
              </w:rPr>
            </w:pPr>
            <w:r>
              <w:rPr>
                <w:rFonts w:ascii="Arial" w:cs="Arial" w:eastAsia="Arial" w:hAnsi="Arial"/>
                <w:sz w:val="20"/>
                <w:szCs w:val="20"/>
                <w:color w:val="auto"/>
              </w:rPr>
              <w:t>Southern California Gas Company</w:t>
            </w:r>
          </w:p>
        </w:tc>
        <w:tc>
          <w:tcPr>
            <w:tcW w:w="2800" w:type="dxa"/>
            <w:vAlign w:val="bottom"/>
            <w:shd w:val="clear" w:color="auto" w:fill="CCFFCC"/>
          </w:tcPr>
          <w:p>
            <w:pPr>
              <w:ind w:left="340"/>
              <w:spacing w:after="0"/>
              <w:rPr>
                <w:sz w:val="20"/>
                <w:szCs w:val="20"/>
                <w:color w:val="auto"/>
              </w:rPr>
            </w:pPr>
            <w:r>
              <w:rPr>
                <w:rFonts w:ascii="Arial" w:cs="Arial" w:eastAsia="Arial" w:hAnsi="Arial"/>
                <w:sz w:val="20"/>
                <w:szCs w:val="20"/>
                <w:color w:val="auto"/>
              </w:rPr>
              <w:t>California</w:t>
            </w:r>
          </w:p>
        </w:tc>
      </w:tr>
    </w:tbl>
    <w:p>
      <w:pPr>
        <w:sectPr>
          <w:pgSz w:w="11900" w:h="16838" w:orient="portrait"/>
          <w:cols w:equalWidth="0" w:num="1">
            <w:col w:w="9019"/>
          </w:cols>
          <w:pgMar w:left="1440" w:top="118" w:right="1440" w:bottom="1440" w:gutter="0" w:footer="0" w:header="0"/>
        </w:sectPr>
      </w:pPr>
    </w:p>
    <w:bookmarkStart w:id="195" w:name="page196"/>
    <w:bookmarkEnd w:id="195"/>
    <w:p>
      <w:pPr>
        <w:ind w:left="10120"/>
        <w:spacing w:after="0"/>
        <w:rPr>
          <w:sz w:val="20"/>
          <w:szCs w:val="20"/>
          <w:color w:val="auto"/>
        </w:rPr>
      </w:pPr>
      <w:r>
        <w:rPr>
          <w:rFonts w:ascii="Arial" w:cs="Arial" w:eastAsia="Arial" w:hAnsi="Arial"/>
          <w:sz w:val="21"/>
          <w:szCs w:val="21"/>
          <w:color w:val="auto"/>
        </w:rPr>
        <w:t>EXHIBIT 31.1</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CERTIFICATION</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 Donald E. Felsinger, certify that:</w:t>
      </w:r>
    </w:p>
    <w:p>
      <w:pPr>
        <w:spacing w:after="0" w:line="260" w:lineRule="exact"/>
        <w:rPr>
          <w:sz w:val="20"/>
          <w:szCs w:val="20"/>
          <w:color w:val="auto"/>
        </w:rPr>
      </w:pPr>
    </w:p>
    <w:p>
      <w:pPr>
        <w:ind w:left="340" w:hanging="332"/>
        <w:spacing w:after="0"/>
        <w:tabs>
          <w:tab w:leader="none" w:pos="340" w:val="left"/>
        </w:tabs>
        <w:numPr>
          <w:ilvl w:val="0"/>
          <w:numId w:val="49"/>
        </w:numPr>
        <w:rPr>
          <w:rFonts w:ascii="Arial" w:cs="Arial" w:eastAsia="Arial" w:hAnsi="Arial"/>
          <w:sz w:val="22"/>
          <w:szCs w:val="22"/>
          <w:color w:val="auto"/>
        </w:rPr>
      </w:pPr>
      <w:r>
        <w:rPr>
          <w:rFonts w:ascii="Arial" w:cs="Arial" w:eastAsia="Arial" w:hAnsi="Arial"/>
          <w:sz w:val="22"/>
          <w:szCs w:val="22"/>
          <w:color w:val="auto"/>
        </w:rPr>
        <w:t>I have reviewed this report on Form 10-K of Sempra Energy;</w:t>
      </w:r>
    </w:p>
    <w:p>
      <w:pPr>
        <w:spacing w:after="0" w:line="260" w:lineRule="exact"/>
        <w:rPr>
          <w:rFonts w:ascii="Arial" w:cs="Arial" w:eastAsia="Arial" w:hAnsi="Arial"/>
          <w:sz w:val="22"/>
          <w:szCs w:val="22"/>
          <w:color w:val="auto"/>
        </w:rPr>
      </w:pPr>
    </w:p>
    <w:p>
      <w:pPr>
        <w:ind w:left="340" w:right="220" w:hanging="332"/>
        <w:spacing w:after="0"/>
        <w:tabs>
          <w:tab w:leader="none" w:pos="340" w:val="left"/>
        </w:tabs>
        <w:numPr>
          <w:ilvl w:val="0"/>
          <w:numId w:val="49"/>
        </w:numPr>
        <w:rPr>
          <w:rFonts w:ascii="Arial" w:cs="Arial" w:eastAsia="Arial" w:hAnsi="Arial"/>
          <w:sz w:val="22"/>
          <w:szCs w:val="22"/>
          <w:color w:val="auto"/>
        </w:rPr>
      </w:pPr>
      <w:r>
        <w:rPr>
          <w:rFonts w:ascii="Arial" w:cs="Arial" w:eastAsia="Arial" w:hAnsi="Arial"/>
          <w:sz w:val="22"/>
          <w:szCs w:val="2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40" w:lineRule="exact"/>
        <w:rPr>
          <w:rFonts w:ascii="Arial" w:cs="Arial" w:eastAsia="Arial" w:hAnsi="Arial"/>
          <w:sz w:val="22"/>
          <w:szCs w:val="22"/>
          <w:color w:val="auto"/>
        </w:rPr>
      </w:pPr>
    </w:p>
    <w:p>
      <w:pPr>
        <w:ind w:left="340" w:right="420" w:hanging="332"/>
        <w:spacing w:after="0"/>
        <w:tabs>
          <w:tab w:leader="none" w:pos="340" w:val="left"/>
        </w:tabs>
        <w:numPr>
          <w:ilvl w:val="0"/>
          <w:numId w:val="49"/>
        </w:numPr>
        <w:rPr>
          <w:rFonts w:ascii="Arial" w:cs="Arial" w:eastAsia="Arial" w:hAnsi="Arial"/>
          <w:sz w:val="22"/>
          <w:szCs w:val="22"/>
          <w:color w:val="auto"/>
        </w:rPr>
      </w:pPr>
      <w:r>
        <w:rPr>
          <w:rFonts w:ascii="Arial" w:cs="Arial" w:eastAsia="Arial" w:hAnsi="Arial"/>
          <w:sz w:val="22"/>
          <w:szCs w:val="2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0" w:lineRule="exact"/>
        <w:rPr>
          <w:rFonts w:ascii="Arial" w:cs="Arial" w:eastAsia="Arial" w:hAnsi="Arial"/>
          <w:sz w:val="22"/>
          <w:szCs w:val="22"/>
          <w:color w:val="auto"/>
        </w:rPr>
      </w:pPr>
    </w:p>
    <w:p>
      <w:pPr>
        <w:ind w:left="340" w:hanging="332"/>
        <w:spacing w:after="0"/>
        <w:tabs>
          <w:tab w:leader="none" w:pos="340" w:val="left"/>
        </w:tabs>
        <w:numPr>
          <w:ilvl w:val="0"/>
          <w:numId w:val="49"/>
        </w:numPr>
        <w:rPr>
          <w:rFonts w:ascii="Arial" w:cs="Arial" w:eastAsia="Arial" w:hAnsi="Arial"/>
          <w:sz w:val="22"/>
          <w:szCs w:val="22"/>
          <w:color w:val="auto"/>
        </w:rPr>
      </w:pPr>
      <w:r>
        <w:rPr>
          <w:rFonts w:ascii="Arial" w:cs="Arial" w:eastAsia="Arial" w:hAnsi="Arial"/>
          <w:sz w:val="22"/>
          <w:szCs w:val="2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15(f) and 15d-15(f)) for the registrant and have:</w:t>
      </w:r>
    </w:p>
    <w:p>
      <w:pPr>
        <w:spacing w:after="0" w:line="240" w:lineRule="exact"/>
        <w:rPr>
          <w:rFonts w:ascii="Arial" w:cs="Arial" w:eastAsia="Arial" w:hAnsi="Arial"/>
          <w:sz w:val="22"/>
          <w:szCs w:val="22"/>
          <w:color w:val="auto"/>
        </w:rPr>
      </w:pPr>
    </w:p>
    <w:p>
      <w:pPr>
        <w:ind w:left="980" w:right="300" w:hanging="324"/>
        <w:spacing w:after="0" w:line="238" w:lineRule="auto"/>
        <w:tabs>
          <w:tab w:leader="none" w:pos="980" w:val="left"/>
        </w:tabs>
        <w:numPr>
          <w:ilvl w:val="1"/>
          <w:numId w:val="49"/>
        </w:numPr>
        <w:rPr>
          <w:rFonts w:ascii="Arial" w:cs="Arial" w:eastAsia="Arial" w:hAnsi="Arial"/>
          <w:sz w:val="22"/>
          <w:szCs w:val="22"/>
          <w:color w:val="auto"/>
        </w:rPr>
      </w:pPr>
      <w:r>
        <w:rPr>
          <w:rFonts w:ascii="Arial" w:cs="Arial" w:eastAsia="Arial" w:hAnsi="Arial"/>
          <w:sz w:val="22"/>
          <w:szCs w:val="2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9" w:lineRule="exact"/>
        <w:rPr>
          <w:rFonts w:ascii="Arial" w:cs="Arial" w:eastAsia="Arial" w:hAnsi="Arial"/>
          <w:sz w:val="22"/>
          <w:szCs w:val="22"/>
          <w:color w:val="auto"/>
        </w:rPr>
      </w:pPr>
    </w:p>
    <w:p>
      <w:pPr>
        <w:ind w:left="980" w:right="200" w:hanging="324"/>
        <w:spacing w:after="0" w:line="297" w:lineRule="auto"/>
        <w:tabs>
          <w:tab w:leader="none" w:pos="980" w:val="left"/>
        </w:tabs>
        <w:numPr>
          <w:ilvl w:val="1"/>
          <w:numId w:val="49"/>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9"/>
          <w:szCs w:val="19"/>
          <w:color w:val="auto"/>
        </w:rPr>
      </w:pPr>
    </w:p>
    <w:p>
      <w:pPr>
        <w:ind w:left="980" w:right="40" w:hanging="324"/>
        <w:spacing w:after="0"/>
        <w:tabs>
          <w:tab w:leader="none" w:pos="980" w:val="left"/>
        </w:tabs>
        <w:numPr>
          <w:ilvl w:val="1"/>
          <w:numId w:val="49"/>
        </w:numPr>
        <w:rPr>
          <w:rFonts w:ascii="Arial" w:cs="Arial" w:eastAsia="Arial" w:hAnsi="Arial"/>
          <w:sz w:val="22"/>
          <w:szCs w:val="22"/>
          <w:color w:val="auto"/>
        </w:rPr>
      </w:pPr>
      <w:r>
        <w:rPr>
          <w:rFonts w:ascii="Arial" w:cs="Arial" w:eastAsia="Arial" w:hAnsi="Arial"/>
          <w:sz w:val="22"/>
          <w:szCs w:val="2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40" w:lineRule="exact"/>
        <w:rPr>
          <w:rFonts w:ascii="Arial" w:cs="Arial" w:eastAsia="Arial" w:hAnsi="Arial"/>
          <w:sz w:val="22"/>
          <w:szCs w:val="22"/>
          <w:color w:val="auto"/>
        </w:rPr>
      </w:pPr>
    </w:p>
    <w:p>
      <w:pPr>
        <w:ind w:left="980" w:right="200" w:hanging="324"/>
        <w:spacing w:after="0" w:line="238" w:lineRule="auto"/>
        <w:tabs>
          <w:tab w:leader="none" w:pos="980" w:val="left"/>
        </w:tabs>
        <w:numPr>
          <w:ilvl w:val="1"/>
          <w:numId w:val="49"/>
        </w:numPr>
        <w:rPr>
          <w:rFonts w:ascii="Arial" w:cs="Arial" w:eastAsia="Arial" w:hAnsi="Arial"/>
          <w:sz w:val="22"/>
          <w:szCs w:val="22"/>
          <w:color w:val="auto"/>
        </w:rPr>
      </w:pPr>
      <w:r>
        <w:rPr>
          <w:rFonts w:ascii="Arial" w:cs="Arial" w:eastAsia="Arial" w:hAnsi="Arial"/>
          <w:sz w:val="22"/>
          <w:szCs w:val="2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9" w:lineRule="exact"/>
        <w:rPr>
          <w:rFonts w:ascii="Arial" w:cs="Arial" w:eastAsia="Arial" w:hAnsi="Arial"/>
          <w:sz w:val="22"/>
          <w:szCs w:val="22"/>
          <w:color w:val="auto"/>
        </w:rPr>
      </w:pPr>
    </w:p>
    <w:p>
      <w:pPr>
        <w:ind w:left="340" w:right="140" w:hanging="332"/>
        <w:spacing w:after="0"/>
        <w:tabs>
          <w:tab w:leader="none" w:pos="340" w:val="left"/>
        </w:tabs>
        <w:numPr>
          <w:ilvl w:val="0"/>
          <w:numId w:val="49"/>
        </w:numPr>
        <w:rPr>
          <w:rFonts w:ascii="Arial" w:cs="Arial" w:eastAsia="Arial" w:hAnsi="Arial"/>
          <w:sz w:val="22"/>
          <w:szCs w:val="22"/>
          <w:color w:val="auto"/>
        </w:rPr>
      </w:pPr>
      <w:r>
        <w:rPr>
          <w:rFonts w:ascii="Arial" w:cs="Arial" w:eastAsia="Arial" w:hAnsi="Arial"/>
          <w:sz w:val="22"/>
          <w:szCs w:val="22"/>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240" w:lineRule="exact"/>
        <w:rPr>
          <w:rFonts w:ascii="Arial" w:cs="Arial" w:eastAsia="Arial" w:hAnsi="Arial"/>
          <w:sz w:val="22"/>
          <w:szCs w:val="22"/>
          <w:color w:val="auto"/>
        </w:rPr>
      </w:pPr>
    </w:p>
    <w:p>
      <w:pPr>
        <w:ind w:left="980" w:right="80" w:hanging="324"/>
        <w:spacing w:after="0"/>
        <w:tabs>
          <w:tab w:leader="none" w:pos="980" w:val="left"/>
        </w:tabs>
        <w:numPr>
          <w:ilvl w:val="1"/>
          <w:numId w:val="49"/>
        </w:numPr>
        <w:rPr>
          <w:rFonts w:ascii="Arial" w:cs="Arial" w:eastAsia="Arial" w:hAnsi="Arial"/>
          <w:sz w:val="22"/>
          <w:szCs w:val="22"/>
          <w:color w:val="auto"/>
        </w:rPr>
      </w:pPr>
      <w:r>
        <w:rPr>
          <w:rFonts w:ascii="Arial" w:cs="Arial" w:eastAsia="Arial" w:hAnsi="Arial"/>
          <w:sz w:val="22"/>
          <w:szCs w:val="22"/>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240" w:lineRule="exact"/>
        <w:rPr>
          <w:rFonts w:ascii="Arial" w:cs="Arial" w:eastAsia="Arial" w:hAnsi="Arial"/>
          <w:sz w:val="22"/>
          <w:szCs w:val="22"/>
          <w:color w:val="auto"/>
        </w:rPr>
      </w:pPr>
    </w:p>
    <w:p>
      <w:pPr>
        <w:ind w:left="980" w:right="400" w:hanging="324"/>
        <w:spacing w:after="0" w:line="251" w:lineRule="auto"/>
        <w:tabs>
          <w:tab w:leader="none" w:pos="980" w:val="left"/>
        </w:tabs>
        <w:numPr>
          <w:ilvl w:val="1"/>
          <w:numId w:val="49"/>
        </w:numPr>
        <w:rPr>
          <w:rFonts w:ascii="Arial" w:cs="Arial" w:eastAsia="Arial" w:hAnsi="Arial"/>
          <w:sz w:val="22"/>
          <w:szCs w:val="22"/>
          <w:color w:val="auto"/>
        </w:rPr>
      </w:pPr>
      <w:r>
        <w:rPr>
          <w:rFonts w:ascii="Arial" w:cs="Arial" w:eastAsia="Arial" w:hAnsi="Arial"/>
          <w:sz w:val="22"/>
          <w:szCs w:val="22"/>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February 26, 2008</w:t>
      </w:r>
    </w:p>
    <w:p>
      <w:pPr>
        <w:spacing w:after="0" w:line="281" w:lineRule="exact"/>
        <w:rPr>
          <w:sz w:val="20"/>
          <w:szCs w:val="20"/>
          <w:color w:val="auto"/>
        </w:rPr>
      </w:pPr>
    </w:p>
    <w:p>
      <w:pPr>
        <w:ind w:left="9680"/>
        <w:spacing w:after="0"/>
        <w:rPr>
          <w:sz w:val="20"/>
          <w:szCs w:val="20"/>
          <w:color w:val="auto"/>
        </w:rPr>
      </w:pPr>
      <w:r>
        <w:rPr>
          <w:rFonts w:ascii="Arial" w:cs="Arial" w:eastAsia="Arial" w:hAnsi="Arial"/>
          <w:sz w:val="16"/>
          <w:szCs w:val="16"/>
          <w:color w:val="auto"/>
        </w:rPr>
        <w:t>/S/ Donald E. Felsinger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4695825</wp:posOffset>
            </wp:positionH>
            <wp:positionV relativeFrom="paragraph">
              <wp:posOffset>38100</wp:posOffset>
            </wp:positionV>
            <wp:extent cx="255587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53" w:lineRule="exact"/>
        <w:rPr>
          <w:sz w:val="20"/>
          <w:szCs w:val="20"/>
          <w:color w:val="auto"/>
        </w:rPr>
      </w:pPr>
    </w:p>
    <w:p>
      <w:pPr>
        <w:ind w:left="9960"/>
        <w:spacing w:after="0"/>
        <w:rPr>
          <w:sz w:val="20"/>
          <w:szCs w:val="20"/>
          <w:color w:val="auto"/>
        </w:rPr>
      </w:pPr>
      <w:r>
        <w:rPr>
          <w:rFonts w:ascii="Arial" w:cs="Arial" w:eastAsia="Arial" w:hAnsi="Arial"/>
          <w:sz w:val="16"/>
          <w:szCs w:val="16"/>
          <w:color w:val="auto"/>
        </w:rPr>
        <w:t>Donald E. Felsinger</w:t>
      </w:r>
    </w:p>
    <w:p>
      <w:pPr>
        <w:spacing w:after="0" w:line="59" w:lineRule="exact"/>
        <w:rPr>
          <w:sz w:val="20"/>
          <w:szCs w:val="20"/>
          <w:color w:val="auto"/>
        </w:rPr>
      </w:pPr>
    </w:p>
    <w:p>
      <w:pPr>
        <w:ind w:left="9680"/>
        <w:spacing w:after="0"/>
        <w:rPr>
          <w:sz w:val="20"/>
          <w:szCs w:val="20"/>
          <w:color w:val="auto"/>
        </w:rPr>
      </w:pPr>
      <w:r>
        <w:rPr>
          <w:rFonts w:ascii="Arial" w:cs="Arial" w:eastAsia="Arial" w:hAnsi="Arial"/>
          <w:sz w:val="17"/>
          <w:szCs w:val="17"/>
          <w:color w:val="auto"/>
        </w:rPr>
        <w:t>Chief Executive Officer</w:t>
      </w:r>
    </w:p>
    <w:p>
      <w:pPr>
        <w:sectPr>
          <w:pgSz w:w="11900" w:h="16838" w:orient="portrait"/>
          <w:cols w:equalWidth="0" w:num="1">
            <w:col w:w="11420"/>
          </w:cols>
          <w:pgMar w:left="240" w:top="118" w:right="239" w:bottom="1440" w:gutter="0" w:footer="0" w:header="0"/>
        </w:sectPr>
      </w:pPr>
    </w:p>
    <w:bookmarkStart w:id="196" w:name="page197"/>
    <w:bookmarkEnd w:id="196"/>
    <w:p>
      <w:pPr>
        <w:ind w:left="10120"/>
        <w:spacing w:after="0"/>
        <w:rPr>
          <w:sz w:val="20"/>
          <w:szCs w:val="20"/>
          <w:color w:val="auto"/>
        </w:rPr>
      </w:pPr>
      <w:r>
        <w:rPr>
          <w:rFonts w:ascii="Arial" w:cs="Arial" w:eastAsia="Arial" w:hAnsi="Arial"/>
          <w:sz w:val="21"/>
          <w:szCs w:val="21"/>
          <w:color w:val="auto"/>
        </w:rPr>
        <w:t>EXHIBIT 31.2</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CERTIFICATION</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 Mark A. Snell, certify that:</w:t>
      </w:r>
    </w:p>
    <w:p>
      <w:pPr>
        <w:spacing w:after="0" w:line="260" w:lineRule="exact"/>
        <w:rPr>
          <w:sz w:val="20"/>
          <w:szCs w:val="20"/>
          <w:color w:val="auto"/>
        </w:rPr>
      </w:pPr>
    </w:p>
    <w:p>
      <w:pPr>
        <w:ind w:left="340" w:hanging="332"/>
        <w:spacing w:after="0"/>
        <w:tabs>
          <w:tab w:leader="none" w:pos="340" w:val="left"/>
        </w:tabs>
        <w:numPr>
          <w:ilvl w:val="0"/>
          <w:numId w:val="50"/>
        </w:numPr>
        <w:rPr>
          <w:rFonts w:ascii="Arial" w:cs="Arial" w:eastAsia="Arial" w:hAnsi="Arial"/>
          <w:sz w:val="22"/>
          <w:szCs w:val="22"/>
          <w:color w:val="auto"/>
        </w:rPr>
      </w:pPr>
      <w:r>
        <w:rPr>
          <w:rFonts w:ascii="Arial" w:cs="Arial" w:eastAsia="Arial" w:hAnsi="Arial"/>
          <w:sz w:val="22"/>
          <w:szCs w:val="22"/>
          <w:color w:val="auto"/>
        </w:rPr>
        <w:t>I have reviewed this report on Form 10-K of Sempra Energy;</w:t>
      </w:r>
    </w:p>
    <w:p>
      <w:pPr>
        <w:spacing w:after="0" w:line="260" w:lineRule="exact"/>
        <w:rPr>
          <w:rFonts w:ascii="Arial" w:cs="Arial" w:eastAsia="Arial" w:hAnsi="Arial"/>
          <w:sz w:val="22"/>
          <w:szCs w:val="22"/>
          <w:color w:val="auto"/>
        </w:rPr>
      </w:pPr>
    </w:p>
    <w:p>
      <w:pPr>
        <w:ind w:left="340" w:right="220" w:hanging="332"/>
        <w:spacing w:after="0"/>
        <w:tabs>
          <w:tab w:leader="none" w:pos="340" w:val="left"/>
        </w:tabs>
        <w:numPr>
          <w:ilvl w:val="0"/>
          <w:numId w:val="50"/>
        </w:numPr>
        <w:rPr>
          <w:rFonts w:ascii="Arial" w:cs="Arial" w:eastAsia="Arial" w:hAnsi="Arial"/>
          <w:sz w:val="22"/>
          <w:szCs w:val="22"/>
          <w:color w:val="auto"/>
        </w:rPr>
      </w:pPr>
      <w:r>
        <w:rPr>
          <w:rFonts w:ascii="Arial" w:cs="Arial" w:eastAsia="Arial" w:hAnsi="Arial"/>
          <w:sz w:val="22"/>
          <w:szCs w:val="2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40" w:lineRule="exact"/>
        <w:rPr>
          <w:rFonts w:ascii="Arial" w:cs="Arial" w:eastAsia="Arial" w:hAnsi="Arial"/>
          <w:sz w:val="22"/>
          <w:szCs w:val="22"/>
          <w:color w:val="auto"/>
        </w:rPr>
      </w:pPr>
    </w:p>
    <w:p>
      <w:pPr>
        <w:ind w:left="340" w:right="420" w:hanging="332"/>
        <w:spacing w:after="0"/>
        <w:tabs>
          <w:tab w:leader="none" w:pos="340" w:val="left"/>
        </w:tabs>
        <w:numPr>
          <w:ilvl w:val="0"/>
          <w:numId w:val="50"/>
        </w:numPr>
        <w:rPr>
          <w:rFonts w:ascii="Arial" w:cs="Arial" w:eastAsia="Arial" w:hAnsi="Arial"/>
          <w:sz w:val="22"/>
          <w:szCs w:val="22"/>
          <w:color w:val="auto"/>
        </w:rPr>
      </w:pPr>
      <w:r>
        <w:rPr>
          <w:rFonts w:ascii="Arial" w:cs="Arial" w:eastAsia="Arial" w:hAnsi="Arial"/>
          <w:sz w:val="22"/>
          <w:szCs w:val="2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0" w:lineRule="exact"/>
        <w:rPr>
          <w:rFonts w:ascii="Arial" w:cs="Arial" w:eastAsia="Arial" w:hAnsi="Arial"/>
          <w:sz w:val="22"/>
          <w:szCs w:val="22"/>
          <w:color w:val="auto"/>
        </w:rPr>
      </w:pPr>
    </w:p>
    <w:p>
      <w:pPr>
        <w:ind w:left="340" w:hanging="332"/>
        <w:spacing w:after="0"/>
        <w:tabs>
          <w:tab w:leader="none" w:pos="340" w:val="left"/>
        </w:tabs>
        <w:numPr>
          <w:ilvl w:val="0"/>
          <w:numId w:val="50"/>
        </w:numPr>
        <w:rPr>
          <w:rFonts w:ascii="Arial" w:cs="Arial" w:eastAsia="Arial" w:hAnsi="Arial"/>
          <w:sz w:val="22"/>
          <w:szCs w:val="22"/>
          <w:color w:val="auto"/>
        </w:rPr>
      </w:pPr>
      <w:r>
        <w:rPr>
          <w:rFonts w:ascii="Arial" w:cs="Arial" w:eastAsia="Arial" w:hAnsi="Arial"/>
          <w:sz w:val="22"/>
          <w:szCs w:val="2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15(f) and 15d-15(f)) for the registrant and have:</w:t>
      </w:r>
    </w:p>
    <w:p>
      <w:pPr>
        <w:spacing w:after="0" w:line="240" w:lineRule="exact"/>
        <w:rPr>
          <w:rFonts w:ascii="Arial" w:cs="Arial" w:eastAsia="Arial" w:hAnsi="Arial"/>
          <w:sz w:val="22"/>
          <w:szCs w:val="22"/>
          <w:color w:val="auto"/>
        </w:rPr>
      </w:pPr>
    </w:p>
    <w:p>
      <w:pPr>
        <w:ind w:left="980" w:right="300" w:hanging="324"/>
        <w:spacing w:after="0" w:line="238" w:lineRule="auto"/>
        <w:tabs>
          <w:tab w:leader="none" w:pos="980" w:val="left"/>
        </w:tabs>
        <w:numPr>
          <w:ilvl w:val="1"/>
          <w:numId w:val="50"/>
        </w:numPr>
        <w:rPr>
          <w:rFonts w:ascii="Arial" w:cs="Arial" w:eastAsia="Arial" w:hAnsi="Arial"/>
          <w:sz w:val="22"/>
          <w:szCs w:val="22"/>
          <w:color w:val="auto"/>
        </w:rPr>
      </w:pPr>
      <w:r>
        <w:rPr>
          <w:rFonts w:ascii="Arial" w:cs="Arial" w:eastAsia="Arial" w:hAnsi="Arial"/>
          <w:sz w:val="22"/>
          <w:szCs w:val="2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9" w:lineRule="exact"/>
        <w:rPr>
          <w:rFonts w:ascii="Arial" w:cs="Arial" w:eastAsia="Arial" w:hAnsi="Arial"/>
          <w:sz w:val="22"/>
          <w:szCs w:val="22"/>
          <w:color w:val="auto"/>
        </w:rPr>
      </w:pPr>
    </w:p>
    <w:p>
      <w:pPr>
        <w:ind w:left="980" w:right="200" w:hanging="324"/>
        <w:spacing w:after="0" w:line="297" w:lineRule="auto"/>
        <w:tabs>
          <w:tab w:leader="none" w:pos="980" w:val="left"/>
        </w:tabs>
        <w:numPr>
          <w:ilvl w:val="1"/>
          <w:numId w:val="50"/>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9"/>
          <w:szCs w:val="19"/>
          <w:color w:val="auto"/>
        </w:rPr>
      </w:pPr>
    </w:p>
    <w:p>
      <w:pPr>
        <w:ind w:left="980" w:right="40" w:hanging="324"/>
        <w:spacing w:after="0"/>
        <w:tabs>
          <w:tab w:leader="none" w:pos="980" w:val="left"/>
        </w:tabs>
        <w:numPr>
          <w:ilvl w:val="1"/>
          <w:numId w:val="50"/>
        </w:numPr>
        <w:rPr>
          <w:rFonts w:ascii="Arial" w:cs="Arial" w:eastAsia="Arial" w:hAnsi="Arial"/>
          <w:sz w:val="22"/>
          <w:szCs w:val="22"/>
          <w:color w:val="auto"/>
        </w:rPr>
      </w:pPr>
      <w:r>
        <w:rPr>
          <w:rFonts w:ascii="Arial" w:cs="Arial" w:eastAsia="Arial" w:hAnsi="Arial"/>
          <w:sz w:val="22"/>
          <w:szCs w:val="2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40" w:lineRule="exact"/>
        <w:rPr>
          <w:rFonts w:ascii="Arial" w:cs="Arial" w:eastAsia="Arial" w:hAnsi="Arial"/>
          <w:sz w:val="22"/>
          <w:szCs w:val="22"/>
          <w:color w:val="auto"/>
        </w:rPr>
      </w:pPr>
    </w:p>
    <w:p>
      <w:pPr>
        <w:ind w:left="980" w:right="200" w:hanging="324"/>
        <w:spacing w:after="0" w:line="238" w:lineRule="auto"/>
        <w:tabs>
          <w:tab w:leader="none" w:pos="980" w:val="left"/>
        </w:tabs>
        <w:numPr>
          <w:ilvl w:val="1"/>
          <w:numId w:val="50"/>
        </w:numPr>
        <w:rPr>
          <w:rFonts w:ascii="Arial" w:cs="Arial" w:eastAsia="Arial" w:hAnsi="Arial"/>
          <w:sz w:val="22"/>
          <w:szCs w:val="22"/>
          <w:color w:val="auto"/>
        </w:rPr>
      </w:pPr>
      <w:r>
        <w:rPr>
          <w:rFonts w:ascii="Arial" w:cs="Arial" w:eastAsia="Arial" w:hAnsi="Arial"/>
          <w:sz w:val="22"/>
          <w:szCs w:val="2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9" w:lineRule="exact"/>
        <w:rPr>
          <w:rFonts w:ascii="Arial" w:cs="Arial" w:eastAsia="Arial" w:hAnsi="Arial"/>
          <w:sz w:val="22"/>
          <w:szCs w:val="22"/>
          <w:color w:val="auto"/>
        </w:rPr>
      </w:pPr>
    </w:p>
    <w:p>
      <w:pPr>
        <w:ind w:left="340" w:right="140" w:hanging="332"/>
        <w:spacing w:after="0"/>
        <w:tabs>
          <w:tab w:leader="none" w:pos="340" w:val="left"/>
        </w:tabs>
        <w:numPr>
          <w:ilvl w:val="0"/>
          <w:numId w:val="50"/>
        </w:numPr>
        <w:rPr>
          <w:rFonts w:ascii="Arial" w:cs="Arial" w:eastAsia="Arial" w:hAnsi="Arial"/>
          <w:sz w:val="22"/>
          <w:szCs w:val="22"/>
          <w:color w:val="auto"/>
        </w:rPr>
      </w:pPr>
      <w:r>
        <w:rPr>
          <w:rFonts w:ascii="Arial" w:cs="Arial" w:eastAsia="Arial" w:hAnsi="Arial"/>
          <w:sz w:val="22"/>
          <w:szCs w:val="22"/>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240" w:lineRule="exact"/>
        <w:rPr>
          <w:rFonts w:ascii="Arial" w:cs="Arial" w:eastAsia="Arial" w:hAnsi="Arial"/>
          <w:sz w:val="22"/>
          <w:szCs w:val="22"/>
          <w:color w:val="auto"/>
        </w:rPr>
      </w:pPr>
    </w:p>
    <w:p>
      <w:pPr>
        <w:ind w:left="980" w:right="80" w:hanging="324"/>
        <w:spacing w:after="0"/>
        <w:tabs>
          <w:tab w:leader="none" w:pos="980" w:val="left"/>
        </w:tabs>
        <w:numPr>
          <w:ilvl w:val="1"/>
          <w:numId w:val="50"/>
        </w:numPr>
        <w:rPr>
          <w:rFonts w:ascii="Arial" w:cs="Arial" w:eastAsia="Arial" w:hAnsi="Arial"/>
          <w:sz w:val="22"/>
          <w:szCs w:val="22"/>
          <w:color w:val="auto"/>
        </w:rPr>
      </w:pPr>
      <w:r>
        <w:rPr>
          <w:rFonts w:ascii="Arial" w:cs="Arial" w:eastAsia="Arial" w:hAnsi="Arial"/>
          <w:sz w:val="22"/>
          <w:szCs w:val="22"/>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240" w:lineRule="exact"/>
        <w:rPr>
          <w:rFonts w:ascii="Arial" w:cs="Arial" w:eastAsia="Arial" w:hAnsi="Arial"/>
          <w:sz w:val="22"/>
          <w:szCs w:val="22"/>
          <w:color w:val="auto"/>
        </w:rPr>
      </w:pPr>
    </w:p>
    <w:p>
      <w:pPr>
        <w:ind w:left="980" w:right="400" w:hanging="324"/>
        <w:spacing w:after="0" w:line="251" w:lineRule="auto"/>
        <w:tabs>
          <w:tab w:leader="none" w:pos="980" w:val="left"/>
        </w:tabs>
        <w:numPr>
          <w:ilvl w:val="1"/>
          <w:numId w:val="50"/>
        </w:numPr>
        <w:rPr>
          <w:rFonts w:ascii="Arial" w:cs="Arial" w:eastAsia="Arial" w:hAnsi="Arial"/>
          <w:sz w:val="22"/>
          <w:szCs w:val="22"/>
          <w:color w:val="auto"/>
        </w:rPr>
      </w:pPr>
      <w:r>
        <w:rPr>
          <w:rFonts w:ascii="Arial" w:cs="Arial" w:eastAsia="Arial" w:hAnsi="Arial"/>
          <w:sz w:val="22"/>
          <w:szCs w:val="22"/>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February 26, 2008</w:t>
      </w:r>
    </w:p>
    <w:p>
      <w:pPr>
        <w:spacing w:after="0" w:line="281" w:lineRule="exact"/>
        <w:rPr>
          <w:sz w:val="20"/>
          <w:szCs w:val="20"/>
          <w:color w:val="auto"/>
        </w:rPr>
      </w:pPr>
    </w:p>
    <w:p>
      <w:pPr>
        <w:ind w:left="10100"/>
        <w:spacing w:after="0"/>
        <w:rPr>
          <w:sz w:val="20"/>
          <w:szCs w:val="20"/>
          <w:color w:val="auto"/>
        </w:rPr>
      </w:pPr>
      <w:r>
        <w:rPr>
          <w:rFonts w:ascii="Arial" w:cs="Arial" w:eastAsia="Arial" w:hAnsi="Arial"/>
          <w:sz w:val="17"/>
          <w:szCs w:val="17"/>
          <w:color w:val="auto"/>
        </w:rPr>
        <w:t>/S/ Mark A. Snell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4747260</wp:posOffset>
            </wp:positionH>
            <wp:positionV relativeFrom="paragraph">
              <wp:posOffset>30480</wp:posOffset>
            </wp:positionV>
            <wp:extent cx="250444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41" w:lineRule="exact"/>
        <w:rPr>
          <w:sz w:val="20"/>
          <w:szCs w:val="20"/>
          <w:color w:val="auto"/>
        </w:rPr>
      </w:pPr>
    </w:p>
    <w:p>
      <w:pPr>
        <w:ind w:left="10380"/>
        <w:spacing w:after="0"/>
        <w:rPr>
          <w:sz w:val="20"/>
          <w:szCs w:val="20"/>
          <w:color w:val="auto"/>
        </w:rPr>
      </w:pPr>
      <w:r>
        <w:rPr>
          <w:rFonts w:ascii="Arial" w:cs="Arial" w:eastAsia="Arial" w:hAnsi="Arial"/>
          <w:sz w:val="17"/>
          <w:szCs w:val="17"/>
          <w:color w:val="auto"/>
        </w:rPr>
        <w:t>Mark A. Snell</w:t>
      </w:r>
    </w:p>
    <w:p>
      <w:pPr>
        <w:spacing w:after="0" w:line="48" w:lineRule="exact"/>
        <w:rPr>
          <w:sz w:val="20"/>
          <w:szCs w:val="20"/>
          <w:color w:val="auto"/>
        </w:rPr>
      </w:pPr>
    </w:p>
    <w:p>
      <w:pPr>
        <w:ind w:left="9740"/>
        <w:spacing w:after="0"/>
        <w:rPr>
          <w:sz w:val="20"/>
          <w:szCs w:val="20"/>
          <w:color w:val="auto"/>
        </w:rPr>
      </w:pPr>
      <w:r>
        <w:rPr>
          <w:rFonts w:ascii="Arial" w:cs="Arial" w:eastAsia="Arial" w:hAnsi="Arial"/>
          <w:sz w:val="17"/>
          <w:szCs w:val="17"/>
          <w:color w:val="auto"/>
        </w:rPr>
        <w:t>Chief Financial Officer</w:t>
      </w:r>
    </w:p>
    <w:p>
      <w:pPr>
        <w:sectPr>
          <w:pgSz w:w="11900" w:h="16838" w:orient="portrait"/>
          <w:cols w:equalWidth="0" w:num="1">
            <w:col w:w="11420"/>
          </w:cols>
          <w:pgMar w:left="240" w:top="118" w:right="239" w:bottom="1440" w:gutter="0" w:footer="0" w:header="0"/>
        </w:sectPr>
      </w:pPr>
    </w:p>
    <w:bookmarkStart w:id="197" w:name="page198"/>
    <w:bookmarkEnd w:id="197"/>
    <w:p>
      <w:pPr>
        <w:jc w:val="right"/>
        <w:spacing w:after="0"/>
        <w:rPr>
          <w:sz w:val="20"/>
          <w:szCs w:val="20"/>
          <w:color w:val="auto"/>
        </w:rPr>
      </w:pPr>
      <w:r>
        <w:rPr>
          <w:rFonts w:ascii="Arial" w:cs="Arial" w:eastAsia="Arial" w:hAnsi="Arial"/>
          <w:sz w:val="22"/>
          <w:szCs w:val="22"/>
          <w:color w:val="auto"/>
        </w:rPr>
        <w:t>Exhibit 32.1</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Statement of Chief Executive Officer</w:t>
      </w:r>
    </w:p>
    <w:p>
      <w:pPr>
        <w:spacing w:after="0" w:line="233" w:lineRule="exact"/>
        <w:rPr>
          <w:sz w:val="20"/>
          <w:szCs w:val="20"/>
          <w:color w:val="auto"/>
        </w:rPr>
      </w:pPr>
    </w:p>
    <w:p>
      <w:pPr>
        <w:ind w:right="360"/>
        <w:spacing w:after="0" w:line="251" w:lineRule="auto"/>
        <w:rPr>
          <w:sz w:val="20"/>
          <w:szCs w:val="20"/>
          <w:color w:val="auto"/>
        </w:rPr>
      </w:pPr>
      <w:r>
        <w:rPr>
          <w:rFonts w:ascii="Arial" w:cs="Arial" w:eastAsia="Arial" w:hAnsi="Arial"/>
          <w:sz w:val="22"/>
          <w:szCs w:val="22"/>
          <w:color w:val="auto"/>
        </w:rPr>
        <w:t>Pursuant to 18 U.S.C. Sec 1350, as created by Section 906 of the Sarbanes-Oxley Act of 2002, the undersigned Chief Executive Officer of Sempra Energy (the "Company") certifies that:</w:t>
      </w:r>
    </w:p>
    <w:p>
      <w:pPr>
        <w:spacing w:after="0" w:line="227" w:lineRule="exact"/>
        <w:rPr>
          <w:sz w:val="20"/>
          <w:szCs w:val="20"/>
          <w:color w:val="auto"/>
        </w:rPr>
      </w:pPr>
    </w:p>
    <w:p>
      <w:pPr>
        <w:jc w:val="both"/>
        <w:ind w:left="1300" w:right="200" w:hanging="644"/>
        <w:spacing w:after="0" w:line="258" w:lineRule="auto"/>
        <w:tabs>
          <w:tab w:leader="none" w:pos="1300" w:val="left"/>
        </w:tabs>
        <w:numPr>
          <w:ilvl w:val="0"/>
          <w:numId w:val="51"/>
        </w:numPr>
        <w:rPr>
          <w:rFonts w:ascii="Arial" w:cs="Arial" w:eastAsia="Arial" w:hAnsi="Arial"/>
          <w:sz w:val="21"/>
          <w:szCs w:val="21"/>
          <w:color w:val="auto"/>
        </w:rPr>
      </w:pPr>
      <w:r>
        <w:rPr>
          <w:rFonts w:ascii="Arial" w:cs="Arial" w:eastAsia="Arial" w:hAnsi="Arial"/>
          <w:sz w:val="21"/>
          <w:szCs w:val="21"/>
          <w:color w:val="auto"/>
        </w:rPr>
        <w:t>the Annual Report on Form 10-K of the Company filed with the Securities and Exchange Commission for the year ended December 31, 2007 (the "Annual Report") fully complies with the requirements of Section 13(a) or Section 15(d), as applicable, of the Securities Exchange Act of 1934, as amended; and</w:t>
      </w:r>
    </w:p>
    <w:p>
      <w:pPr>
        <w:spacing w:after="0" w:line="220" w:lineRule="exact"/>
        <w:rPr>
          <w:rFonts w:ascii="Arial" w:cs="Arial" w:eastAsia="Arial" w:hAnsi="Arial"/>
          <w:sz w:val="21"/>
          <w:szCs w:val="21"/>
          <w:color w:val="auto"/>
        </w:rPr>
      </w:pPr>
    </w:p>
    <w:p>
      <w:pPr>
        <w:ind w:left="1300" w:right="240" w:hanging="644"/>
        <w:spacing w:after="0" w:line="251" w:lineRule="auto"/>
        <w:tabs>
          <w:tab w:leader="none" w:pos="1300" w:val="left"/>
        </w:tabs>
        <w:numPr>
          <w:ilvl w:val="0"/>
          <w:numId w:val="51"/>
        </w:numPr>
        <w:rPr>
          <w:rFonts w:ascii="Arial" w:cs="Arial" w:eastAsia="Arial" w:hAnsi="Arial"/>
          <w:sz w:val="22"/>
          <w:szCs w:val="22"/>
          <w:color w:val="auto"/>
        </w:rPr>
      </w:pPr>
      <w:r>
        <w:rPr>
          <w:rFonts w:ascii="Arial" w:cs="Arial" w:eastAsia="Arial" w:hAnsi="Arial"/>
          <w:sz w:val="22"/>
          <w:szCs w:val="22"/>
          <w:color w:val="auto"/>
        </w:rPr>
        <w:t>the information contained in the Annual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color w:val="auto"/>
        </w:rPr>
        <w:t>February 26, 2008</w:t>
      </w:r>
    </w:p>
    <w:p>
      <w:pPr>
        <w:spacing w:after="0" w:line="281" w:lineRule="exact"/>
        <w:rPr>
          <w:sz w:val="20"/>
          <w:szCs w:val="20"/>
          <w:color w:val="auto"/>
        </w:rPr>
      </w:pPr>
    </w:p>
    <w:p>
      <w:pPr>
        <w:ind w:left="9680"/>
        <w:spacing w:after="0"/>
        <w:rPr>
          <w:sz w:val="20"/>
          <w:szCs w:val="20"/>
          <w:color w:val="auto"/>
        </w:rPr>
      </w:pPr>
      <w:r>
        <w:rPr>
          <w:rFonts w:ascii="Arial" w:cs="Arial" w:eastAsia="Arial" w:hAnsi="Arial"/>
          <w:sz w:val="16"/>
          <w:szCs w:val="16"/>
          <w:color w:val="auto"/>
        </w:rPr>
        <w:t>/S/ Donald E. Felsinger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5005070</wp:posOffset>
            </wp:positionH>
            <wp:positionV relativeFrom="paragraph">
              <wp:posOffset>38100</wp:posOffset>
            </wp:positionV>
            <wp:extent cx="224663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53" w:lineRule="exact"/>
        <w:rPr>
          <w:sz w:val="20"/>
          <w:szCs w:val="20"/>
          <w:color w:val="auto"/>
        </w:rPr>
      </w:pPr>
    </w:p>
    <w:p>
      <w:pPr>
        <w:ind w:left="9960"/>
        <w:spacing w:after="0"/>
        <w:rPr>
          <w:sz w:val="20"/>
          <w:szCs w:val="20"/>
          <w:color w:val="auto"/>
        </w:rPr>
      </w:pPr>
      <w:r>
        <w:rPr>
          <w:rFonts w:ascii="Arial" w:cs="Arial" w:eastAsia="Arial" w:hAnsi="Arial"/>
          <w:sz w:val="16"/>
          <w:szCs w:val="16"/>
          <w:color w:val="auto"/>
        </w:rPr>
        <w:t>Donald E. Felsinger</w:t>
      </w:r>
    </w:p>
    <w:p>
      <w:pPr>
        <w:spacing w:after="0" w:line="59" w:lineRule="exact"/>
        <w:rPr>
          <w:sz w:val="20"/>
          <w:szCs w:val="20"/>
          <w:color w:val="auto"/>
        </w:rPr>
      </w:pPr>
    </w:p>
    <w:p>
      <w:pPr>
        <w:ind w:left="9680"/>
        <w:spacing w:after="0"/>
        <w:rPr>
          <w:sz w:val="20"/>
          <w:szCs w:val="20"/>
          <w:color w:val="auto"/>
        </w:rPr>
      </w:pPr>
      <w:r>
        <w:rPr>
          <w:rFonts w:ascii="Arial" w:cs="Arial" w:eastAsia="Arial" w:hAnsi="Arial"/>
          <w:sz w:val="17"/>
          <w:szCs w:val="17"/>
          <w:color w:val="auto"/>
        </w:rPr>
        <w:t>Chief Executive Officer</w:t>
      </w:r>
    </w:p>
    <w:p>
      <w:pPr>
        <w:sectPr>
          <w:pgSz w:w="11900" w:h="16838" w:orient="portrait"/>
          <w:cols w:equalWidth="0" w:num="1">
            <w:col w:w="11420"/>
          </w:cols>
          <w:pgMar w:left="240" w:top="118" w:right="239" w:bottom="1440" w:gutter="0" w:footer="0" w:header="0"/>
        </w:sectPr>
      </w:pPr>
    </w:p>
    <w:bookmarkStart w:id="198" w:name="page199"/>
    <w:bookmarkEnd w:id="198"/>
    <w:p>
      <w:pPr>
        <w:jc w:val="right"/>
        <w:spacing w:after="0"/>
        <w:rPr>
          <w:sz w:val="20"/>
          <w:szCs w:val="20"/>
          <w:color w:val="auto"/>
        </w:rPr>
      </w:pPr>
      <w:r>
        <w:rPr>
          <w:rFonts w:ascii="Arial" w:cs="Arial" w:eastAsia="Arial" w:hAnsi="Arial"/>
          <w:sz w:val="22"/>
          <w:szCs w:val="22"/>
          <w:color w:val="auto"/>
        </w:rPr>
        <w:t>Exhibit 32.2</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Statement of Chief Financial Officer</w:t>
      </w:r>
    </w:p>
    <w:p>
      <w:pPr>
        <w:spacing w:after="0" w:line="233" w:lineRule="exact"/>
        <w:rPr>
          <w:sz w:val="20"/>
          <w:szCs w:val="20"/>
          <w:color w:val="auto"/>
        </w:rPr>
      </w:pPr>
    </w:p>
    <w:p>
      <w:pPr>
        <w:ind w:right="420"/>
        <w:spacing w:after="0" w:line="251" w:lineRule="auto"/>
        <w:rPr>
          <w:sz w:val="20"/>
          <w:szCs w:val="20"/>
          <w:color w:val="auto"/>
        </w:rPr>
      </w:pPr>
      <w:r>
        <w:rPr>
          <w:rFonts w:ascii="Arial" w:cs="Arial" w:eastAsia="Arial" w:hAnsi="Arial"/>
          <w:sz w:val="22"/>
          <w:szCs w:val="22"/>
          <w:color w:val="auto"/>
        </w:rPr>
        <w:t>Pursuant to 18 U.S.C. Sec 1350, as created by Section 906 of the Sarbanes-Oxley Act of 2002, the undersigned Chief Financial Officer of Sempra Energy (the "Company") certifies that:</w:t>
      </w:r>
    </w:p>
    <w:p>
      <w:pPr>
        <w:spacing w:after="0" w:line="227" w:lineRule="exact"/>
        <w:rPr>
          <w:sz w:val="20"/>
          <w:szCs w:val="20"/>
          <w:color w:val="auto"/>
        </w:rPr>
      </w:pPr>
    </w:p>
    <w:p>
      <w:pPr>
        <w:jc w:val="both"/>
        <w:ind w:left="1300" w:right="200" w:hanging="644"/>
        <w:spacing w:after="0" w:line="258" w:lineRule="auto"/>
        <w:tabs>
          <w:tab w:leader="none" w:pos="1300" w:val="left"/>
        </w:tabs>
        <w:numPr>
          <w:ilvl w:val="0"/>
          <w:numId w:val="52"/>
        </w:numPr>
        <w:rPr>
          <w:rFonts w:ascii="Arial" w:cs="Arial" w:eastAsia="Arial" w:hAnsi="Arial"/>
          <w:sz w:val="21"/>
          <w:szCs w:val="21"/>
          <w:color w:val="auto"/>
        </w:rPr>
      </w:pPr>
      <w:r>
        <w:rPr>
          <w:rFonts w:ascii="Arial" w:cs="Arial" w:eastAsia="Arial" w:hAnsi="Arial"/>
          <w:sz w:val="21"/>
          <w:szCs w:val="21"/>
          <w:color w:val="auto"/>
        </w:rPr>
        <w:t>the Annual Report on Form 10-K of the Company filed with the Securities and Exchange Commission for the year ended December 31, 2007 (the "Annual Report") fully complies with the requirements of Section 13(a) or Section 15(d), as applicable, of the Securities Exchange Act of 1934, as amended; and</w:t>
      </w:r>
    </w:p>
    <w:p>
      <w:pPr>
        <w:spacing w:after="0" w:line="220" w:lineRule="exact"/>
        <w:rPr>
          <w:rFonts w:ascii="Arial" w:cs="Arial" w:eastAsia="Arial" w:hAnsi="Arial"/>
          <w:sz w:val="21"/>
          <w:szCs w:val="21"/>
          <w:color w:val="auto"/>
        </w:rPr>
      </w:pPr>
    </w:p>
    <w:p>
      <w:pPr>
        <w:ind w:left="1300" w:right="240" w:hanging="644"/>
        <w:spacing w:after="0" w:line="251" w:lineRule="auto"/>
        <w:tabs>
          <w:tab w:leader="none" w:pos="1300" w:val="left"/>
        </w:tabs>
        <w:numPr>
          <w:ilvl w:val="0"/>
          <w:numId w:val="52"/>
        </w:numPr>
        <w:rPr>
          <w:rFonts w:ascii="Arial" w:cs="Arial" w:eastAsia="Arial" w:hAnsi="Arial"/>
          <w:sz w:val="22"/>
          <w:szCs w:val="22"/>
          <w:color w:val="auto"/>
        </w:rPr>
      </w:pPr>
      <w:r>
        <w:rPr>
          <w:rFonts w:ascii="Arial" w:cs="Arial" w:eastAsia="Arial" w:hAnsi="Arial"/>
          <w:sz w:val="22"/>
          <w:szCs w:val="22"/>
          <w:color w:val="auto"/>
        </w:rPr>
        <w:t>the information contained in the Annual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color w:val="auto"/>
        </w:rPr>
        <w:t>February 26, 2008</w:t>
      </w:r>
    </w:p>
    <w:p>
      <w:pPr>
        <w:spacing w:after="0" w:line="281" w:lineRule="exact"/>
        <w:rPr>
          <w:sz w:val="20"/>
          <w:szCs w:val="20"/>
          <w:color w:val="auto"/>
        </w:rPr>
      </w:pPr>
    </w:p>
    <w:p>
      <w:pPr>
        <w:ind w:left="10100"/>
        <w:spacing w:after="0"/>
        <w:rPr>
          <w:sz w:val="20"/>
          <w:szCs w:val="20"/>
          <w:color w:val="auto"/>
        </w:rPr>
      </w:pPr>
      <w:r>
        <w:rPr>
          <w:rFonts w:ascii="Arial" w:cs="Arial" w:eastAsia="Arial" w:hAnsi="Arial"/>
          <w:sz w:val="17"/>
          <w:szCs w:val="17"/>
          <w:color w:val="auto"/>
        </w:rPr>
        <w:t>/S/ Mark A. Snell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4902200</wp:posOffset>
            </wp:positionH>
            <wp:positionV relativeFrom="paragraph">
              <wp:posOffset>30480</wp:posOffset>
            </wp:positionV>
            <wp:extent cx="23495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349500" cy="8890"/>
                    </a:xfrm>
                    <a:prstGeom prst="rect">
                      <a:avLst/>
                    </a:prstGeom>
                    <a:noFill/>
                  </pic:spPr>
                </pic:pic>
              </a:graphicData>
            </a:graphic>
          </wp:anchor>
        </w:drawing>
      </w:r>
    </w:p>
    <w:p>
      <w:pPr>
        <w:spacing w:after="0" w:line="41" w:lineRule="exact"/>
        <w:rPr>
          <w:sz w:val="20"/>
          <w:szCs w:val="20"/>
          <w:color w:val="auto"/>
        </w:rPr>
      </w:pPr>
    </w:p>
    <w:p>
      <w:pPr>
        <w:ind w:left="10380"/>
        <w:spacing w:after="0"/>
        <w:rPr>
          <w:sz w:val="20"/>
          <w:szCs w:val="20"/>
          <w:color w:val="auto"/>
        </w:rPr>
      </w:pPr>
      <w:r>
        <w:rPr>
          <w:rFonts w:ascii="Arial" w:cs="Arial" w:eastAsia="Arial" w:hAnsi="Arial"/>
          <w:sz w:val="17"/>
          <w:szCs w:val="17"/>
          <w:color w:val="auto"/>
        </w:rPr>
        <w:t>Mark A. Snell</w:t>
      </w:r>
    </w:p>
    <w:p>
      <w:pPr>
        <w:spacing w:after="0" w:line="48" w:lineRule="exact"/>
        <w:rPr>
          <w:sz w:val="20"/>
          <w:szCs w:val="20"/>
          <w:color w:val="auto"/>
        </w:rPr>
      </w:pPr>
    </w:p>
    <w:p>
      <w:pPr>
        <w:ind w:left="9740"/>
        <w:spacing w:after="0"/>
        <w:rPr>
          <w:sz w:val="20"/>
          <w:szCs w:val="20"/>
          <w:color w:val="auto"/>
        </w:rPr>
      </w:pPr>
      <w:r>
        <w:rPr>
          <w:rFonts w:ascii="Arial" w:cs="Arial" w:eastAsia="Arial" w:hAnsi="Arial"/>
          <w:sz w:val="17"/>
          <w:szCs w:val="17"/>
          <w:color w:val="auto"/>
        </w:rPr>
        <w:t>Chief Financial Officer</w:t>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89A769B"/>
    <w:multiLevelType w:val="hybridMultilevel"/>
    <w:lvl w:ilvl="0">
      <w:lvlJc w:val="left"/>
      <w:lvlText w:val="[%1]"/>
      <w:numFmt w:val="upperLetter"/>
      <w:start w:val="24"/>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
      <w:numFmt w:val="bullet"/>
      <w:start w:val="1"/>
    </w:lvl>
  </w:abstractNum>
  <w:abstractNum w:abstractNumId="3">
    <w:nsid w:val="2CA88611"/>
    <w:multiLevelType w:val="hybridMultilevel"/>
    <w:lvl w:ilvl="0">
      <w:lvlJc w:val="left"/>
      <w:lvlText w:val="·"/>
      <w:numFmt w:val="bullet"/>
      <w:start w:val="1"/>
    </w:lvl>
  </w:abstractNum>
  <w:abstractNum w:abstractNumId="4">
    <w:nsid w:val="836C40E"/>
    <w:multiLevelType w:val="hybridMultilevel"/>
    <w:lvl w:ilvl="0">
      <w:lvlJc w:val="left"/>
      <w:lvlText w:val="*"/>
      <w:numFmt w:val="bullet"/>
      <w:start w:val="1"/>
    </w:lvl>
  </w:abstractNum>
  <w:abstractNum w:abstractNumId="5">
    <w:nsid w:val="2901D82"/>
    <w:multiLevelType w:val="hybridMultilevel"/>
    <w:lvl w:ilvl="0">
      <w:lvlJc w:val="left"/>
      <w:lvlText w:val="·"/>
      <w:numFmt w:val="bullet"/>
      <w:start w:val="1"/>
    </w:lvl>
  </w:abstractNum>
  <w:abstractNum w:abstractNumId="6">
    <w:nsid w:val="3A95F874"/>
    <w:multiLevelType w:val="hybridMultilevel"/>
    <w:lvl w:ilvl="0">
      <w:lvlJc w:val="left"/>
      <w:lvlText w:val="·"/>
      <w:numFmt w:val="bullet"/>
      <w:start w:val="1"/>
    </w:lvl>
  </w:abstractNum>
  <w:abstractNum w:abstractNumId="7">
    <w:nsid w:val="8138641"/>
    <w:multiLevelType w:val="hybridMultilevel"/>
    <w:lvl w:ilvl="0">
      <w:lvlJc w:val="left"/>
      <w:lvlText w:val="·"/>
      <w:numFmt w:val="bullet"/>
      <w:start w:val="1"/>
    </w:lvl>
  </w:abstractNum>
  <w:abstractNum w:abstractNumId="8">
    <w:nsid w:val="1E7FF521"/>
    <w:multiLevelType w:val="hybridMultilevel"/>
    <w:lvl w:ilvl="0">
      <w:lvlJc w:val="left"/>
      <w:lvlText w:val="%1."/>
      <w:numFmt w:val="decimal"/>
      <w:start w:val="1"/>
    </w:lvl>
    <w:lvl w:ilvl="1">
      <w:lvlJc w:val="left"/>
      <w:lvlText w:val="*"/>
      <w:numFmt w:val="bullet"/>
      <w:start w:val="1"/>
    </w:lvl>
  </w:abstractNum>
  <w:abstractNum w:abstractNumId="9">
    <w:nsid w:val="7C3DBD3D"/>
    <w:multiLevelType w:val="hybridMultilevel"/>
    <w:lvl w:ilvl="0">
      <w:lvlJc w:val="left"/>
      <w:lvlText w:val="§"/>
      <w:numFmt w:val="bullet"/>
      <w:start w:val="1"/>
    </w:lvl>
  </w:abstractNum>
  <w:abstractNum w:abstractNumId="10">
    <w:nsid w:val="737B8DDC"/>
    <w:multiLevelType w:val="hybridMultilevel"/>
    <w:lvl w:ilvl="0">
      <w:lvlJc w:val="left"/>
      <w:lvlText w:val="o"/>
      <w:numFmt w:val="bullet"/>
      <w:start w:val="1"/>
    </w:lvl>
  </w:abstractNum>
  <w:abstractNum w:abstractNumId="11">
    <w:nsid w:val="6CEAF087"/>
    <w:multiLevelType w:val="hybridMultilevel"/>
    <w:lvl w:ilvl="0">
      <w:lvlJc w:val="left"/>
      <w:lvlText w:val="·"/>
      <w:numFmt w:val="bullet"/>
      <w:start w:val="1"/>
    </w:lvl>
  </w:abstractNum>
  <w:abstractNum w:abstractNumId="12">
    <w:nsid w:val="22221A70"/>
    <w:multiLevelType w:val="hybridMultilevel"/>
    <w:lvl w:ilvl="0">
      <w:lvlJc w:val="left"/>
      <w:lvlText w:val="·"/>
      <w:numFmt w:val="bullet"/>
      <w:start w:val="1"/>
    </w:lvl>
  </w:abstractNum>
  <w:abstractNum w:abstractNumId="13">
    <w:nsid w:val="4516DDE9"/>
    <w:multiLevelType w:val="hybridMultilevel"/>
    <w:lvl w:ilvl="0">
      <w:lvlJc w:val="left"/>
      <w:lvlText w:val="§"/>
      <w:numFmt w:val="bullet"/>
      <w:start w:val="1"/>
    </w:lvl>
  </w:abstractNum>
  <w:abstractNum w:abstractNumId="14">
    <w:nsid w:val="3006C83E"/>
    <w:multiLevelType w:val="hybridMultilevel"/>
    <w:lvl w:ilvl="0">
      <w:lvlJc w:val="left"/>
      <w:lvlText w:val="§"/>
      <w:numFmt w:val="bullet"/>
      <w:start w:val="1"/>
    </w:lvl>
  </w:abstractNum>
  <w:abstractNum w:abstractNumId="15">
    <w:nsid w:val="614FD4A1"/>
    <w:multiLevelType w:val="hybridMultilevel"/>
    <w:lvl w:ilvl="0">
      <w:lvlJc w:val="left"/>
      <w:lvlText w:val="§"/>
      <w:numFmt w:val="bullet"/>
      <w:start w:val="1"/>
    </w:lvl>
  </w:abstractNum>
  <w:abstractNum w:abstractNumId="16">
    <w:nsid w:val="419AC241"/>
    <w:multiLevelType w:val="hybridMultilevel"/>
    <w:lvl w:ilvl="0">
      <w:lvlJc w:val="left"/>
      <w:lvlText w:val="§"/>
      <w:numFmt w:val="bullet"/>
      <w:start w:val="1"/>
    </w:lvl>
  </w:abstractNum>
  <w:abstractNum w:abstractNumId="17">
    <w:nsid w:val="5577F8E1"/>
    <w:multiLevelType w:val="hybridMultilevel"/>
    <w:lvl w:ilvl="0">
      <w:lvlJc w:val="left"/>
      <w:lvlText w:val="(%1)"/>
      <w:numFmt w:val="lowerLetter"/>
      <w:start w:val="1"/>
    </w:lvl>
  </w:abstractNum>
  <w:abstractNum w:abstractNumId="18">
    <w:nsid w:val="440BADFC"/>
    <w:multiLevelType w:val="hybridMultilevel"/>
    <w:lvl w:ilvl="0">
      <w:lvlJc w:val="left"/>
      <w:lvlText w:val="·"/>
      <w:numFmt w:val="bullet"/>
      <w:start w:val="1"/>
    </w:lvl>
  </w:abstractNum>
  <w:abstractNum w:abstractNumId="19">
    <w:nsid w:val="5072367"/>
    <w:multiLevelType w:val="hybridMultilevel"/>
    <w:lvl w:ilvl="0">
      <w:lvlJc w:val="left"/>
      <w:lvlText w:val="-"/>
      <w:numFmt w:val="bullet"/>
      <w:start w:val="1"/>
    </w:lvl>
  </w:abstractNum>
  <w:abstractNum w:abstractNumId="20">
    <w:nsid w:val="3804823E"/>
    <w:multiLevelType w:val="hybridMultilevel"/>
    <w:lvl w:ilvl="0">
      <w:lvlJc w:val="left"/>
      <w:lvlText w:val="(%1)"/>
      <w:numFmt w:val="decimal"/>
      <w:start w:val="1"/>
    </w:lvl>
  </w:abstractNum>
  <w:abstractNum w:abstractNumId="21">
    <w:nsid w:val="77465F01"/>
    <w:multiLevelType w:val="hybridMultilevel"/>
    <w:lvl w:ilvl="0">
      <w:lvlJc w:val="left"/>
      <w:lvlText w:val="·"/>
      <w:numFmt w:val="bullet"/>
      <w:start w:val="1"/>
    </w:lvl>
  </w:abstractNum>
  <w:abstractNum w:abstractNumId="22">
    <w:nsid w:val="7724C67E"/>
    <w:multiLevelType w:val="hybridMultilevel"/>
    <w:lvl w:ilvl="0">
      <w:lvlJc w:val="left"/>
      <w:lvlText w:val="·"/>
      <w:numFmt w:val="bullet"/>
      <w:start w:val="1"/>
    </w:lvl>
  </w:abstractNum>
  <w:abstractNum w:abstractNumId="23">
    <w:nsid w:val="5C482A97"/>
    <w:multiLevelType w:val="hybridMultilevel"/>
    <w:lvl w:ilvl="0">
      <w:lvlJc w:val="left"/>
      <w:lvlText w:val="·"/>
      <w:numFmt w:val="bullet"/>
      <w:start w:val="1"/>
    </w:lvl>
  </w:abstractNum>
  <w:abstractNum w:abstractNumId="24">
    <w:nsid w:val="2463B9EA"/>
    <w:multiLevelType w:val="hybridMultilevel"/>
    <w:lvl w:ilvl="0">
      <w:lvlJc w:val="left"/>
      <w:lvlText w:val="**"/>
      <w:numFmt w:val="bullet"/>
      <w:start w:val="1"/>
    </w:lvl>
  </w:abstractNum>
  <w:abstractNum w:abstractNumId="25">
    <w:nsid w:val="5E884ADC"/>
    <w:multiLevelType w:val="hybridMultilevel"/>
    <w:lvl w:ilvl="0">
      <w:lvlJc w:val="left"/>
      <w:lvlText w:val="***"/>
      <w:numFmt w:val="bullet"/>
      <w:start w:val="1"/>
    </w:lvl>
  </w:abstractNum>
  <w:abstractNum w:abstractNumId="26">
    <w:nsid w:val="51EAD36B"/>
    <w:multiLevelType w:val="hybridMultilevel"/>
    <w:lvl w:ilvl="0">
      <w:lvlJc w:val="left"/>
      <w:lvlText w:val="**"/>
      <w:numFmt w:val="bullet"/>
      <w:start w:val="1"/>
    </w:lvl>
    <w:lvl w:ilvl="1">
      <w:lvlJc w:val="left"/>
      <w:lvlText w:val="*"/>
      <w:numFmt w:val="bullet"/>
      <w:start w:val="1"/>
    </w:lvl>
  </w:abstractNum>
  <w:abstractNum w:abstractNumId="27">
    <w:nsid w:val="2D517796"/>
    <w:multiLevelType w:val="hybridMultilevel"/>
    <w:lvl w:ilvl="0">
      <w:lvlJc w:val="left"/>
      <w:lvlText w:val="***"/>
      <w:numFmt w:val="bullet"/>
      <w:start w:val="1"/>
    </w:lvl>
    <w:lvl w:ilvl="1">
      <w:lvlJc w:val="left"/>
      <w:lvlText w:val="*"/>
      <w:numFmt w:val="bullet"/>
      <w:start w:val="1"/>
    </w:lvl>
  </w:abstractNum>
  <w:abstractNum w:abstractNumId="28">
    <w:nsid w:val="580BD78F"/>
    <w:multiLevelType w:val="hybridMultilevel"/>
    <w:lvl w:ilvl="0">
      <w:lvlJc w:val="left"/>
      <w:lvlText w:val="*"/>
      <w:numFmt w:val="bullet"/>
      <w:start w:val="1"/>
    </w:lvl>
  </w:abstractNum>
  <w:abstractNum w:abstractNumId="29">
    <w:nsid w:val="153EA438"/>
    <w:multiLevelType w:val="hybridMultilevel"/>
    <w:lvl w:ilvl="0">
      <w:lvlJc w:val="left"/>
      <w:lvlText w:val="**"/>
      <w:numFmt w:val="bullet"/>
      <w:start w:val="1"/>
    </w:lvl>
    <w:lvl w:ilvl="1">
      <w:lvlJc w:val="left"/>
      <w:lvlText w:val="*"/>
      <w:numFmt w:val="bullet"/>
      <w:start w:val="1"/>
    </w:lvl>
  </w:abstractNum>
  <w:abstractNum w:abstractNumId="30">
    <w:nsid w:val="3855585C"/>
    <w:multiLevelType w:val="hybridMultilevel"/>
    <w:lvl w:ilvl="0">
      <w:lvlJc w:val="left"/>
      <w:lvlText w:val="(%1)"/>
      <w:numFmt w:val="decimal"/>
      <w:start w:val="1"/>
    </w:lvl>
  </w:abstractNum>
  <w:abstractNum w:abstractNumId="31">
    <w:nsid w:val="70A64E2A"/>
    <w:multiLevelType w:val="hybridMultilevel"/>
    <w:lvl w:ilvl="0">
      <w:lvlJc w:val="left"/>
      <w:lvlText w:val="·"/>
      <w:numFmt w:val="bullet"/>
      <w:start w:val="1"/>
    </w:lvl>
  </w:abstractNum>
  <w:abstractNum w:abstractNumId="32">
    <w:nsid w:val="6A2342EC"/>
    <w:multiLevelType w:val="hybridMultilevel"/>
    <w:lvl w:ilvl="0">
      <w:lvlJc w:val="left"/>
      <w:lvlText w:val="*"/>
      <w:numFmt w:val="bullet"/>
      <w:start w:val="1"/>
    </w:lvl>
  </w:abstractNum>
  <w:abstractNum w:abstractNumId="33">
    <w:nsid w:val="2A487CB0"/>
    <w:multiLevelType w:val="hybridMultilevel"/>
    <w:lvl w:ilvl="0">
      <w:lvlJc w:val="left"/>
      <w:lvlText w:val="**"/>
      <w:numFmt w:val="bullet"/>
      <w:start w:val="1"/>
    </w:lvl>
  </w:abstractNum>
  <w:abstractNum w:abstractNumId="34">
    <w:nsid w:val="1D4ED43B"/>
    <w:multiLevelType w:val="hybridMultilevel"/>
    <w:lvl w:ilvl="0">
      <w:lvlJc w:val="left"/>
      <w:lvlText w:val="**"/>
      <w:numFmt w:val="bullet"/>
      <w:start w:val="1"/>
    </w:lvl>
    <w:lvl w:ilvl="1">
      <w:lvlJc w:val="left"/>
      <w:lvlText w:val="*"/>
      <w:numFmt w:val="bullet"/>
      <w:start w:val="1"/>
    </w:lvl>
  </w:abstractNum>
  <w:abstractNum w:abstractNumId="35">
    <w:nsid w:val="725A06FB"/>
    <w:multiLevelType w:val="hybridMultilevel"/>
    <w:lvl w:ilvl="0">
      <w:lvlJc w:val="left"/>
      <w:lvlText w:val="**"/>
      <w:numFmt w:val="bullet"/>
      <w:start w:val="1"/>
    </w:lvl>
    <w:lvl w:ilvl="1">
      <w:lvlJc w:val="left"/>
      <w:lvlText w:val="*"/>
      <w:numFmt w:val="bullet"/>
      <w:start w:val="1"/>
    </w:lvl>
  </w:abstractNum>
  <w:abstractNum w:abstractNumId="36">
    <w:nsid w:val="2CD89A32"/>
    <w:multiLevelType w:val="hybridMultilevel"/>
    <w:lvl w:ilvl="0">
      <w:lvlJc w:val="left"/>
      <w:lvlText w:val="**"/>
      <w:numFmt w:val="bullet"/>
      <w:start w:val="1"/>
    </w:lvl>
    <w:lvl w:ilvl="1">
      <w:lvlJc w:val="left"/>
      <w:lvlText w:val="*"/>
      <w:numFmt w:val="bullet"/>
      <w:start w:val="1"/>
    </w:lvl>
  </w:abstractNum>
  <w:abstractNum w:abstractNumId="37">
    <w:nsid w:val="57E4CCAF"/>
    <w:multiLevelType w:val="hybridMultilevel"/>
    <w:lvl w:ilvl="0">
      <w:lvlJc w:val="left"/>
      <w:lvlText w:val="·"/>
      <w:numFmt w:val="bullet"/>
      <w:start w:val="1"/>
    </w:lvl>
  </w:abstractNum>
  <w:abstractNum w:abstractNumId="38">
    <w:nsid w:val="7A6D8D3C"/>
    <w:multiLevelType w:val="hybridMultilevel"/>
    <w:lvl w:ilvl="0">
      <w:lvlJc w:val="left"/>
      <w:lvlText w:val="**"/>
      <w:numFmt w:val="bullet"/>
      <w:start w:val="1"/>
    </w:lvl>
    <w:lvl w:ilvl="1">
      <w:lvlJc w:val="left"/>
      <w:lvlText w:val="*"/>
      <w:numFmt w:val="bullet"/>
      <w:start w:val="1"/>
    </w:lvl>
  </w:abstractNum>
  <w:abstractNum w:abstractNumId="39">
    <w:nsid w:val="4B588F54"/>
    <w:multiLevelType w:val="hybridMultilevel"/>
    <w:lvl w:ilvl="0">
      <w:lvlJc w:val="left"/>
      <w:lvlText w:val="***"/>
      <w:numFmt w:val="bullet"/>
      <w:start w:val="1"/>
    </w:lvl>
    <w:lvl w:ilvl="1">
      <w:lvlJc w:val="left"/>
      <w:lvlText w:val="*"/>
      <w:numFmt w:val="bullet"/>
      <w:start w:val="1"/>
    </w:lvl>
  </w:abstractNum>
  <w:abstractNum w:abstractNumId="40">
    <w:nsid w:val="542289EC"/>
    <w:multiLevelType w:val="hybridMultilevel"/>
    <w:lvl w:ilvl="0">
      <w:lvlJc w:val="left"/>
      <w:lvlText w:val="*"/>
      <w:numFmt w:val="bullet"/>
      <w:start w:val="1"/>
    </w:lvl>
  </w:abstractNum>
  <w:abstractNum w:abstractNumId="41">
    <w:nsid w:val="6DE91B18"/>
    <w:multiLevelType w:val="hybridMultilevel"/>
    <w:lvl w:ilvl="0">
      <w:lvlJc w:val="left"/>
      <w:lvlText w:val="**"/>
      <w:numFmt w:val="bullet"/>
      <w:start w:val="1"/>
    </w:lvl>
    <w:lvl w:ilvl="1">
      <w:lvlJc w:val="left"/>
      <w:lvlText w:val="*"/>
      <w:numFmt w:val="bullet"/>
      <w:start w:val="1"/>
    </w:lvl>
  </w:abstractNum>
  <w:abstractNum w:abstractNumId="42">
    <w:nsid w:val="38437FDB"/>
    <w:multiLevelType w:val="hybridMultilevel"/>
    <w:lvl w:ilvl="0">
      <w:lvlJc w:val="left"/>
      <w:lvlText w:val="***"/>
      <w:numFmt w:val="bullet"/>
      <w:start w:val="1"/>
    </w:lvl>
    <w:lvl w:ilvl="1">
      <w:lvlJc w:val="left"/>
      <w:lvlText w:val="*"/>
      <w:numFmt w:val="bullet"/>
      <w:start w:val="1"/>
    </w:lvl>
  </w:abstractNum>
  <w:abstractNum w:abstractNumId="43">
    <w:nsid w:val="7644A45C"/>
    <w:multiLevelType w:val="hybridMultilevel"/>
    <w:lvl w:ilvl="0">
      <w:lvlJc w:val="left"/>
      <w:lvlText w:val="%1."/>
      <w:numFmt w:val="decimal"/>
      <w:start w:val="7"/>
    </w:lvl>
  </w:abstractNum>
  <w:abstractNum w:abstractNumId="44">
    <w:nsid w:val="32FFF902"/>
    <w:multiLevelType w:val="hybridMultilevel"/>
    <w:lvl w:ilvl="0">
      <w:lvlJc w:val="left"/>
      <w:lvlText w:val="%1."/>
      <w:numFmt w:val="decimal"/>
      <w:start w:val="2"/>
    </w:lvl>
  </w:abstractNum>
  <w:abstractNum w:abstractNumId="45">
    <w:nsid w:val="684A481A"/>
    <w:multiLevelType w:val="hybridMultilevel"/>
    <w:lvl w:ilvl="0">
      <w:lvlJc w:val="left"/>
      <w:lvlText w:val="*"/>
      <w:numFmt w:val="bullet"/>
      <w:start w:val="1"/>
    </w:lvl>
  </w:abstractNum>
  <w:abstractNum w:abstractNumId="46">
    <w:nsid w:val="579478FE"/>
    <w:multiLevelType w:val="hybridMultilevel"/>
    <w:lvl w:ilvl="0">
      <w:lvlJc w:val="left"/>
      <w:lvlText w:val="*"/>
      <w:numFmt w:val="bullet"/>
      <w:start w:val="1"/>
    </w:lvl>
  </w:abstractNum>
  <w:abstractNum w:abstractNumId="47">
    <w:nsid w:val="749ABB43"/>
    <w:multiLevelType w:val="hybridMultilevel"/>
    <w:lvl w:ilvl="0">
      <w:lvlJc w:val="left"/>
      <w:lvlText w:val="*"/>
      <w:numFmt w:val="bullet"/>
      <w:start w:val="1"/>
    </w:lvl>
  </w:abstractNum>
  <w:abstractNum w:abstractNumId="48">
    <w:nsid w:val="3DC240FB"/>
    <w:multiLevelType w:val="hybridMultilevel"/>
    <w:lvl w:ilvl="0">
      <w:lvlJc w:val="left"/>
      <w:lvlText w:val="%1."/>
      <w:numFmt w:val="decimal"/>
      <w:start w:val="1"/>
    </w:lvl>
    <w:lvl w:ilvl="1">
      <w:lvlJc w:val="left"/>
      <w:lvlText w:val="%2)"/>
      <w:numFmt w:val="lowerLetter"/>
      <w:start w:val="1"/>
    </w:lvl>
  </w:abstractNum>
  <w:abstractNum w:abstractNumId="49">
    <w:nsid w:val="1BA026FA"/>
    <w:multiLevelType w:val="hybridMultilevel"/>
    <w:lvl w:ilvl="0">
      <w:lvlJc w:val="left"/>
      <w:lvlText w:val="%1."/>
      <w:numFmt w:val="decimal"/>
      <w:start w:val="1"/>
    </w:lvl>
    <w:lvl w:ilvl="1">
      <w:lvlJc w:val="left"/>
      <w:lvlText w:val="%2)"/>
      <w:numFmt w:val="lowerLetter"/>
      <w:start w:val="1"/>
    </w:lvl>
  </w:abstractNum>
  <w:abstractNum w:abstractNumId="50">
    <w:nsid w:val="79A1DEAA"/>
    <w:multiLevelType w:val="hybridMultilevel"/>
    <w:lvl w:ilvl="0">
      <w:lvlJc w:val="left"/>
      <w:lvlText w:val="(%1)"/>
      <w:numFmt w:val="lowerRoman"/>
      <w:start w:val="1"/>
    </w:lvl>
  </w:abstractNum>
  <w:abstractNum w:abstractNumId="51">
    <w:nsid w:val="75C6C33A"/>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2019-12-14T10:57:49Z</dcterms:created>
  <dcterms:modified xsi:type="dcterms:W3CDTF">2019-12-14T10:57:49Z</dcterms:modified>
</cp:coreProperties>
</file>