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9563ddefa14a.htm"/>
      <w:bookmarkStart w:id="1" w:name="ksd12956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 xml:space="preserve">SCHEDULE 14A </w:t>
      </w:r>
    </w:p>
    <w:p>
      <w:pPr>
        <w:pStyle w:val="TextBody"/>
        <w:bidi w:val="0"/>
        <w:spacing w:before="0" w:after="0"/>
        <w:jc w:val="center"/>
        <w:rPr>
          <w:rFonts w:ascii="Arial" w:hAnsi="Arial"/>
          <w:b/>
          <w:sz w:val="24"/>
        </w:rPr>
      </w:pPr>
      <w:r>
        <w:rPr>
          <w:rFonts w:ascii="Arial" w:hAnsi="Arial"/>
          <w:b/>
          <w:sz w:val="24"/>
        </w:rPr>
        <w:t xml:space="preserve">Proxy Statement Pursuant to Section 14(a) of the </w:t>
      </w:r>
    </w:p>
    <w:p>
      <w:pPr>
        <w:pStyle w:val="TextBody"/>
        <w:bidi w:val="0"/>
        <w:spacing w:before="0" w:after="0"/>
        <w:jc w:val="center"/>
        <w:rPr>
          <w:rFonts w:ascii="Arial" w:hAnsi="Arial"/>
          <w:b/>
          <w:sz w:val="24"/>
        </w:rPr>
      </w:pPr>
      <w:r>
        <w:rPr>
          <w:rFonts w:ascii="Arial" w:hAnsi="Arial"/>
          <w:b/>
          <w:sz w:val="24"/>
        </w:rPr>
        <w:t xml:space="preserve">Securities Exchange Act of 1934 </w:t>
      </w:r>
    </w:p>
    <w:p>
      <w:pPr>
        <w:pStyle w:val="TextBody"/>
        <w:bidi w:val="0"/>
        <w:spacing w:before="0" w:after="0"/>
        <w:jc w:val="center"/>
        <w:rPr>
          <w:rFonts w:ascii="Arial" w:hAnsi="Arial"/>
          <w:b/>
          <w:sz w:val="24"/>
        </w:rPr>
      </w:pPr>
      <w:r>
        <w:rPr>
          <w:rFonts w:ascii="Arial" w:hAnsi="Arial"/>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20"/>
        </w:rPr>
      </w:pPr>
      <w:r>
        <w:rPr>
          <w:rFonts w:ascii="Arial" w:hAnsi="Arial"/>
          <w:sz w:val="20"/>
        </w:rPr>
        <w:t xml:space="preserve">Filed by the Registrant ☑ </w:t>
      </w:r>
    </w:p>
    <w:p>
      <w:pPr>
        <w:pStyle w:val="TextBody"/>
        <w:bidi w:val="0"/>
        <w:spacing w:before="240" w:after="0"/>
        <w:jc w:val="left"/>
        <w:rPr>
          <w:rFonts w:ascii="Arial" w:hAnsi="Arial"/>
          <w:sz w:val="20"/>
        </w:rPr>
      </w:pPr>
      <w:r>
        <w:rPr>
          <w:rFonts w:ascii="Arial" w:hAnsi="Arial"/>
          <w:sz w:val="20"/>
        </w:rPr>
        <w:t xml:space="preserve">Filed by a Party other than the Registrant ☐ </w:t>
      </w:r>
    </w:p>
    <w:p>
      <w:pPr>
        <w:pStyle w:val="TextBody"/>
        <w:bidi w:val="0"/>
        <w:spacing w:before="48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20"/>
              </w:rPr>
            </w:pPr>
            <w:r>
              <w:rPr>
                <w:rFonts w:ascii="Arial" w:hAnsi="Arial"/>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Soliciting Material Pursuant to Section 240.14a-11(c) or Section 240.14a-12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 xml:space="preserve">Southern California Gas Company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20"/>
        </w:rPr>
      </w:pPr>
      <w:r>
        <w:rPr>
          <w:rFonts w:ascii="Arial" w:hAnsi="Arial"/>
          <w:b/>
          <w:sz w:val="20"/>
        </w:rPr>
        <w:t xml:space="preserve">(Name of Person(s) Filing Proxy Statement, if other than the Registrant) </w:t>
      </w:r>
    </w:p>
    <w:p>
      <w:pPr>
        <w:pStyle w:val="TextBody"/>
        <w:bidi w:val="0"/>
        <w:spacing w:before="240" w:after="0"/>
        <w:jc w:val="left"/>
        <w:rPr>
          <w:rFonts w:ascii="Arial" w:hAnsi="Arial"/>
          <w:sz w:val="20"/>
        </w:rPr>
      </w:pPr>
      <w:r>
        <w:rPr>
          <w:rFonts w:ascii="Arial" w:hAnsi="Arial"/>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20"/>
              </w:rPr>
            </w:pPr>
            <w:r>
              <w:rPr>
                <w:rFonts w:ascii="Arial" w:hAnsi="Arial"/>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20"/>
              </w:rPr>
            </w:pPr>
            <w:r>
              <w:rPr>
                <w:rFonts w:ascii="Arial" w:hAnsi="Arial"/>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946"/>
        <w:gridCol w:w="102"/>
        <w:gridCol w:w="1905"/>
        <w:gridCol w:w="120"/>
        <w:gridCol w:w="4132"/>
      </w:tblGrid>
      <w:tr>
        <w:trPr/>
        <w:tc>
          <w:tcPr>
            <w:tcW w:w="394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32" w:type="dxa"/>
            <w:tcBorders/>
            <w:vAlign w:val="center"/>
          </w:tcPr>
          <w:p>
            <w:pPr>
              <w:pStyle w:val="TableContents"/>
              <w:bidi w:val="0"/>
              <w:spacing w:before="0" w:after="283"/>
              <w:jc w:val="left"/>
              <w:rPr>
                <w:sz w:val="4"/>
                <w:szCs w:val="4"/>
              </w:rPr>
            </w:pPr>
            <w:r>
              <w:rPr>
                <w:sz w:val="4"/>
                <w:szCs w:val="4"/>
              </w:rPr>
            </w:r>
          </w:p>
        </w:tc>
      </w:tr>
      <w:tr>
        <w:trPr/>
        <w:tc>
          <w:tcPr>
            <w:tcW w:w="3946" w:type="dxa"/>
            <w:tcBorders/>
          </w:tcPr>
          <w:p>
            <w:pPr>
              <w:pStyle w:val="TableContents"/>
              <w:bidi w:val="0"/>
              <w:spacing w:before="0" w:after="283"/>
              <w:jc w:val="left"/>
              <w:rPr/>
            </w:pPr>
            <w:r>
              <w:rPr/>
              <w:drawing>
                <wp:inline distT="0" distB="0" distL="0" distR="0">
                  <wp:extent cx="1493520" cy="5867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3520" cy="586740"/>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190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132" w:type="dxa"/>
            <w:tcBorders/>
          </w:tcPr>
          <w:p>
            <w:pPr>
              <w:pStyle w:val="TableContents"/>
              <w:bidi w:val="0"/>
              <w:spacing w:before="0" w:after="0"/>
              <w:jc w:val="left"/>
              <w:rPr>
                <w:rFonts w:ascii="Arial" w:hAnsi="Arial"/>
                <w:sz w:val="22"/>
              </w:rPr>
            </w:pPr>
            <w:r>
              <w:rPr>
                <w:rFonts w:ascii="Arial" w:hAnsi="Arial"/>
                <w:sz w:val="22"/>
              </w:rPr>
              <w:t>555 West 5th Street</w:t>
            </w:r>
          </w:p>
          <w:p>
            <w:pPr>
              <w:pStyle w:val="TableContents"/>
              <w:bidi w:val="0"/>
              <w:spacing w:before="0" w:after="20"/>
              <w:jc w:val="left"/>
              <w:rPr>
                <w:rFonts w:ascii="Arial" w:hAnsi="Arial"/>
                <w:sz w:val="22"/>
              </w:rPr>
            </w:pPr>
            <w:r>
              <w:rPr>
                <w:rFonts w:ascii="Arial" w:hAnsi="Arial"/>
                <w:sz w:val="22"/>
              </w:rPr>
              <w:t>Los Angeles, California, 90013</w:t>
            </w:r>
          </w:p>
        </w:tc>
      </w:tr>
    </w:tbl>
    <w:p>
      <w:pPr>
        <w:pStyle w:val="TextBody"/>
        <w:bidi w:val="0"/>
        <w:spacing w:before="480" w:after="0"/>
        <w:jc w:val="center"/>
        <w:rPr>
          <w:rFonts w:ascii="Arial" w:hAnsi="Arial"/>
          <w:b/>
          <w:sz w:val="22"/>
        </w:rPr>
      </w:pPr>
      <w:r>
        <w:rPr>
          <w:rFonts w:ascii="Arial" w:hAnsi="Arial"/>
          <w:b/>
          <w:sz w:val="22"/>
        </w:rPr>
        <w:t xml:space="preserve">PLEASE VOTE THE ENCLOSED PROXY TODAY! </w:t>
      </w:r>
    </w:p>
    <w:p>
      <w:pPr>
        <w:pStyle w:val="TextBody"/>
        <w:bidi w:val="0"/>
        <w:spacing w:before="360" w:after="0"/>
        <w:jc w:val="right"/>
        <w:rPr>
          <w:rFonts w:ascii="Arial" w:hAnsi="Arial"/>
          <w:sz w:val="22"/>
        </w:rPr>
      </w:pPr>
      <w:r>
        <w:rPr>
          <w:rFonts w:ascii="Arial" w:hAnsi="Arial"/>
          <w:sz w:val="22"/>
        </w:rPr>
        <w:t xml:space="preserve">July 20, 2026 </w:t>
      </w:r>
    </w:p>
    <w:p>
      <w:pPr>
        <w:pStyle w:val="TextBody"/>
        <w:bidi w:val="0"/>
        <w:spacing w:before="240" w:after="0"/>
        <w:jc w:val="left"/>
        <w:rPr>
          <w:rFonts w:ascii="Arial" w:hAnsi="Arial"/>
          <w:sz w:val="22"/>
        </w:rPr>
      </w:pPr>
      <w:r>
        <w:rPr>
          <w:rFonts w:ascii="Arial" w:hAnsi="Arial"/>
          <w:sz w:val="22"/>
        </w:rPr>
        <w:t xml:space="preserve">Dear Shareholder, </w:t>
      </w:r>
    </w:p>
    <w:p>
      <w:pPr>
        <w:pStyle w:val="TextBody"/>
        <w:bidi w:val="0"/>
        <w:spacing w:before="240" w:after="0"/>
        <w:jc w:val="left"/>
        <w:rPr>
          <w:rFonts w:ascii="Arial" w:hAnsi="Arial"/>
          <w:sz w:val="22"/>
        </w:rPr>
      </w:pPr>
      <w:r>
        <w:rPr>
          <w:rFonts w:ascii="Arial" w:hAnsi="Arial"/>
          <w:sz w:val="22"/>
        </w:rPr>
        <w:t xml:space="preserve">According to our latest records, we have not received your voting instructions for the Special Meeting of Shareholders of Southern California Gas Company (SoCalGas), which is to be held on Thursday, August 6, 2026. </w:t>
      </w:r>
      <w:r>
        <w:rPr>
          <w:rFonts w:ascii="Arial" w:hAnsi="Arial"/>
          <w:b/>
          <w:sz w:val="22"/>
        </w:rPr>
        <w:t>Your vote is extremely important, no matter how many shares you hold. If we do not receive your vote, we may need to postpone the Special Meeting and continue to request shareholder participation to seek the required approval levels for the important proposals being voted on at the meeting.</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For the reasons set forth in the proxy statement for the Special Meeting, dated and sent to you on or about June 15, 2026, the Board of Directors recommends that you vote “</w:t>
      </w:r>
      <w:r>
        <w:rPr>
          <w:rFonts w:ascii="Arial" w:hAnsi="Arial"/>
          <w:b/>
          <w:sz w:val="22"/>
        </w:rPr>
        <w:t xml:space="preserve">FOR” </w:t>
      </w:r>
      <w:r>
        <w:rPr>
          <w:rFonts w:ascii="Arial" w:hAnsi="Arial"/>
          <w:sz w:val="22"/>
        </w:rPr>
        <w:t xml:space="preserve">these proposals. </w:t>
      </w:r>
      <w:r>
        <w:rPr>
          <w:rFonts w:ascii="Arial" w:hAnsi="Arial"/>
          <w:b/>
          <w:sz w:val="22"/>
        </w:rPr>
        <w:t>Please vote via the Internet or telephone as soon as possible or alternatively, please sign, date, and return the</w:t>
      </w:r>
      <w:r>
        <w:rPr>
          <w:rFonts w:ascii="Arial" w:hAnsi="Arial"/>
          <w:sz w:val="22"/>
        </w:rPr>
        <w:t xml:space="preserve"> </w:t>
      </w:r>
      <w:r>
        <w:rPr>
          <w:rFonts w:ascii="Arial" w:hAnsi="Arial"/>
          <w:b/>
          <w:sz w:val="22"/>
        </w:rPr>
        <w:t>enclosed proxy card.</w:t>
      </w:r>
      <w:r>
        <w:rPr>
          <w:rFonts w:ascii="Arial" w:hAnsi="Arial"/>
          <w:sz w:val="22"/>
        </w:rPr>
        <w:t xml:space="preserve"> </w:t>
      </w:r>
    </w:p>
    <w:p>
      <w:pPr>
        <w:pStyle w:val="TextBody"/>
        <w:bidi w:val="0"/>
        <w:spacing w:before="240" w:after="0"/>
        <w:jc w:val="left"/>
        <w:rPr>
          <w:rFonts w:ascii="Arial" w:hAnsi="Arial"/>
          <w:sz w:val="22"/>
        </w:rPr>
      </w:pPr>
      <w:r>
        <w:rPr>
          <w:rFonts w:ascii="Arial" w:hAnsi="Arial"/>
          <w:sz w:val="22"/>
        </w:rPr>
        <w:t xml:space="preserve">If you need assistance voting your SoCalGas shares, please call D.F. King, which is providing assistance in connection with the Special Meeting, toll-free at (800) 769-7666. On behalf of management and your Board of Directors, thank you for your cooperation and continued support. </w:t>
      </w:r>
    </w:p>
    <w:p>
      <w:pPr>
        <w:pStyle w:val="TextBody"/>
        <w:bidi w:val="0"/>
        <w:spacing w:before="240" w:after="0"/>
        <w:jc w:val="left"/>
        <w:rPr>
          <w:rFonts w:ascii="Arial" w:hAnsi="Arial"/>
          <w:sz w:val="22"/>
        </w:rPr>
      </w:pPr>
      <w:r>
        <w:rPr>
          <w:rFonts w:ascii="Arial" w:hAnsi="Arial"/>
          <w:sz w:val="22"/>
        </w:rPr>
        <w:t xml:space="preserve">Sincerely, </w:t>
      </w:r>
    </w:p>
    <w:p>
      <w:pPr>
        <w:pStyle w:val="TextBody"/>
        <w:bidi w:val="0"/>
        <w:spacing w:before="240" w:after="0"/>
        <w:jc w:val="left"/>
        <w:rPr>
          <w:rFonts w:ascii="Arial" w:hAnsi="Arial"/>
          <w:sz w:val="22"/>
        </w:rPr>
      </w:pPr>
      <w:r>
        <w:rPr>
          <w:rFonts w:ascii="Arial" w:hAnsi="Arial"/>
          <w:sz w:val="22"/>
        </w:rPr>
        <w:t xml:space="preserve">/s/ Jason W. Egan </w:t>
      </w:r>
    </w:p>
    <w:p>
      <w:pPr>
        <w:pStyle w:val="TextBody"/>
        <w:bidi w:val="0"/>
        <w:spacing w:before="0" w:after="0"/>
        <w:jc w:val="left"/>
        <w:rPr>
          <w:rFonts w:ascii="Arial" w:hAnsi="Arial"/>
          <w:sz w:val="22"/>
        </w:rPr>
      </w:pPr>
      <w:r>
        <w:rPr>
          <w:rFonts w:ascii="Arial" w:hAnsi="Arial"/>
          <w:sz w:val="22"/>
        </w:rPr>
        <w:t xml:space="preserve">Corporate Secretary </w:t>
      </w:r>
    </w:p>
    <w:p>
      <w:pPr>
        <w:pStyle w:val="TextBody"/>
        <w:bidi w:val="0"/>
        <w:spacing w:before="240" w:after="0"/>
        <w:jc w:val="center"/>
        <w:rPr>
          <w:rFonts w:ascii="Arial" w:hAnsi="Arial"/>
          <w:b/>
          <w:sz w:val="22"/>
          <w:u w:val="single"/>
        </w:rPr>
      </w:pPr>
      <w:r>
        <w:rPr>
          <w:rFonts w:ascii="Arial" w:hAnsi="Arial"/>
          <w:b/>
          <w:sz w:val="22"/>
          <w:u w:val="single"/>
        </w:rPr>
        <w:t xml:space="preserve">THREE EASY WAYS TO VOTE BEFORE THE SPECIAL MEETING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3368" w:type="dxa"/>
            <w:tcBorders>
              <w:top w:val="single" w:sz="2" w:space="0" w:color="000000"/>
              <w:left w:val="single" w:sz="2" w:space="0" w:color="000000"/>
            </w:tcBorders>
            <w:shd w:fill="001C71" w:val="clear"/>
            <w:tcMar>
              <w:top w:w="28" w:type="dxa"/>
              <w:left w:w="160" w:type="dxa"/>
            </w:tcMar>
            <w:vAlign w:val="center"/>
          </w:tcPr>
          <w:p>
            <w:pPr>
              <w:pStyle w:val="TableContents"/>
              <w:bidi w:val="0"/>
              <w:spacing w:before="0" w:after="283"/>
              <w:jc w:val="left"/>
              <w:rPr/>
            </w:pPr>
            <w:r>
              <w:rPr/>
              <w:t> </w:t>
            </w:r>
          </w:p>
        </w:tc>
        <w:tc>
          <w:tcPr>
            <w:tcW w:w="3470" w:type="dxa"/>
            <w:gridSpan w:val="2"/>
            <w:tcBorders>
              <w:top w:val="single" w:sz="2" w:space="0" w:color="000000"/>
            </w:tcBorders>
            <w:shd w:fill="001C71" w:val="clear"/>
            <w:tcMar>
              <w:top w:w="28" w:type="dxa"/>
            </w:tcMar>
            <w:vAlign w:val="center"/>
          </w:tcPr>
          <w:p>
            <w:pPr>
              <w:pStyle w:val="TableContents"/>
              <w:bidi w:val="0"/>
              <w:spacing w:before="0" w:after="283"/>
              <w:jc w:val="left"/>
              <w:rPr/>
            </w:pPr>
            <w:r>
              <w:rPr/>
              <w:t> </w:t>
            </w:r>
          </w:p>
        </w:tc>
        <w:tc>
          <w:tcPr>
            <w:tcW w:w="3367" w:type="dxa"/>
            <w:gridSpan w:val="2"/>
            <w:tcBorders>
              <w:top w:val="single" w:sz="2" w:space="0" w:color="000000"/>
              <w:right w:val="single" w:sz="2" w:space="0" w:color="000000"/>
            </w:tcBorders>
            <w:shd w:fill="001C71" w:val="clear"/>
            <w:tcMar>
              <w:top w:w="28" w:type="dxa"/>
              <w:right w:w="28" w:type="dxa"/>
            </w:tcMar>
            <w:vAlign w:val="center"/>
          </w:tcPr>
          <w:p>
            <w:pPr>
              <w:pStyle w:val="TableContents"/>
              <w:bidi w:val="0"/>
              <w:spacing w:before="0" w:after="283"/>
              <w:jc w:val="left"/>
              <w:rPr/>
            </w:pPr>
            <w:r>
              <w:rPr/>
              <w:t> </w:t>
            </w:r>
          </w:p>
        </w:tc>
      </w:tr>
      <w:tr>
        <w:trPr/>
        <w:tc>
          <w:tcPr>
            <w:tcW w:w="3368" w:type="dxa"/>
            <w:tcBorders>
              <w:left w:val="single" w:sz="2" w:space="0" w:color="000000"/>
            </w:tcBorders>
            <w:shd w:fill="001C71" w:val="clear"/>
            <w:tcMar>
              <w:left w:w="160" w:type="dxa"/>
            </w:tcMar>
            <w:vAlign w:val="bottom"/>
          </w:tcPr>
          <w:p>
            <w:pPr>
              <w:pStyle w:val="TableContents"/>
              <w:bidi w:val="0"/>
              <w:spacing w:before="0" w:after="283"/>
              <w:jc w:val="center"/>
              <w:rPr>
                <w:b/>
                <w:color w:val="FFFFFF"/>
              </w:rPr>
            </w:pPr>
            <w:r>
              <w:rPr>
                <w:b/>
                <w:color w:val="FFFFFF"/>
              </w:rPr>
              <w:t>Internet</w:t>
            </w:r>
          </w:p>
        </w:tc>
        <w:tc>
          <w:tcPr>
            <w:tcW w:w="101" w:type="dxa"/>
            <w:tcBorders/>
            <w:shd w:fill="001C71" w:val="clear"/>
            <w:vAlign w:val="bottom"/>
          </w:tcPr>
          <w:p>
            <w:pPr>
              <w:pStyle w:val="TableContents"/>
              <w:bidi w:val="0"/>
              <w:spacing w:before="0" w:after="283"/>
              <w:jc w:val="left"/>
              <w:rPr/>
            </w:pPr>
            <w:r>
              <w:rPr/>
              <w:t> </w:t>
            </w:r>
          </w:p>
        </w:tc>
        <w:tc>
          <w:tcPr>
            <w:tcW w:w="3369" w:type="dxa"/>
            <w:tcBorders/>
            <w:shd w:fill="001C71" w:val="clear"/>
            <w:vAlign w:val="bottom"/>
          </w:tcPr>
          <w:p>
            <w:pPr>
              <w:pStyle w:val="TableContents"/>
              <w:bidi w:val="0"/>
              <w:spacing w:before="0" w:after="283"/>
              <w:jc w:val="center"/>
              <w:rPr>
                <w:b/>
                <w:color w:val="FFFFFF"/>
              </w:rPr>
            </w:pPr>
            <w:r>
              <w:rPr>
                <w:b/>
                <w:color w:val="FFFFFF"/>
              </w:rPr>
              <w:t>Telephone</w:t>
            </w:r>
          </w:p>
        </w:tc>
        <w:tc>
          <w:tcPr>
            <w:tcW w:w="101" w:type="dxa"/>
            <w:tcBorders/>
            <w:shd w:fill="001C71" w:val="clear"/>
            <w:vAlign w:val="bottom"/>
          </w:tcPr>
          <w:p>
            <w:pPr>
              <w:pStyle w:val="TableContents"/>
              <w:bidi w:val="0"/>
              <w:spacing w:before="0" w:after="283"/>
              <w:jc w:val="left"/>
              <w:rPr/>
            </w:pPr>
            <w:r>
              <w:rPr/>
              <w:t> </w:t>
            </w:r>
          </w:p>
        </w:tc>
        <w:tc>
          <w:tcPr>
            <w:tcW w:w="3266" w:type="dxa"/>
            <w:tcBorders>
              <w:right w:val="single" w:sz="2" w:space="0" w:color="000000"/>
            </w:tcBorders>
            <w:shd w:fill="001C71" w:val="clear"/>
            <w:tcMar>
              <w:right w:w="40" w:type="dxa"/>
            </w:tcMar>
            <w:vAlign w:val="bottom"/>
          </w:tcPr>
          <w:p>
            <w:pPr>
              <w:pStyle w:val="TableContents"/>
              <w:bidi w:val="0"/>
              <w:spacing w:before="0" w:after="283"/>
              <w:jc w:val="center"/>
              <w:rPr>
                <w:b/>
                <w:color w:val="FFFFFF"/>
              </w:rPr>
            </w:pPr>
            <w:r>
              <w:rPr>
                <w:b/>
                <w:color w:val="FFFFFF"/>
              </w:rPr>
              <w:t>Mail</w:t>
            </w:r>
          </w:p>
        </w:tc>
      </w:tr>
      <w:tr>
        <w:trPr>
          <w:trHeight w:val="150" w:hRule="atLeast"/>
        </w:trPr>
        <w:tc>
          <w:tcPr>
            <w:tcW w:w="3368" w:type="dxa"/>
            <w:tcBorders>
              <w:left w:val="single" w:sz="2" w:space="0" w:color="000000"/>
            </w:tcBorders>
            <w:tcMar>
              <w:left w:w="160" w:type="dxa"/>
            </w:tcMar>
            <w:vAlign w:val="center"/>
          </w:tcPr>
          <w:p>
            <w:pPr>
              <w:pStyle w:val="TableContents"/>
              <w:bidi w:val="0"/>
              <w:spacing w:before="0" w:after="283"/>
              <w:jc w:val="left"/>
              <w:rPr/>
            </w:pPr>
            <w:r>
              <w:rPr/>
              <w:t> </w:t>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368" w:type="dxa"/>
            <w:tcBorders>
              <w:left w:val="single" w:sz="2" w:space="0" w:color="000000"/>
            </w:tcBorders>
            <w:tcMar>
              <w:left w:w="160" w:type="dxa"/>
            </w:tcMar>
            <w:vAlign w:val="bottom"/>
          </w:tcPr>
          <w:p>
            <w:pPr>
              <w:pStyle w:val="TableContents"/>
              <w:bidi w:val="0"/>
              <w:spacing w:before="0" w:after="283"/>
              <w:jc w:val="center"/>
              <w:rPr/>
            </w:pPr>
            <w:r>
              <w:rPr/>
              <w:drawing>
                <wp:inline distT="0" distB="0" distL="0" distR="0">
                  <wp:extent cx="475615" cy="4775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75615" cy="47752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369" w:type="dxa"/>
            <w:tcBorders/>
            <w:vAlign w:val="bottom"/>
          </w:tcPr>
          <w:p>
            <w:pPr>
              <w:pStyle w:val="TableContents"/>
              <w:bidi w:val="0"/>
              <w:spacing w:before="0" w:after="283"/>
              <w:jc w:val="center"/>
              <w:rPr/>
            </w:pPr>
            <w:r>
              <w:rPr/>
              <w:drawing>
                <wp:inline distT="0" distB="0" distL="0" distR="0">
                  <wp:extent cx="455295" cy="4552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55295" cy="45529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266" w:type="dxa"/>
            <w:tcBorders>
              <w:right w:val="single" w:sz="2" w:space="0" w:color="000000"/>
            </w:tcBorders>
            <w:tcMar>
              <w:right w:w="40" w:type="dxa"/>
            </w:tcMar>
            <w:vAlign w:val="bottom"/>
          </w:tcPr>
          <w:p>
            <w:pPr>
              <w:pStyle w:val="TableContents"/>
              <w:bidi w:val="0"/>
              <w:spacing w:before="0" w:after="283"/>
              <w:jc w:val="center"/>
              <w:rPr/>
            </w:pPr>
            <w:r>
              <w:rPr/>
              <w:drawing>
                <wp:inline distT="0" distB="0" distL="0" distR="0">
                  <wp:extent cx="477520" cy="33147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7520" cy="331470"/>
                          </a:xfrm>
                          <a:prstGeom prst="rect">
                            <a:avLst/>
                          </a:prstGeom>
                        </pic:spPr>
                      </pic:pic>
                    </a:graphicData>
                  </a:graphic>
                </wp:inline>
              </w:drawing>
            </w:r>
            <w:r>
              <w:rPr/>
              <w:t xml:space="preserve"> </w:t>
            </w:r>
          </w:p>
        </w:tc>
      </w:tr>
      <w:tr>
        <w:trPr>
          <w:trHeight w:val="120" w:hRule="atLeast"/>
        </w:trPr>
        <w:tc>
          <w:tcPr>
            <w:tcW w:w="3368" w:type="dxa"/>
            <w:tcBorders>
              <w:left w:val="single" w:sz="2" w:space="0" w:color="000000"/>
            </w:tcBorders>
            <w:shd w:fill="F2F2F2" w:val="clear"/>
            <w:tcMar>
              <w:left w:w="160" w:type="dxa"/>
            </w:tcMar>
            <w:vAlign w:val="center"/>
          </w:tcPr>
          <w:p>
            <w:pPr>
              <w:pStyle w:val="TableContents"/>
              <w:bidi w:val="0"/>
              <w:spacing w:before="0" w:after="283"/>
              <w:jc w:val="left"/>
              <w:rPr/>
            </w:pPr>
            <w:r>
              <w:rPr/>
              <w:t> </w:t>
            </w:r>
          </w:p>
        </w:tc>
        <w:tc>
          <w:tcPr>
            <w:tcW w:w="3470" w:type="dxa"/>
            <w:gridSpan w:val="2"/>
            <w:tcBorders/>
            <w:shd w:fill="F2F2F2" w:val="clear"/>
            <w:vAlign w:val="center"/>
          </w:tcPr>
          <w:p>
            <w:pPr>
              <w:pStyle w:val="TableContents"/>
              <w:bidi w:val="0"/>
              <w:spacing w:before="0" w:after="283"/>
              <w:jc w:val="left"/>
              <w:rPr>
                <w:sz w:val="4"/>
                <w:szCs w:val="4"/>
              </w:rPr>
            </w:pPr>
            <w:r>
              <w:rPr>
                <w:sz w:val="4"/>
                <w:szCs w:val="4"/>
              </w:rPr>
            </w:r>
          </w:p>
        </w:tc>
        <w:tc>
          <w:tcPr>
            <w:tcW w:w="3367" w:type="dxa"/>
            <w:gridSpan w:val="2"/>
            <w:tcBorders>
              <w:right w:val="single" w:sz="2" w:space="0" w:color="000000"/>
            </w:tcBorders>
            <w:shd w:fill="F2F2F2" w:val="clear"/>
            <w:tcMar>
              <w:right w:w="28" w:type="dxa"/>
            </w:tcMar>
            <w:vAlign w:val="center"/>
          </w:tcPr>
          <w:p>
            <w:pPr>
              <w:pStyle w:val="TableContents"/>
              <w:bidi w:val="0"/>
              <w:spacing w:before="0" w:after="283"/>
              <w:jc w:val="left"/>
              <w:rPr/>
            </w:pPr>
            <w:r>
              <w:rPr/>
              <w:t> </w:t>
            </w:r>
          </w:p>
        </w:tc>
      </w:tr>
      <w:tr>
        <w:trPr/>
        <w:tc>
          <w:tcPr>
            <w:tcW w:w="3368" w:type="dxa"/>
            <w:tcBorders>
              <w:left w:val="single" w:sz="2" w:space="0" w:color="000000"/>
              <w:bottom w:val="single" w:sz="2" w:space="0" w:color="000000"/>
            </w:tcBorders>
            <w:shd w:fill="F2F2F2" w:val="clear"/>
            <w:tcMar>
              <w:left w:w="160" w:type="dxa"/>
              <w:bottom w:w="160" w:type="dxa"/>
            </w:tcMar>
          </w:tcPr>
          <w:p>
            <w:pPr>
              <w:pStyle w:val="TableContents"/>
              <w:bidi w:val="0"/>
              <w:spacing w:before="0" w:after="0"/>
              <w:jc w:val="center"/>
              <w:rPr>
                <w:rFonts w:ascii="Arial" w:hAnsi="Arial"/>
                <w:sz w:val="22"/>
              </w:rPr>
            </w:pPr>
            <w:r>
              <w:rPr>
                <w:rFonts w:ascii="Arial" w:hAnsi="Arial"/>
                <w:sz w:val="22"/>
              </w:rPr>
              <w:t>Use the Internet at</w:t>
              <w:br/>
              <w:t>www.proxyvote.com or</w:t>
            </w:r>
          </w:p>
          <w:p>
            <w:pPr>
              <w:pStyle w:val="TableContents"/>
              <w:bidi w:val="0"/>
              <w:spacing w:before="0" w:after="0"/>
              <w:jc w:val="center"/>
              <w:rPr>
                <w:rFonts w:ascii="Arial" w:hAnsi="Arial"/>
                <w:sz w:val="22"/>
              </w:rPr>
            </w:pPr>
            <w:r>
              <w:rPr>
                <w:rFonts w:ascii="Arial" w:hAnsi="Arial"/>
                <w:sz w:val="22"/>
              </w:rPr>
              <w:t>scan the QR code</w:t>
            </w:r>
          </w:p>
          <w:p>
            <w:pPr>
              <w:pStyle w:val="TableContents"/>
              <w:bidi w:val="0"/>
              <w:spacing w:before="0" w:after="0"/>
              <w:jc w:val="center"/>
              <w:rPr>
                <w:rFonts w:ascii="Arial" w:hAnsi="Arial"/>
                <w:sz w:val="22"/>
              </w:rPr>
            </w:pPr>
            <w:r>
              <w:rPr>
                <w:rFonts w:ascii="Arial" w:hAnsi="Arial"/>
                <w:sz w:val="22"/>
              </w:rPr>
              <w:t>included in your proxy</w:t>
            </w:r>
          </w:p>
          <w:p>
            <w:pPr>
              <w:pStyle w:val="TableContents"/>
              <w:bidi w:val="0"/>
              <w:spacing w:before="0" w:after="20"/>
              <w:jc w:val="center"/>
              <w:rPr>
                <w:rFonts w:ascii="Arial" w:hAnsi="Arial"/>
                <w:sz w:val="22"/>
              </w:rPr>
            </w:pPr>
            <w:r>
              <w:rPr>
                <w:rFonts w:ascii="Arial" w:hAnsi="Arial"/>
                <w:sz w:val="22"/>
              </w:rPr>
              <w:t>materials</w:t>
            </w:r>
          </w:p>
        </w:tc>
        <w:tc>
          <w:tcPr>
            <w:tcW w:w="101" w:type="dxa"/>
            <w:tcBorders>
              <w:bottom w:val="single" w:sz="2" w:space="0" w:color="000000"/>
            </w:tcBorders>
            <w:shd w:fill="F2F2F2" w:val="clear"/>
            <w:tcMar>
              <w:bottom w:w="28" w:type="dxa"/>
            </w:tcMar>
            <w:vAlign w:val="bottom"/>
          </w:tcPr>
          <w:p>
            <w:pPr>
              <w:pStyle w:val="TableContents"/>
              <w:bidi w:val="0"/>
              <w:spacing w:before="0" w:after="283"/>
              <w:jc w:val="left"/>
              <w:rPr/>
            </w:pPr>
            <w:r>
              <w:rPr/>
              <w:t> </w:t>
            </w:r>
          </w:p>
        </w:tc>
        <w:tc>
          <w:tcPr>
            <w:tcW w:w="3369" w:type="dxa"/>
            <w:tcBorders>
              <w:bottom w:val="single" w:sz="2" w:space="0" w:color="000000"/>
            </w:tcBorders>
            <w:shd w:fill="F2F2F2" w:val="clear"/>
            <w:tcMar>
              <w:bottom w:w="160" w:type="dxa"/>
            </w:tcMar>
          </w:tcPr>
          <w:p>
            <w:pPr>
              <w:pStyle w:val="TableContents"/>
              <w:bidi w:val="0"/>
              <w:spacing w:before="0" w:after="283"/>
              <w:jc w:val="center"/>
              <w:rPr/>
            </w:pPr>
            <w:r>
              <w:rPr/>
              <w:t>Call (800) 690-6903 in the</w:t>
              <w:br/>
              <w:t>U.S. and Canada</w:t>
            </w:r>
          </w:p>
        </w:tc>
        <w:tc>
          <w:tcPr>
            <w:tcW w:w="101" w:type="dxa"/>
            <w:tcBorders>
              <w:bottom w:val="single" w:sz="2" w:space="0" w:color="000000"/>
            </w:tcBorders>
            <w:shd w:fill="F2F2F2" w:val="clear"/>
            <w:tcMar>
              <w:bottom w:w="28" w:type="dxa"/>
            </w:tcMar>
            <w:vAlign w:val="bottom"/>
          </w:tcPr>
          <w:p>
            <w:pPr>
              <w:pStyle w:val="TableContents"/>
              <w:bidi w:val="0"/>
              <w:spacing w:before="0" w:after="283"/>
              <w:jc w:val="left"/>
              <w:rPr/>
            </w:pPr>
            <w:r>
              <w:rPr/>
              <w:t> </w:t>
            </w:r>
          </w:p>
        </w:tc>
        <w:tc>
          <w:tcPr>
            <w:tcW w:w="3266" w:type="dxa"/>
            <w:tcBorders>
              <w:bottom w:val="single" w:sz="2" w:space="0" w:color="000000"/>
              <w:right w:val="single" w:sz="2" w:space="0" w:color="000000"/>
            </w:tcBorders>
            <w:shd w:fill="F2F2F2" w:val="clear"/>
            <w:tcMar>
              <w:bottom w:w="160" w:type="dxa"/>
              <w:right w:w="40" w:type="dxa"/>
            </w:tcMar>
          </w:tcPr>
          <w:p>
            <w:pPr>
              <w:pStyle w:val="TableContents"/>
              <w:bidi w:val="0"/>
              <w:spacing w:before="0" w:after="283"/>
              <w:jc w:val="center"/>
              <w:rPr/>
            </w:pPr>
            <w:r>
              <w:rPr/>
              <w:t>Mail your marked, dated and</w:t>
              <w:br/>
              <w:t>signed proxy card or voting</w:t>
              <w:br/>
              <w:t>instruction form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397</Words>
  <Characters>2084</Characters>
  <CharactersWithSpaces>2506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